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159385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August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160655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FLYWIRE CORPORATION</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157480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p>
      <w:pPr>
        <w:spacing w:after="0" w:line="200" w:lineRule="exact"/>
        <w:rPr>
          <w:sz w:val="24"/>
          <w:szCs w:val="24"/>
          <w:color w:val="auto"/>
        </w:rPr>
      </w:pPr>
    </w:p>
    <w:p>
      <w:pPr>
        <w:spacing w:after="0" w:line="224"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001-40430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1719"/>
        <w:spacing w:after="0"/>
        <w:rPr>
          <w:sz w:val="20"/>
          <w:szCs w:val="20"/>
          <w:color w:val="auto"/>
        </w:rPr>
      </w:pPr>
      <w:r>
        <w:rPr>
          <w:rFonts w:ascii="Arial" w:cs="Arial" w:eastAsia="Arial" w:hAnsi="Arial"/>
          <w:sz w:val="10"/>
          <w:szCs w:val="10"/>
          <w:b w:val="1"/>
          <w:bCs w:val="1"/>
          <w:color w:val="auto"/>
        </w:rPr>
        <w:t>27-0690799</w:t>
      </w:r>
    </w:p>
    <w:p>
      <w:pPr>
        <w:spacing w:after="0" w:line="21" w:lineRule="exact"/>
        <w:rPr>
          <w:sz w:val="24"/>
          <w:szCs w:val="24"/>
          <w:color w:val="auto"/>
        </w:rPr>
      </w:pPr>
    </w:p>
    <w:p>
      <w:pPr>
        <w:sectPr>
          <w:pgSz w:w="11900" w:h="16838" w:orient="portrait"/>
          <w:cols w:equalWidth="0" w:num="3">
            <w:col w:w="3600" w:space="720"/>
            <w:col w:w="1680" w:space="720"/>
            <w:col w:w="2299"/>
          </w:cols>
          <w:pgMar w:left="1440" w:top="292" w:right="1440" w:bottom="1440" w:gutter="0" w:footer="0" w:header="0"/>
          <w:type w:val="continuous"/>
        </w:sectPr>
      </w:pPr>
    </w:p>
    <w:p>
      <w:pPr>
        <w:spacing w:after="0" w:line="21" w:lineRule="exact"/>
        <w:rPr>
          <w:sz w:val="24"/>
          <w:szCs w:val="24"/>
          <w:color w:val="auto"/>
        </w:rPr>
      </w:pPr>
    </w:p>
    <w:p>
      <w:pPr>
        <w:jc w:val="center"/>
        <w:ind w:left="56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ind w:right="1060"/>
        <w:spacing w:after="0"/>
        <w:rPr>
          <w:sz w:val="20"/>
          <w:szCs w:val="20"/>
          <w:color w:val="auto"/>
        </w:rPr>
      </w:pPr>
      <w:r>
        <w:rPr>
          <w:rFonts w:ascii="Arial" w:cs="Arial" w:eastAsia="Arial" w:hAnsi="Arial"/>
          <w:sz w:val="7"/>
          <w:szCs w:val="7"/>
          <w:b w:val="1"/>
          <w:bCs w:val="1"/>
          <w:color w:val="auto"/>
        </w:rPr>
        <w:t>(Commission</w:t>
      </w:r>
    </w:p>
    <w:p>
      <w:pPr>
        <w:spacing w:after="0" w:line="13" w:lineRule="exact"/>
        <w:rPr>
          <w:sz w:val="24"/>
          <w:szCs w:val="24"/>
          <w:color w:val="auto"/>
        </w:rPr>
      </w:pPr>
    </w:p>
    <w:p>
      <w:pPr>
        <w:jc w:val="center"/>
        <w:ind w:right="1060"/>
        <w:spacing w:after="0"/>
        <w:rPr>
          <w:sz w:val="20"/>
          <w:szCs w:val="20"/>
          <w:color w:val="auto"/>
        </w:rPr>
      </w:pPr>
      <w:r>
        <w:rPr>
          <w:rFonts w:ascii="Arial" w:cs="Arial" w:eastAsia="Arial" w:hAnsi="Arial"/>
          <w:sz w:val="10"/>
          <w:szCs w:val="10"/>
          <w:b w:val="1"/>
          <w:bCs w:val="1"/>
          <w:color w:val="auto"/>
        </w:rPr>
        <w:t>File No.)</w:t>
      </w:r>
    </w:p>
    <w:p>
      <w:pPr>
        <w:spacing w:after="0" w:line="20" w:lineRule="exact"/>
        <w:rPr>
          <w:sz w:val="24"/>
          <w:szCs w:val="24"/>
          <w:color w:val="auto"/>
        </w:rPr>
      </w:pPr>
      <w:r>
        <w:rPr>
          <w:sz w:val="24"/>
          <w:szCs w:val="24"/>
          <w:color w:val="auto"/>
        </w:rPr>
        <w:br w:type="column"/>
      </w:r>
    </w:p>
    <w:p>
      <w:pPr>
        <w:jc w:val="center"/>
        <w:ind w:right="1639"/>
        <w:spacing w:after="0"/>
        <w:rPr>
          <w:sz w:val="20"/>
          <w:szCs w:val="20"/>
          <w:color w:val="auto"/>
        </w:rPr>
      </w:pPr>
      <w:r>
        <w:rPr>
          <w:rFonts w:ascii="Arial" w:cs="Arial" w:eastAsia="Arial" w:hAnsi="Arial"/>
          <w:sz w:val="10"/>
          <w:szCs w:val="10"/>
          <w:b w:val="1"/>
          <w:bCs w:val="1"/>
          <w:color w:val="auto"/>
        </w:rPr>
        <w:t>(IRS Employer</w:t>
      </w:r>
    </w:p>
    <w:p>
      <w:pPr>
        <w:jc w:val="center"/>
        <w:ind w:right="1639"/>
        <w:spacing w:after="0"/>
        <w:rPr>
          <w:sz w:val="20"/>
          <w:szCs w:val="20"/>
          <w:color w:val="auto"/>
        </w:rPr>
      </w:pPr>
      <w:r>
        <w:rPr>
          <w:rFonts w:ascii="Arial" w:cs="Arial" w:eastAsia="Arial" w:hAnsi="Arial"/>
          <w:sz w:val="8"/>
          <w:szCs w:val="8"/>
          <w:b w:val="1"/>
          <w:bCs w:val="1"/>
          <w:color w:val="auto"/>
        </w:rPr>
        <w:t>Identification No.)</w:t>
      </w:r>
    </w:p>
    <w:p>
      <w:pPr>
        <w:spacing w:after="0" w:line="151" w:lineRule="exact"/>
        <w:rPr>
          <w:sz w:val="24"/>
          <w:szCs w:val="24"/>
          <w:color w:val="auto"/>
        </w:rPr>
      </w:pPr>
    </w:p>
    <w:p>
      <w:pPr>
        <w:sectPr>
          <w:pgSz w:w="11900" w:h="16838" w:orient="portrait"/>
          <w:cols w:equalWidth="0" w:num="3">
            <w:col w:w="3600" w:space="720"/>
            <w:col w:w="1580" w:space="720"/>
            <w:col w:w="2399"/>
          </w:cols>
          <w:pgMar w:left="1440" w:top="292" w:right="1440" w:bottom="1440" w:gutter="0" w:footer="0" w:header="0"/>
          <w:type w:val="continuous"/>
        </w:sectPr>
      </w:pPr>
    </w:p>
    <w:p>
      <w:pPr>
        <w:ind w:left="4000"/>
        <w:spacing w:after="0"/>
        <w:rPr>
          <w:sz w:val="20"/>
          <w:szCs w:val="20"/>
          <w:color w:val="auto"/>
        </w:rPr>
      </w:pPr>
      <w:r>
        <w:rPr>
          <w:rFonts w:ascii="Arial" w:cs="Arial" w:eastAsia="Arial" w:hAnsi="Arial"/>
          <w:sz w:val="12"/>
          <w:szCs w:val="12"/>
          <w:b w:val="1"/>
          <w:bCs w:val="1"/>
          <w:color w:val="auto"/>
        </w:rPr>
        <w:t>141 Tremont St #10</w:t>
      </w:r>
    </w:p>
    <w:p>
      <w:pPr>
        <w:spacing w:after="0" w:line="19" w:lineRule="exact"/>
        <w:rPr>
          <w:sz w:val="24"/>
          <w:szCs w:val="24"/>
          <w:color w:val="auto"/>
        </w:rPr>
      </w:pPr>
    </w:p>
    <w:p>
      <w:pPr>
        <w:ind w:left="4040"/>
        <w:spacing w:after="0"/>
        <w:rPr>
          <w:sz w:val="20"/>
          <w:szCs w:val="20"/>
          <w:color w:val="auto"/>
        </w:rPr>
      </w:pPr>
      <w:r>
        <w:rPr>
          <w:rFonts w:ascii="Arial" w:cs="Arial" w:eastAsia="Arial" w:hAnsi="Arial"/>
          <w:sz w:val="12"/>
          <w:szCs w:val="12"/>
          <w:b w:val="1"/>
          <w:bCs w:val="1"/>
          <w:color w:val="auto"/>
        </w:rPr>
        <w:t>Boston, MA 02111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8"/>
          <w:szCs w:val="8"/>
          <w:b w:val="1"/>
          <w:bCs w:val="1"/>
          <w:color w:val="auto"/>
        </w:rPr>
        <w:t>(Address of principal executive offices and zip code)</w:t>
      </w:r>
    </w:p>
    <w:p>
      <w:pPr>
        <w:sectPr>
          <w:pgSz w:w="11900" w:h="16838" w:orient="portrait"/>
          <w:cols w:equalWidth="0" w:num="1">
            <w:col w:w="9019"/>
          </w:cols>
          <w:pgMar w:left="1440" w:top="292" w:right="1440" w:bottom="1440" w:gutter="0" w:footer="0" w:header="0"/>
          <w:type w:val="continuous"/>
        </w:sectPr>
      </w:pP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 (617) 329-4524</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Not Applicable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147955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7"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46"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2"/>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20"/>
        </w:trPr>
        <w:tc>
          <w:tcPr>
            <w:tcW w:w="248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0"/>
              </w:rPr>
              <w:t>Voting Common Stock, $0.0001 par value per</w:t>
            </w:r>
          </w:p>
        </w:tc>
        <w:tc>
          <w:tcPr>
            <w:tcW w:w="8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rPr>
              <w:t>FLYW</w:t>
            </w:r>
          </w:p>
        </w:tc>
        <w:tc>
          <w:tcPr>
            <w:tcW w:w="6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4"/>
              </w:rPr>
              <w:t>The Nasdaq Stock Market LLC</w:t>
            </w:r>
          </w:p>
        </w:tc>
      </w:tr>
      <w:tr>
        <w:trPr>
          <w:trHeight w:val="157"/>
        </w:trPr>
        <w:tc>
          <w:tcPr>
            <w:tcW w:w="25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share</w:t>
            </w: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2"/>
              </w:rPr>
              <w:t>(Nasdaq Global Select Market)</w:t>
            </w:r>
          </w:p>
        </w:tc>
      </w:tr>
    </w:tbl>
    <w:p>
      <w:pPr>
        <w:spacing w:after="0" w:line="144" w:lineRule="exact"/>
        <w:rPr>
          <w:sz w:val="24"/>
          <w:szCs w:val="24"/>
          <w:color w:val="auto"/>
        </w:rPr>
      </w:pPr>
    </w:p>
    <w:p>
      <w:pPr>
        <w:ind w:left="840" w:right="103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72"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tabs>
          <w:tab w:leader="none" w:pos="168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Item 2.02.</w:t>
      </w:r>
      <w:r>
        <w:rPr>
          <w:sz w:val="20"/>
          <w:szCs w:val="20"/>
          <w:color w:val="auto"/>
        </w:rPr>
        <w:tab/>
      </w:r>
      <w:r>
        <w:rPr>
          <w:rFonts w:ascii="Arial" w:cs="Arial" w:eastAsia="Arial" w:hAnsi="Arial"/>
          <w:sz w:val="10"/>
          <w:szCs w:val="10"/>
          <w:b w:val="1"/>
          <w:bCs w:val="1"/>
          <w:color w:val="auto"/>
        </w:rPr>
        <w:t>Results of Operations and Financial Condition.</w:t>
      </w:r>
    </w:p>
    <w:p>
      <w:pPr>
        <w:spacing w:after="0" w:line="82" w:lineRule="exact"/>
        <w:rPr>
          <w:sz w:val="20"/>
          <w:szCs w:val="20"/>
          <w:color w:val="auto"/>
        </w:rPr>
      </w:pPr>
    </w:p>
    <w:p>
      <w:pPr>
        <w:ind w:left="840" w:right="919"/>
        <w:spacing w:after="0" w:line="379" w:lineRule="auto"/>
        <w:rPr>
          <w:sz w:val="20"/>
          <w:szCs w:val="20"/>
          <w:color w:val="auto"/>
        </w:rPr>
      </w:pPr>
      <w:r>
        <w:rPr>
          <w:rFonts w:ascii="Arial" w:cs="Arial" w:eastAsia="Arial" w:hAnsi="Arial"/>
          <w:sz w:val="10"/>
          <w:szCs w:val="10"/>
          <w:color w:val="auto"/>
        </w:rPr>
        <w:t>On August 10, 2021, Flywire Corporation (“Flywire”) issued a press release and is holding a conference call regarding its financial results for the quarter ended June 30, 2021. The press release is furnished as Exhibit 99.1 to this Current Report on Form 8-K and is incorporated by reference herein.</w:t>
      </w:r>
    </w:p>
    <w:p>
      <w:pPr>
        <w:spacing w:after="0" w:line="69" w:lineRule="exact"/>
        <w:rPr>
          <w:sz w:val="20"/>
          <w:szCs w:val="20"/>
          <w:color w:val="auto"/>
        </w:rPr>
      </w:pPr>
    </w:p>
    <w:p>
      <w:pPr>
        <w:ind w:left="840" w:right="859"/>
        <w:spacing w:after="0" w:line="275" w:lineRule="auto"/>
        <w:rPr>
          <w:sz w:val="20"/>
          <w:szCs w:val="20"/>
          <w:color w:val="auto"/>
        </w:rPr>
      </w:pPr>
      <w:r>
        <w:rPr>
          <w:rFonts w:ascii="Arial" w:cs="Arial" w:eastAsia="Arial" w:hAnsi="Arial"/>
          <w:sz w:val="11"/>
          <w:szCs w:val="11"/>
          <w:color w:val="auto"/>
        </w:rPr>
        <w:t>Various statements to be made during the conference call are “forward-looking statements” within the meaning of the Private Securities Litigation Reform Act of 1995, including, but not limited to, statements regarding Flywire’s future operating results and financial position,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and Adjusted EBITDA. Risks that may cause actual results to differ materially from these forward looking statements include, but are not limited to: political, economic, legal, social and health risks, including the recent COVID-19 pandemic and subsequent public health measures that may affect Flywire’s business or the global economy;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strategic partners; the effects of increased competition in Flywire’s markets and its ability to compete effectively; future acquisitions or investments in complementary companies, products, services, or technologies; Flywire’s ability to enter new client verticals, including its relatively new B2B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attract and retain qualified employees; Flywire’s ability to maintain, protect, and enhance its intellectual property; Flywire’s ability to maintain the security and availability of its solutions; the future market price of Flywire’s common stock; and other factors that are described in the “Risk Factors” and “Management’s Discussion and Analysis of Financial Condition and Results of Operations” sections of Flywire’s Prospectus dated May 25, 2021, which is on file with the Securities and Exchange Commission (SEC) and available on the SEC’s website at https://www.sec.gov/. Additional factors may be described in those sections of Flywire’s Quarterly Report on Form 10-Q for the quarter ended June 30, 2021, expected to be filed with the SEC in the third quarter of 2021. The information conveyed on the conference call is provided only as of the date of the conference call, and Flywire undertakes no obligation to update any forward-looking statements presented on the conference call on account of new information, future events, or otherwise, except as required by law.</w:t>
      </w:r>
    </w:p>
    <w:p>
      <w:pPr>
        <w:spacing w:after="0" w:line="213" w:lineRule="exact"/>
        <w:rPr>
          <w:sz w:val="20"/>
          <w:szCs w:val="20"/>
          <w:color w:val="auto"/>
        </w:rPr>
      </w:pPr>
    </w:p>
    <w:p>
      <w:pPr>
        <w:ind w:left="840"/>
        <w:spacing w:after="0"/>
        <w:tabs>
          <w:tab w:leader="none" w:pos="168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jc w:val="both"/>
        <w:ind w:left="840" w:right="1119"/>
        <w:spacing w:after="0" w:line="263" w:lineRule="auto"/>
        <w:rPr>
          <w:sz w:val="20"/>
          <w:szCs w:val="20"/>
          <w:color w:val="auto"/>
        </w:rPr>
      </w:pPr>
      <w:r>
        <w:rPr>
          <w:rFonts w:ascii="Arial" w:cs="Arial" w:eastAsia="Arial" w:hAnsi="Arial"/>
          <w:sz w:val="12"/>
          <w:szCs w:val="12"/>
          <w:color w:val="auto"/>
        </w:rPr>
        <w:t>On August 10, 2021, the Company provided an investor presentation that will be made available on the investor relations section of the Company’s website at https://ir.flywire.com/. The investor presentation is furnished as Exhibit 99.2 to this Current Report on Form 8-K and is incorporated by reference herein.</w:t>
      </w:r>
    </w:p>
    <w:p>
      <w:pPr>
        <w:sectPr>
          <w:pgSz w:w="11900" w:h="16838" w:orient="portrait"/>
          <w:cols w:equalWidth="0" w:num="1">
            <w:col w:w="9019"/>
          </w:cols>
          <w:pgMar w:left="1440" w:top="226" w:right="1440" w:bottom="1440" w:gutter="0" w:footer="0" w:header="0"/>
        </w:sectPr>
      </w:pPr>
    </w:p>
    <w:bookmarkStart w:id="2" w:name="page3"/>
    <w:bookmarkEnd w:id="2"/>
    <w:tbl>
      <w:tblPr>
        <w:tblLayout w:type="fixed"/>
        <w:tblInd w:w="840" w:type="dxa"/>
        <w:tblCellMar>
          <w:top w:w="0" w:type="dxa"/>
          <w:left w:w="0" w:type="dxa"/>
          <w:bottom w:w="0" w:type="dxa"/>
          <w:right w:w="0" w:type="dxa"/>
        </w:tblCellMar>
      </w:tblPr>
      <w:tr>
        <w:trPr>
          <w:trHeight w:val="157"/>
        </w:trPr>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Item 9.01.</w:t>
            </w:r>
          </w:p>
        </w:tc>
        <w:tc>
          <w:tcPr>
            <w:tcW w:w="3160" w:type="dxa"/>
            <w:vAlign w:val="bottom"/>
            <w:gridSpan w:val="3"/>
          </w:tcPr>
          <w:p>
            <w:pPr>
              <w:ind w:left="180"/>
              <w:spacing w:after="0"/>
              <w:rPr>
                <w:sz w:val="20"/>
                <w:szCs w:val="20"/>
                <w:color w:val="auto"/>
              </w:rPr>
            </w:pPr>
            <w:r>
              <w:rPr>
                <w:rFonts w:ascii="Arial" w:cs="Arial" w:eastAsia="Arial" w:hAnsi="Arial"/>
                <w:sz w:val="12"/>
                <w:szCs w:val="12"/>
                <w:b w:val="1"/>
                <w:bCs w:val="1"/>
                <w:color w:val="auto"/>
              </w:rPr>
              <w:t>Financial Statements and Exhibits.</w:t>
            </w:r>
          </w:p>
        </w:tc>
      </w:tr>
      <w:tr>
        <w:trPr>
          <w:trHeight w:val="216"/>
        </w:trPr>
        <w:tc>
          <w:tcPr>
            <w:tcW w:w="680" w:type="dxa"/>
            <w:vAlign w:val="bottom"/>
            <w:gridSpan w:val="2"/>
          </w:tcPr>
          <w:p>
            <w:pPr>
              <w:spacing w:after="0"/>
              <w:rPr>
                <w:sz w:val="20"/>
                <w:szCs w:val="20"/>
                <w:color w:val="auto"/>
              </w:rPr>
            </w:pPr>
            <w:r>
              <w:rPr>
                <w:rFonts w:ascii="Arial" w:cs="Arial" w:eastAsia="Arial" w:hAnsi="Arial"/>
                <w:sz w:val="12"/>
                <w:szCs w:val="12"/>
                <w:color w:val="auto"/>
              </w:rPr>
              <w:t>(d) Exhibits</w:t>
            </w:r>
          </w:p>
        </w:tc>
        <w:tc>
          <w:tcPr>
            <w:tcW w:w="4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47"/>
        </w:trPr>
        <w:tc>
          <w:tcPr>
            <w:tcW w:w="680" w:type="dxa"/>
            <w:vAlign w:val="bottom"/>
            <w:gridSpan w:val="2"/>
          </w:tcPr>
          <w:p>
            <w:pPr>
              <w:ind w:left="20"/>
              <w:spacing w:after="0"/>
              <w:rPr>
                <w:sz w:val="20"/>
                <w:szCs w:val="20"/>
                <w:color w:val="auto"/>
              </w:rPr>
            </w:pPr>
            <w:r>
              <w:rPr>
                <w:rFonts w:ascii="Arial" w:cs="Arial" w:eastAsia="Arial" w:hAnsi="Arial"/>
                <w:sz w:val="10"/>
                <w:szCs w:val="10"/>
                <w:b w:val="1"/>
                <w:bCs w:val="1"/>
                <w:color w:val="auto"/>
              </w:rPr>
              <w:t>Exhibit</w:t>
            </w:r>
          </w:p>
        </w:tc>
        <w:tc>
          <w:tcPr>
            <w:tcW w:w="4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113"/>
        </w:trPr>
        <w:tc>
          <w:tcPr>
            <w:tcW w:w="340" w:type="dxa"/>
            <w:vAlign w:val="bottom"/>
            <w:tcBorders>
              <w:bottom w:val="single" w:sz="8" w:color="auto"/>
            </w:tcBorders>
          </w:tcPr>
          <w:p>
            <w:pPr>
              <w:ind w:left="100"/>
              <w:spacing w:after="0" w:line="114" w:lineRule="exact"/>
              <w:rPr>
                <w:sz w:val="20"/>
                <w:szCs w:val="20"/>
                <w:color w:val="auto"/>
              </w:rPr>
            </w:pPr>
            <w:r>
              <w:rPr>
                <w:rFonts w:ascii="Arial" w:cs="Arial" w:eastAsia="Arial" w:hAnsi="Arial"/>
                <w:sz w:val="10"/>
                <w:szCs w:val="10"/>
                <w:b w:val="1"/>
                <w:bCs w:val="1"/>
                <w:color w:val="auto"/>
              </w:rPr>
              <w:t>No.</w:t>
            </w:r>
          </w:p>
        </w:tc>
        <w:tc>
          <w:tcPr>
            <w:tcW w:w="340" w:type="dxa"/>
            <w:vAlign w:val="bottom"/>
          </w:tcPr>
          <w:p>
            <w:pPr>
              <w:spacing w:after="0"/>
              <w:rPr>
                <w:sz w:val="9"/>
                <w:szCs w:val="9"/>
                <w:color w:val="auto"/>
              </w:rPr>
            </w:pPr>
          </w:p>
        </w:tc>
        <w:tc>
          <w:tcPr>
            <w:tcW w:w="48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w w:val="83"/>
              </w:rPr>
              <w:t>Description</w:t>
            </w:r>
          </w:p>
        </w:tc>
        <w:tc>
          <w:tcPr>
            <w:tcW w:w="2680" w:type="dxa"/>
            <w:vAlign w:val="bottom"/>
            <w:gridSpan w:val="2"/>
          </w:tcPr>
          <w:p>
            <w:pPr>
              <w:spacing w:after="0"/>
              <w:rPr>
                <w:sz w:val="9"/>
                <w:szCs w:val="9"/>
                <w:color w:val="auto"/>
              </w:rPr>
            </w:pPr>
          </w:p>
        </w:tc>
      </w:tr>
      <w:tr>
        <w:trPr>
          <w:trHeight w:val="178"/>
        </w:trPr>
        <w:tc>
          <w:tcPr>
            <w:tcW w:w="340" w:type="dxa"/>
            <w:vAlign w:val="bottom"/>
          </w:tcPr>
          <w:p>
            <w:pPr>
              <w:spacing w:after="0"/>
              <w:rPr>
                <w:sz w:val="20"/>
                <w:szCs w:val="20"/>
                <w:color w:val="auto"/>
              </w:rPr>
            </w:pPr>
            <w:r>
              <w:rPr>
                <w:rFonts w:ascii="Arial" w:cs="Arial" w:eastAsia="Arial" w:hAnsi="Arial"/>
                <w:sz w:val="12"/>
                <w:szCs w:val="12"/>
                <w:color w:val="auto"/>
              </w:rPr>
              <w:t>99.1</w:t>
            </w:r>
          </w:p>
        </w:tc>
        <w:tc>
          <w:tcPr>
            <w:tcW w:w="340" w:type="dxa"/>
            <w:vAlign w:val="bottom"/>
          </w:tcPr>
          <w:p>
            <w:pPr>
              <w:spacing w:after="0"/>
              <w:rPr>
                <w:sz w:val="15"/>
                <w:szCs w:val="15"/>
                <w:color w:val="auto"/>
              </w:rPr>
            </w:pPr>
          </w:p>
        </w:tc>
        <w:tc>
          <w:tcPr>
            <w:tcW w:w="3160" w:type="dxa"/>
            <w:vAlign w:val="bottom"/>
            <w:gridSpan w:val="3"/>
          </w:tcPr>
          <w:p>
            <w:pPr>
              <w:spacing w:after="0"/>
              <w:rPr>
                <w:rFonts w:ascii="Arial" w:cs="Arial" w:eastAsia="Arial" w:hAnsi="Arial"/>
                <w:sz w:val="12"/>
                <w:szCs w:val="12"/>
                <w:color w:val="0000EE"/>
              </w:rPr>
            </w:pPr>
            <w:hyperlink w:anchor="page5">
              <w:r>
                <w:rPr>
                  <w:rFonts w:ascii="Arial" w:cs="Arial" w:eastAsia="Arial" w:hAnsi="Arial"/>
                  <w:sz w:val="12"/>
                  <w:szCs w:val="12"/>
                  <w:color w:val="0000EE"/>
                </w:rPr>
                <w:t>Flywire Corporation Press Release dated August 10, 2021.</w:t>
              </w:r>
            </w:hyperlink>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340" w:type="dxa"/>
            <w:vAlign w:val="bottom"/>
          </w:tcPr>
          <w:p>
            <w:pPr>
              <w:spacing w:after="0"/>
              <w:rPr>
                <w:sz w:val="20"/>
                <w:szCs w:val="20"/>
                <w:color w:val="auto"/>
              </w:rPr>
            </w:pPr>
            <w:r>
              <w:rPr>
                <w:rFonts w:ascii="Arial" w:cs="Arial" w:eastAsia="Arial" w:hAnsi="Arial"/>
                <w:sz w:val="12"/>
                <w:szCs w:val="12"/>
                <w:color w:val="auto"/>
              </w:rPr>
              <w:t>99.2</w:t>
            </w:r>
          </w:p>
        </w:tc>
        <w:tc>
          <w:tcPr>
            <w:tcW w:w="340" w:type="dxa"/>
            <w:vAlign w:val="bottom"/>
          </w:tcPr>
          <w:p>
            <w:pPr>
              <w:spacing w:after="0"/>
              <w:rPr>
                <w:sz w:val="17"/>
                <w:szCs w:val="17"/>
                <w:color w:val="auto"/>
              </w:rPr>
            </w:pPr>
          </w:p>
        </w:tc>
        <w:tc>
          <w:tcPr>
            <w:tcW w:w="3160" w:type="dxa"/>
            <w:vAlign w:val="bottom"/>
            <w:tcBorders>
              <w:bottom w:val="single" w:sz="8" w:color="0000EE"/>
            </w:tcBorders>
            <w:gridSpan w:val="3"/>
          </w:tcPr>
          <w:p>
            <w:pPr>
              <w:spacing w:after="0"/>
              <w:rPr>
                <w:rFonts w:ascii="Arial" w:cs="Arial" w:eastAsia="Arial" w:hAnsi="Arial"/>
                <w:sz w:val="12"/>
                <w:szCs w:val="12"/>
                <w:color w:val="0000EE"/>
                <w:w w:val="91"/>
              </w:rPr>
            </w:pPr>
            <w:hyperlink w:anchor="page15">
              <w:r>
                <w:rPr>
                  <w:rFonts w:ascii="Arial" w:cs="Arial" w:eastAsia="Arial" w:hAnsi="Arial"/>
                  <w:sz w:val="12"/>
                  <w:szCs w:val="12"/>
                  <w:color w:val="0000EE"/>
                  <w:w w:val="91"/>
                </w:rPr>
                <w:t>Flywire Corporation Investor Presentation dated August 10, 2021</w:t>
              </w:r>
            </w:hyperlink>
          </w:p>
        </w:tc>
      </w:tr>
    </w:tbl>
    <w:p>
      <w:pPr>
        <w:spacing w:after="0"/>
        <w:rPr>
          <w:sz w:val="20"/>
          <w:szCs w:val="20"/>
          <w:color w:val="auto"/>
        </w:rPr>
        <w:sectPr>
          <w:pgSz w:w="11900" w:h="16838" w:orient="portrait"/>
          <w:cols w:equalWidth="0" w:num="1">
            <w:col w:w="9019"/>
          </w:cols>
          <w:pgMar w:left="1440" w:top="226" w:right="1440" w:bottom="1440" w:gutter="0" w:footer="0" w:header="0"/>
        </w:sect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bookmarkStart w:id="3" w:name="page4"/>
    <w:bookmarkEnd w:id="3"/>
    <w:p>
      <w:pPr>
        <w:jc w:val="cente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SIGNATURE</w:t>
      </w:r>
    </w:p>
    <w:p>
      <w:pPr>
        <w:spacing w:after="0" w:line="150" w:lineRule="exact"/>
        <w:rPr>
          <w:sz w:val="20"/>
          <w:szCs w:val="20"/>
          <w:color w:val="auto"/>
        </w:rPr>
      </w:pPr>
    </w:p>
    <w:p>
      <w:pPr>
        <w:ind w:left="840" w:right="1039" w:firstLine="294"/>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FLYWIRE CORPORATION</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9525</wp:posOffset>
            </wp:positionV>
            <wp:extent cx="170878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13"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 Michael Ellis</w:t>
      </w:r>
    </w:p>
    <w:p>
      <w:pPr>
        <w:spacing w:after="0" w:line="6"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Title: Chief Financial Officer</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Dated August 10, 2021</w:t>
      </w:r>
    </w:p>
    <w:p>
      <w:pPr>
        <w:sectPr>
          <w:pgSz w:w="11900" w:h="16838" w:orient="portrait"/>
          <w:cols w:equalWidth="0" w:num="1">
            <w:col w:w="9019"/>
          </w:cols>
          <w:pgMar w:left="1440" w:top="230" w:right="1440" w:bottom="1440" w:gutter="0" w:footer="0" w:header="0"/>
        </w:sectPr>
      </w:pPr>
    </w:p>
    <w:bookmarkStart w:id="4" w:name="page5"/>
    <w:bookmarkEnd w:id="4"/>
    <w:p>
      <w:pPr>
        <w:jc w:val="right"/>
        <w:ind w:right="839"/>
        <w:spacing w:after="0"/>
        <w:rPr>
          <w:sz w:val="20"/>
          <w:szCs w:val="20"/>
          <w:color w:val="auto"/>
        </w:rPr>
      </w:pPr>
      <w:r>
        <w:rPr>
          <w:rFonts w:ascii="Arial" w:cs="Arial" w:eastAsia="Arial" w:hAnsi="Arial"/>
          <w:sz w:val="12"/>
          <w:szCs w:val="12"/>
          <w:b w:val="1"/>
          <w:bCs w:val="1"/>
          <w:color w:val="auto"/>
        </w:rPr>
        <w:t>Exhibit 99.1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Flywire Reports Second Quarter 2021 Financial Results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Revenue Increased 56% Year-over-Year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Revenue Less Ancillary Services Increased 77% Year-over-Year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Total Payment Volume was $1.9 Billion, up 85% Year-over-Year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Company Provides Fiscal-Year 2021 Outlook</w:t>
      </w:r>
    </w:p>
    <w:p>
      <w:pPr>
        <w:spacing w:after="0" w:line="146" w:lineRule="exact"/>
        <w:rPr>
          <w:sz w:val="20"/>
          <w:szCs w:val="20"/>
          <w:color w:val="auto"/>
        </w:rPr>
      </w:pPr>
    </w:p>
    <w:p>
      <w:pPr>
        <w:ind w:left="840" w:right="959"/>
        <w:spacing w:after="0" w:line="283" w:lineRule="auto"/>
        <w:rPr>
          <w:sz w:val="20"/>
          <w:szCs w:val="20"/>
          <w:color w:val="auto"/>
        </w:rPr>
      </w:pPr>
      <w:r>
        <w:rPr>
          <w:rFonts w:ascii="Arial" w:cs="Arial" w:eastAsia="Arial" w:hAnsi="Arial"/>
          <w:sz w:val="12"/>
          <w:szCs w:val="12"/>
          <w:b w:val="1"/>
          <w:bCs w:val="1"/>
          <w:color w:val="auto"/>
        </w:rPr>
        <w:t xml:space="preserve">Boston, MA - August 10, 2021: </w:t>
      </w:r>
      <w:r>
        <w:rPr>
          <w:rFonts w:ascii="Arial" w:cs="Arial" w:eastAsia="Arial" w:hAnsi="Arial"/>
          <w:sz w:val="12"/>
          <w:szCs w:val="12"/>
          <w:u w:val="single" w:color="auto"/>
          <w:color w:val="auto"/>
        </w:rPr>
        <w:t>Flywire Corporation</w:t>
      </w:r>
      <w:r>
        <w:rPr>
          <w:rFonts w:ascii="Arial" w:cs="Arial" w:eastAsia="Arial" w:hAnsi="Arial"/>
          <w:sz w:val="12"/>
          <w:szCs w:val="12"/>
          <w:b w:val="1"/>
          <w:bCs w:val="1"/>
          <w:color w:val="auto"/>
        </w:rPr>
        <w:t xml:space="preserve"> </w:t>
      </w:r>
      <w:r>
        <w:rPr>
          <w:rFonts w:ascii="Arial" w:cs="Arial" w:eastAsia="Arial" w:hAnsi="Arial"/>
          <w:sz w:val="12"/>
          <w:szCs w:val="12"/>
          <w:color w:val="auto"/>
        </w:rPr>
        <w:t>(Nasdaq: FLYW) (“the Company”) a global payments enablement and software company, today</w:t>
      </w:r>
      <w:r>
        <w:rPr>
          <w:rFonts w:ascii="Arial" w:cs="Arial" w:eastAsia="Arial" w:hAnsi="Arial"/>
          <w:sz w:val="12"/>
          <w:szCs w:val="12"/>
          <w:b w:val="1"/>
          <w:bCs w:val="1"/>
          <w:color w:val="auto"/>
        </w:rPr>
        <w:t xml:space="preserve"> </w:t>
      </w:r>
      <w:r>
        <w:rPr>
          <w:rFonts w:ascii="Arial" w:cs="Arial" w:eastAsia="Arial" w:hAnsi="Arial"/>
          <w:sz w:val="12"/>
          <w:szCs w:val="12"/>
          <w:color w:val="auto"/>
        </w:rPr>
        <w:t>reported financial results for its second quarter of 2021.</w:t>
      </w:r>
    </w:p>
    <w:p>
      <w:pPr>
        <w:spacing w:after="0" w:line="111" w:lineRule="exact"/>
        <w:rPr>
          <w:sz w:val="20"/>
          <w:szCs w:val="20"/>
          <w:color w:val="auto"/>
        </w:rPr>
      </w:pPr>
    </w:p>
    <w:p>
      <w:pPr>
        <w:ind w:left="840" w:right="859"/>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I am pleased to report that we generated strong second quarter results, our first in our journey as a publicly traded company,”</w:t>
      </w:r>
      <w:r>
        <w:rPr>
          <w:rFonts w:ascii="Arial" w:cs="Arial" w:eastAsia="Arial" w:hAnsi="Arial"/>
          <w:sz w:val="12"/>
          <w:szCs w:val="12"/>
          <w:color w:val="auto"/>
        </w:rPr>
        <w:t xml:space="preserve"> said Mike Massaro, CEO of Flywire</w:t>
      </w:r>
      <w:r>
        <w:rPr>
          <w:rFonts w:ascii="Arial" w:cs="Arial" w:eastAsia="Arial" w:hAnsi="Arial"/>
          <w:sz w:val="12"/>
          <w:szCs w:val="12"/>
          <w:i w:val="1"/>
          <w:iCs w:val="1"/>
          <w:color w:val="auto"/>
        </w:rPr>
        <w:t>. “We believe our performance, as highlighted by our revenue growth, continues to demonstrate the demand for digital payments</w:t>
      </w:r>
      <w:r>
        <w:rPr>
          <w:rFonts w:ascii="Arial" w:cs="Arial" w:eastAsia="Arial" w:hAnsi="Arial"/>
          <w:sz w:val="12"/>
          <w:szCs w:val="12"/>
          <w:color w:val="auto"/>
        </w:rPr>
        <w:t xml:space="preserve"> </w:t>
      </w:r>
      <w:r>
        <w:rPr>
          <w:rFonts w:ascii="Arial" w:cs="Arial" w:eastAsia="Arial" w:hAnsi="Arial"/>
          <w:sz w:val="12"/>
          <w:szCs w:val="12"/>
          <w:i w:val="1"/>
          <w:iCs w:val="1"/>
          <w:color w:val="auto"/>
        </w:rPr>
        <w:t>solutions and our ability to help our clients get paid and help their customers pay with ease from anywhere in the world. Additionally, in Q2 we saw positive growth trends with new client acquisition across our key verticals of education, healthcare, travel and B2B, as well as increased adoption of our solutions with current clients.</w:t>
      </w:r>
      <w:r>
        <w:rPr>
          <w:rFonts w:ascii="Arial" w:cs="Arial" w:eastAsia="Arial" w:hAnsi="Arial"/>
          <w:sz w:val="12"/>
          <w:szCs w:val="12"/>
          <w:color w:val="auto"/>
        </w:rPr>
        <w:t>”</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Second Quarter 2021 Financial Highlights: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GAAP Results</w:t>
      </w:r>
    </w:p>
    <w:p>
      <w:pPr>
        <w:spacing w:after="0" w:line="87" w:lineRule="exact"/>
        <w:rPr>
          <w:sz w:val="20"/>
          <w:szCs w:val="20"/>
          <w:color w:val="auto"/>
        </w:rPr>
      </w:pPr>
    </w:p>
    <w:p>
      <w:pPr>
        <w:ind w:left="1480" w:hanging="360"/>
        <w:spacing w:after="0"/>
        <w:tabs>
          <w:tab w:leader="none" w:pos="1480" w:val="left"/>
        </w:tabs>
        <w:numPr>
          <w:ilvl w:val="0"/>
          <w:numId w:val="2"/>
        </w:numPr>
        <w:rPr>
          <w:rFonts w:ascii="Arial" w:cs="Arial" w:eastAsia="Arial" w:hAnsi="Arial"/>
          <w:sz w:val="11"/>
          <w:szCs w:val="11"/>
          <w:color w:val="auto"/>
        </w:rPr>
      </w:pPr>
      <w:r>
        <w:rPr>
          <w:rFonts w:ascii="Arial" w:cs="Arial" w:eastAsia="Arial" w:hAnsi="Arial"/>
          <w:sz w:val="11"/>
          <w:szCs w:val="11"/>
          <w:color w:val="auto"/>
        </w:rPr>
        <w:t>Revenue increased 56% to $37.0 million in the second quarter of 2021, compared to $23.8 million in the second quarter of 2020.</w:t>
      </w:r>
    </w:p>
    <w:p>
      <w:pPr>
        <w:spacing w:after="0" w:line="98" w:lineRule="exact"/>
        <w:rPr>
          <w:rFonts w:ascii="Arial" w:cs="Arial" w:eastAsia="Arial" w:hAnsi="Arial"/>
          <w:sz w:val="11"/>
          <w:szCs w:val="11"/>
          <w:color w:val="auto"/>
        </w:rPr>
      </w:pPr>
    </w:p>
    <w:p>
      <w:pPr>
        <w:ind w:left="1480" w:hanging="360"/>
        <w:spacing w:after="0"/>
        <w:tabs>
          <w:tab w:leader="none" w:pos="1480" w:val="left"/>
        </w:tabs>
        <w:numPr>
          <w:ilvl w:val="0"/>
          <w:numId w:val="2"/>
        </w:numPr>
        <w:rPr>
          <w:rFonts w:ascii="Arial" w:cs="Arial" w:eastAsia="Arial" w:hAnsi="Arial"/>
          <w:sz w:val="10"/>
          <w:szCs w:val="10"/>
          <w:color w:val="auto"/>
        </w:rPr>
      </w:pPr>
      <w:r>
        <w:rPr>
          <w:rFonts w:ascii="Arial" w:cs="Arial" w:eastAsia="Arial" w:hAnsi="Arial"/>
          <w:sz w:val="10"/>
          <w:szCs w:val="10"/>
          <w:color w:val="auto"/>
        </w:rPr>
        <w:t>Gross margin increased 11.6% in absolute terms to 60.8% in the second quarter of 2021, compared to 49.2%in the second quarter of 2020.</w:t>
      </w:r>
    </w:p>
    <w:p>
      <w:pPr>
        <w:spacing w:after="0" w:line="110" w:lineRule="exact"/>
        <w:rPr>
          <w:rFonts w:ascii="Arial" w:cs="Arial" w:eastAsia="Arial" w:hAnsi="Arial"/>
          <w:sz w:val="10"/>
          <w:szCs w:val="10"/>
          <w:color w:val="auto"/>
        </w:rPr>
      </w:pPr>
    </w:p>
    <w:p>
      <w:pPr>
        <w:jc w:val="both"/>
        <w:ind w:left="1480" w:right="1099" w:hanging="360"/>
        <w:spacing w:after="0" w:line="263" w:lineRule="auto"/>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Net loss was $18.1 million in the second quarter of 2021, compared to $16.0 million in the second quarter of 2020. The increase in the Company’s net loss was primarily due to the revaluation of our preferred stock warrants resulting in a non-cash charge of $9.8 million during the second quarter of 2021 due to the initial public offering in May 2021.</w:t>
      </w:r>
    </w:p>
    <w:p>
      <w:pPr>
        <w:spacing w:after="0" w:line="12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Key Operating Metrics and Non-GAAP Results</w:t>
      </w:r>
    </w:p>
    <w:p>
      <w:pPr>
        <w:spacing w:after="0" w:line="87" w:lineRule="exact"/>
        <w:rPr>
          <w:sz w:val="20"/>
          <w:szCs w:val="20"/>
          <w:color w:val="auto"/>
        </w:rPr>
      </w:pPr>
    </w:p>
    <w:p>
      <w:pPr>
        <w:ind w:left="1480" w:hanging="360"/>
        <w:spacing w:after="0"/>
        <w:tabs>
          <w:tab w:leader="none" w:pos="1480" w:val="left"/>
        </w:tabs>
        <w:numPr>
          <w:ilvl w:val="0"/>
          <w:numId w:val="3"/>
        </w:numPr>
        <w:rPr>
          <w:rFonts w:ascii="Arial" w:cs="Arial" w:eastAsia="Arial" w:hAnsi="Arial"/>
          <w:sz w:val="10"/>
          <w:szCs w:val="10"/>
          <w:color w:val="auto"/>
        </w:rPr>
      </w:pPr>
      <w:r>
        <w:rPr>
          <w:rFonts w:ascii="Arial" w:cs="Arial" w:eastAsia="Arial" w:hAnsi="Arial"/>
          <w:sz w:val="10"/>
          <w:szCs w:val="10"/>
          <w:color w:val="auto"/>
        </w:rPr>
        <w:t>Total Payment Volume increased 85% to $1.9 billion in the second quarter of 2021, compared to $1.0 billion in the second quarter of 2020.</w:t>
      </w:r>
    </w:p>
    <w:p>
      <w:pPr>
        <w:spacing w:after="0" w:line="110" w:lineRule="exact"/>
        <w:rPr>
          <w:rFonts w:ascii="Arial" w:cs="Arial" w:eastAsia="Arial" w:hAnsi="Arial"/>
          <w:sz w:val="10"/>
          <w:szCs w:val="10"/>
          <w:color w:val="auto"/>
        </w:rPr>
      </w:pPr>
    </w:p>
    <w:p>
      <w:pPr>
        <w:ind w:left="1480" w:right="999" w:hanging="360"/>
        <w:spacing w:after="0" w:line="276" w:lineRule="auto"/>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Revenue Less Ancillary Services increased 77% to $33.0 million in the second quarter of 2021, compared to $18.6 million in the second quarter of 2020.</w:t>
      </w:r>
    </w:p>
    <w:p>
      <w:pPr>
        <w:sectPr>
          <w:pgSz w:w="11900" w:h="16838" w:orient="portrait"/>
          <w:cols w:equalWidth="0" w:num="1">
            <w:col w:w="9019"/>
          </w:cols>
          <w:pgMar w:left="1440" w:top="127" w:right="1440" w:bottom="1440" w:gutter="0" w:footer="0" w:header="0"/>
        </w:sectPr>
      </w:pPr>
    </w:p>
    <w:bookmarkStart w:id="5" w:name="page6"/>
    <w:bookmarkEnd w:id="5"/>
    <w:p>
      <w:pPr>
        <w:ind w:left="1480" w:right="879" w:hanging="360"/>
        <w:spacing w:after="0" w:line="276" w:lineRule="auto"/>
        <w:tabs>
          <w:tab w:leader="none" w:pos="1480" w:val="left"/>
        </w:tabs>
        <w:numPr>
          <w:ilvl w:val="0"/>
          <w:numId w:val="4"/>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Adjusted Gross Margin increased 5.3% in absolute terms to 68.2% in the second quarter of 2021, compared to 62.9% in the second quarter of 2020.</w:t>
      </w:r>
    </w:p>
    <w:p>
      <w:pPr>
        <w:spacing w:after="0" w:line="51" w:lineRule="exact"/>
        <w:rPr>
          <w:rFonts w:ascii="Arial" w:cs="Arial" w:eastAsia="Arial" w:hAnsi="Arial"/>
          <w:sz w:val="12"/>
          <w:szCs w:val="12"/>
          <w:color w:val="auto"/>
        </w:rPr>
      </w:pPr>
    </w:p>
    <w:p>
      <w:pPr>
        <w:ind w:left="1480" w:hanging="360"/>
        <w:spacing w:after="0"/>
        <w:tabs>
          <w:tab w:leader="none" w:pos="1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Adjusted EBITDA was $(0.1) in the second quarter of 2021, compared to $(7.0) million in the second quarter of 2020.</w:t>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Fiscal-Year 2021 Outlook:</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Based on information available as of August 10, 2021, for fiscal year 2021 Flywire expects the following:</w:t>
      </w:r>
    </w:p>
    <w:p>
      <w:pPr>
        <w:spacing w:after="0" w:line="87" w:lineRule="exact"/>
        <w:rPr>
          <w:sz w:val="20"/>
          <w:szCs w:val="20"/>
          <w:color w:val="auto"/>
        </w:rPr>
      </w:pPr>
    </w:p>
    <w:p>
      <w:pPr>
        <w:ind w:left="1480" w:hanging="360"/>
        <w:spacing w:after="0"/>
        <w:tabs>
          <w:tab w:leader="none" w:pos="148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Revenue of $173 to $178 million</w:t>
      </w:r>
    </w:p>
    <w:p>
      <w:pPr>
        <w:spacing w:after="0" w:line="87" w:lineRule="exact"/>
        <w:rPr>
          <w:rFonts w:ascii="Arial" w:cs="Arial" w:eastAsia="Arial" w:hAnsi="Arial"/>
          <w:sz w:val="12"/>
          <w:szCs w:val="12"/>
          <w:color w:val="auto"/>
        </w:rPr>
      </w:pPr>
    </w:p>
    <w:p>
      <w:pPr>
        <w:ind w:left="1480" w:hanging="360"/>
        <w:spacing w:after="0"/>
        <w:tabs>
          <w:tab w:leader="none" w:pos="148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Revenue Less Ancillary Services of $158 to $161 million</w:t>
      </w:r>
    </w:p>
    <w:p>
      <w:pPr>
        <w:spacing w:after="0" w:line="87" w:lineRule="exact"/>
        <w:rPr>
          <w:rFonts w:ascii="Arial" w:cs="Arial" w:eastAsia="Arial" w:hAnsi="Arial"/>
          <w:sz w:val="12"/>
          <w:szCs w:val="12"/>
          <w:color w:val="auto"/>
        </w:rPr>
      </w:pPr>
    </w:p>
    <w:p>
      <w:pPr>
        <w:ind w:left="1480" w:hanging="360"/>
        <w:spacing w:after="0"/>
        <w:tabs>
          <w:tab w:leader="none" w:pos="1480" w:val="left"/>
        </w:tabs>
        <w:numPr>
          <w:ilvl w:val="0"/>
          <w:numId w:val="5"/>
        </w:numPr>
        <w:rPr>
          <w:rFonts w:ascii="Arial" w:cs="Arial" w:eastAsia="Arial" w:hAnsi="Arial"/>
          <w:sz w:val="12"/>
          <w:szCs w:val="12"/>
          <w:color w:val="auto"/>
        </w:rPr>
      </w:pPr>
      <w:r>
        <w:rPr>
          <w:rFonts w:ascii="Arial" w:cs="Arial" w:eastAsia="Arial" w:hAnsi="Arial"/>
          <w:sz w:val="12"/>
          <w:szCs w:val="12"/>
          <w:color w:val="auto"/>
        </w:rPr>
        <w:t>Adjusted EBITDA of $4 to $6 million*</w:t>
      </w:r>
    </w:p>
    <w:p>
      <w:pPr>
        <w:spacing w:after="0" w:line="150" w:lineRule="exact"/>
        <w:rPr>
          <w:sz w:val="20"/>
          <w:szCs w:val="20"/>
          <w:color w:val="auto"/>
        </w:rPr>
      </w:pPr>
    </w:p>
    <w:p>
      <w:pPr>
        <w:ind w:left="840" w:right="899"/>
        <w:spacing w:after="0" w:line="259" w:lineRule="auto"/>
        <w:rPr>
          <w:sz w:val="20"/>
          <w:szCs w:val="20"/>
          <w:color w:val="auto"/>
        </w:rPr>
      </w:pPr>
      <w:r>
        <w:rPr>
          <w:rFonts w:ascii="Arial" w:cs="Arial" w:eastAsia="Arial" w:hAnsi="Arial"/>
          <w:sz w:val="12"/>
          <w:szCs w:val="12"/>
          <w:color w:val="auto"/>
        </w:rPr>
        <w:t>*Flywire has not provided a quantitative reconciliation of forecasted Adjusted EBITDA to forecasted GAAP net income (loss) or to forecasted GAAP income (loss) before income taxes within this earnings release because the company is unable, without making unreasonable efforts, to calculate certain reconciling items with confidence. These items include but are not limited to income taxes which are directly impacted by unpredictable fluctuations in the market price of the company’s stock.</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Conference Call</w:t>
      </w:r>
    </w:p>
    <w:p>
      <w:pPr>
        <w:spacing w:after="0" w:line="82" w:lineRule="exact"/>
        <w:rPr>
          <w:sz w:val="20"/>
          <w:szCs w:val="20"/>
          <w:color w:val="auto"/>
        </w:rPr>
      </w:pPr>
    </w:p>
    <w:p>
      <w:pPr>
        <w:ind w:left="840" w:right="899"/>
        <w:spacing w:after="0" w:line="298" w:lineRule="auto"/>
        <w:rPr>
          <w:sz w:val="20"/>
          <w:szCs w:val="20"/>
          <w:color w:val="auto"/>
        </w:rPr>
      </w:pPr>
      <w:r>
        <w:rPr>
          <w:rFonts w:ascii="Arial" w:cs="Arial" w:eastAsia="Arial" w:hAnsi="Arial"/>
          <w:sz w:val="11"/>
          <w:szCs w:val="11"/>
          <w:color w:val="auto"/>
        </w:rPr>
        <w:t xml:space="preserve">The Company will host a conference call to discuss second quarter 2021 financial results today at 5:00 pm ET. Hosting the call will be Mike Massaro, CEO, Rob Orgel, President and COO and Mike Ellis, CFO. The conference call can be accessed live via webcast from the Company’s investor relations website at </w:t>
      </w:r>
      <w:r>
        <w:rPr>
          <w:rFonts w:ascii="Arial" w:cs="Arial" w:eastAsia="Arial" w:hAnsi="Arial"/>
          <w:sz w:val="11"/>
          <w:szCs w:val="11"/>
          <w:u w:val="single" w:color="auto"/>
          <w:color w:val="auto"/>
        </w:rPr>
        <w:t>https://ir.flywire.com/</w:t>
      </w:r>
      <w:r>
        <w:rPr>
          <w:rFonts w:ascii="Arial" w:cs="Arial" w:eastAsia="Arial" w:hAnsi="Arial"/>
          <w:sz w:val="11"/>
          <w:szCs w:val="11"/>
          <w:color w:val="auto"/>
        </w:rPr>
        <w:t>. A replay will be available on the investor relations website following the call.</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Key Operating Metrics and Non-GAAP Financial Measures table</w:t>
      </w:r>
    </w:p>
    <w:p>
      <w:pPr>
        <w:spacing w:after="0" w:line="82" w:lineRule="exact"/>
        <w:rPr>
          <w:sz w:val="20"/>
          <w:szCs w:val="20"/>
          <w:color w:val="auto"/>
        </w:rPr>
      </w:pPr>
    </w:p>
    <w:p>
      <w:pPr>
        <w:jc w:val="both"/>
        <w:ind w:left="840" w:right="1019"/>
        <w:spacing w:after="0" w:line="306" w:lineRule="auto"/>
        <w:rPr>
          <w:sz w:val="20"/>
          <w:szCs w:val="20"/>
          <w:color w:val="auto"/>
        </w:rPr>
      </w:pPr>
      <w:r>
        <w:rPr>
          <w:rFonts w:ascii="Arial" w:cs="Arial" w:eastAsia="Arial" w:hAnsi="Arial"/>
          <w:sz w:val="10"/>
          <w:szCs w:val="10"/>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w:t>
      </w:r>
    </w:p>
    <w:p>
      <w:pPr>
        <w:spacing w:after="0" w:line="1" w:lineRule="exact"/>
        <w:rPr>
          <w:sz w:val="20"/>
          <w:szCs w:val="20"/>
          <w:color w:val="auto"/>
        </w:rPr>
      </w:pPr>
    </w:p>
    <w:p>
      <w:pPr>
        <w:ind w:left="840" w:right="919"/>
        <w:spacing w:after="0" w:line="281" w:lineRule="auto"/>
        <w:rPr>
          <w:sz w:val="20"/>
          <w:szCs w:val="20"/>
          <w:color w:val="auto"/>
        </w:rPr>
      </w:pPr>
      <w:r>
        <w:rPr>
          <w:rFonts w:ascii="Arial" w:cs="Arial" w:eastAsia="Arial" w:hAnsi="Arial"/>
          <w:sz w:val="11"/>
          <w:szCs w:val="11"/>
          <w:color w:val="auto"/>
        </w:rPr>
        <w:t>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ectPr>
          <w:pgSz w:w="11900" w:h="16838" w:orient="portrait"/>
          <w:cols w:equalWidth="0" w:num="1">
            <w:col w:w="9019"/>
          </w:cols>
          <w:pgMar w:left="1440" w:top="230" w:right="1440" w:bottom="1440" w:gutter="0" w:footer="0" w:header="0"/>
        </w:sectPr>
      </w:pPr>
    </w:p>
    <w:bookmarkStart w:id="6" w:name="page7"/>
    <w:bookmarkEnd w:id="6"/>
    <w:p>
      <w:pPr>
        <w:ind w:left="840" w:right="1019"/>
        <w:spacing w:after="0" w:line="32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spacing w:after="0" w:line="29" w:lineRule="exact"/>
        <w:rPr>
          <w:sz w:val="20"/>
          <w:szCs w:val="20"/>
          <w:color w:val="auto"/>
        </w:rPr>
      </w:pPr>
    </w:p>
    <w:p>
      <w:pPr>
        <w:ind w:left="1480" w:right="999" w:hanging="360"/>
        <w:spacing w:after="0" w:line="340" w:lineRule="auto"/>
        <w:tabs>
          <w:tab w:leader="none" w:pos="1480" w:val="left"/>
        </w:tabs>
        <w:numPr>
          <w:ilvl w:val="0"/>
          <w:numId w:val="6"/>
        </w:numPr>
        <w:rPr>
          <w:rFonts w:ascii="Arial" w:cs="Arial" w:eastAsia="Arial" w:hAnsi="Arial"/>
          <w:sz w:val="10"/>
          <w:szCs w:val="10"/>
          <w:color w:val="auto"/>
        </w:rPr>
      </w:pPr>
      <w:r>
        <w:rPr>
          <w:rFonts w:ascii="Arial" w:cs="Arial" w:eastAsia="Arial" w:hAnsi="Arial"/>
          <w:sz w:val="10"/>
          <w:szCs w:val="10"/>
          <w:color w:val="auto"/>
        </w:rPr>
        <w:t>Revenue Less Ancillary Services. Revenue Less Ancillary Services represents our consolidated revenue in accordance with GAAP after excluding (i) pass-through cost for printing and mailing services and (ii) marketing fees. We exclude these amounts to arrive at this supplemental non-GAAP financial measure as we view these services as ancillary to the primary services we provide to our clients.</w:t>
      </w:r>
    </w:p>
    <w:p>
      <w:pPr>
        <w:spacing w:after="0" w:line="24" w:lineRule="exact"/>
        <w:rPr>
          <w:rFonts w:ascii="Arial" w:cs="Arial" w:eastAsia="Arial" w:hAnsi="Arial"/>
          <w:sz w:val="10"/>
          <w:szCs w:val="10"/>
          <w:color w:val="auto"/>
        </w:rPr>
      </w:pPr>
    </w:p>
    <w:p>
      <w:pPr>
        <w:ind w:left="1480" w:right="919" w:hanging="360"/>
        <w:spacing w:after="0" w:line="256" w:lineRule="auto"/>
        <w:tabs>
          <w:tab w:leader="none" w:pos="1480" w:val="left"/>
        </w:tabs>
        <w:numPr>
          <w:ilvl w:val="0"/>
          <w:numId w:val="6"/>
        </w:numPr>
        <w:rPr>
          <w:rFonts w:ascii="Arial" w:cs="Arial" w:eastAsia="Arial" w:hAnsi="Arial"/>
          <w:sz w:val="12"/>
          <w:szCs w:val="12"/>
          <w:color w:val="auto"/>
        </w:rPr>
      </w:pPr>
      <w:r>
        <w:rPr>
          <w:rFonts w:ascii="Arial" w:cs="Arial" w:eastAsia="Arial" w:hAnsi="Arial"/>
          <w:sz w:val="12"/>
          <w:szCs w:val="12"/>
          <w:color w:val="auto"/>
        </w:rPr>
        <w:t>Adjusted Gross Margin. Adjusted gross margin represents adjusted gross profit divided by Revenue Less Ancillary Services. Adjusted gross profit represents Revenue Less Ancillary Services less cost of revenue adjusted to (i) exclude pass-through cost for printing services and (ii) offset marketing fees against costs incurred. Management believes this presentation supplements the GAAP presentation of gross margin with a useful measure of the gross margin of our payment-related services, which are the primary services we provide to our clients.</w:t>
      </w:r>
    </w:p>
    <w:p>
      <w:pPr>
        <w:spacing w:after="0" w:line="65" w:lineRule="exact"/>
        <w:rPr>
          <w:rFonts w:ascii="Arial" w:cs="Arial" w:eastAsia="Arial" w:hAnsi="Arial"/>
          <w:sz w:val="12"/>
          <w:szCs w:val="12"/>
          <w:color w:val="auto"/>
        </w:rPr>
      </w:pPr>
    </w:p>
    <w:p>
      <w:pPr>
        <w:ind w:left="1480" w:right="899" w:hanging="360"/>
        <w:spacing w:after="0" w:line="320" w:lineRule="auto"/>
        <w:tabs>
          <w:tab w:leader="none" w:pos="1480" w:val="left"/>
        </w:tabs>
        <w:numPr>
          <w:ilvl w:val="0"/>
          <w:numId w:val="6"/>
        </w:numPr>
        <w:rPr>
          <w:rFonts w:ascii="Arial" w:cs="Arial" w:eastAsia="Arial" w:hAnsi="Arial"/>
          <w:sz w:val="10"/>
          <w:szCs w:val="10"/>
          <w:color w:val="auto"/>
        </w:rPr>
      </w:pPr>
      <w:r>
        <w:rPr>
          <w:rFonts w:ascii="Arial" w:cs="Arial" w:eastAsia="Arial" w:hAnsi="Arial"/>
          <w:sz w:val="10"/>
          <w:szCs w:val="10"/>
          <w:color w:val="auto"/>
        </w:rPr>
        <w:t>Adjusted EBITDA. Adjusted EBITDA represents EBITDA further adjusted by excluding (i) stock-based compensation expense, (ii) the impact from the change in fair value measurement for contingent consideration associated with acquisitions, (iii) the impact from the change in fair value measurement of our preferred stock warrants, (iv) other income (expense), net, (v) acquisition related transaction costs, and (vi) employee retention costs, such as incentive compensation, associated with acquisition activities. Management believes that the exclusion of these amounts to calculate Adjusted EBITDA provides useful measures for period-to-period comparisons of our business.</w:t>
      </w:r>
    </w:p>
    <w:p>
      <w:pPr>
        <w:spacing w:after="0" w:line="97" w:lineRule="exact"/>
        <w:rPr>
          <w:sz w:val="20"/>
          <w:szCs w:val="20"/>
          <w:color w:val="auto"/>
        </w:rPr>
      </w:pPr>
    </w:p>
    <w:p>
      <w:pPr>
        <w:ind w:left="840" w:right="939"/>
        <w:spacing w:after="0" w:line="283" w:lineRule="auto"/>
        <w:rPr>
          <w:sz w:val="20"/>
          <w:szCs w:val="20"/>
          <w:color w:val="auto"/>
        </w:rPr>
      </w:pPr>
      <w:r>
        <w:rPr>
          <w:rFonts w:ascii="Arial" w:cs="Arial" w:eastAsia="Arial" w:hAnsi="Arial"/>
          <w:sz w:val="11"/>
          <w:szCs w:val="11"/>
          <w:color w:val="auto"/>
        </w:rPr>
        <w:t>These non-GAAP financial measures are not meant to be considered as indicators of performance in isolation from or as a substitute for revenue, gross margin or net loss prepared in accordance with GAAP and should be read only in conjunction with financial information presented on a GAAP basis. Reconciliations of Revenue Less Ancillary Services, Adjusted Gross Margin and Adjusted EBITDA to the most directly comparable GAAP financial measure are presented below. We encourage you to review these reconciliations in conjunction with the presentation of the non-GAAP financial measures for each of the periods presented . In future fiscal periods, we may exclude such items and may incur income and expenses similar to these excluded items. We have not provided a quantitative reconciliation of forecasted Adjusted EBITDA to forecasted</w:t>
      </w:r>
    </w:p>
    <w:p>
      <w:pPr>
        <w:sectPr>
          <w:pgSz w:w="11900" w:h="16838" w:orient="portrait"/>
          <w:cols w:equalWidth="0" w:num="1">
            <w:col w:w="9019"/>
          </w:cols>
          <w:pgMar w:left="1440" w:top="230" w:right="1440" w:bottom="1440" w:gutter="0" w:footer="0" w:header="0"/>
        </w:sectPr>
      </w:pPr>
    </w:p>
    <w:bookmarkStart w:id="7" w:name="page8"/>
    <w:bookmarkEnd w:id="7"/>
    <w:p>
      <w:pPr>
        <w:ind w:left="840" w:right="91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GAAP net income (loss) or to forecasted GAAP income (loss) before income taxes within this earnings release because the company is unable, without making unreasonable efforts, to calculate certain reconciling items with confidence. These items include but are not limited to income taxes which are directly impacted by unpredictable fluctuations in the market price of the company’s stock.</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Flywire</w:t>
      </w:r>
    </w:p>
    <w:p>
      <w:pPr>
        <w:spacing w:after="0" w:line="82" w:lineRule="exact"/>
        <w:rPr>
          <w:sz w:val="20"/>
          <w:szCs w:val="20"/>
          <w:color w:val="auto"/>
        </w:rPr>
      </w:pPr>
    </w:p>
    <w:p>
      <w:pPr>
        <w:ind w:left="840" w:right="1199"/>
        <w:spacing w:after="0" w:line="263" w:lineRule="auto"/>
        <w:rPr>
          <w:sz w:val="20"/>
          <w:szCs w:val="20"/>
          <w:color w:val="auto"/>
        </w:rPr>
      </w:pPr>
      <w:r>
        <w:rPr>
          <w:rFonts w:ascii="Arial" w:cs="Arial" w:eastAsia="Arial" w:hAnsi="Arial"/>
          <w:sz w:val="12"/>
          <w:szCs w:val="12"/>
          <w:color w:val="auto"/>
        </w:rPr>
        <w:t>Flywire Corporation (Nasdaq: FLYW) is a global payments enablement and software company. Flywire combines its proprietary global payments network, next-gen payments platform and vertical-specific software to deliver the most important and complex payments for its clients and their customers.</w:t>
      </w:r>
    </w:p>
    <w:p>
      <w:pPr>
        <w:spacing w:after="0" w:line="122" w:lineRule="exact"/>
        <w:rPr>
          <w:sz w:val="20"/>
          <w:szCs w:val="20"/>
          <w:color w:val="auto"/>
        </w:rPr>
      </w:pPr>
    </w:p>
    <w:p>
      <w:pPr>
        <w:jc w:val="both"/>
        <w:ind w:left="840" w:right="979"/>
        <w:spacing w:after="0" w:line="298" w:lineRule="auto"/>
        <w:rPr>
          <w:sz w:val="20"/>
          <w:szCs w:val="20"/>
          <w:color w:val="auto"/>
        </w:rPr>
      </w:pPr>
      <w:r>
        <w:rPr>
          <w:rFonts w:ascii="Arial" w:cs="Arial" w:eastAsia="Arial" w:hAnsi="Arial"/>
          <w:sz w:val="11"/>
          <w:szCs w:val="11"/>
          <w:color w:val="auto"/>
        </w:rPr>
        <w:t>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so organizations can optimize the payment experience for their customers while eliminating operational challenges.</w:t>
      </w:r>
    </w:p>
    <w:p>
      <w:pPr>
        <w:spacing w:after="0" w:line="105" w:lineRule="exact"/>
        <w:rPr>
          <w:sz w:val="20"/>
          <w:szCs w:val="20"/>
          <w:color w:val="auto"/>
        </w:rPr>
      </w:pPr>
    </w:p>
    <w:p>
      <w:pPr>
        <w:jc w:val="both"/>
        <w:ind w:left="840" w:right="1039"/>
        <w:spacing w:after="0" w:line="263" w:lineRule="auto"/>
        <w:rPr>
          <w:sz w:val="20"/>
          <w:szCs w:val="20"/>
          <w:color w:val="auto"/>
        </w:rPr>
      </w:pPr>
      <w:r>
        <w:rPr>
          <w:rFonts w:ascii="Arial" w:cs="Arial" w:eastAsia="Arial" w:hAnsi="Arial"/>
          <w:sz w:val="12"/>
          <w:szCs w:val="12"/>
          <w:color w:val="auto"/>
        </w:rPr>
        <w:t xml:space="preserve">Flywire supports over 2,400 clients with diverse payment methods in more than 130 currencies across 240 countries and territories around the world. The company is headquartered in Boston, MA, USA with global offices. For more information, visit </w:t>
      </w:r>
      <w:r>
        <w:rPr>
          <w:rFonts w:ascii="Arial" w:cs="Arial" w:eastAsia="Arial" w:hAnsi="Arial"/>
          <w:sz w:val="12"/>
          <w:szCs w:val="12"/>
          <w:b w:val="1"/>
          <w:bCs w:val="1"/>
          <w:u w:val="single" w:color="auto"/>
          <w:color w:val="auto"/>
        </w:rPr>
        <w:t>www.flywire.com</w:t>
      </w:r>
      <w:r>
        <w:rPr>
          <w:rFonts w:ascii="Arial" w:cs="Arial" w:eastAsia="Arial" w:hAnsi="Arial"/>
          <w:sz w:val="12"/>
          <w:szCs w:val="12"/>
          <w:color w:val="auto"/>
        </w:rPr>
        <w:t xml:space="preserve">. Follow Flywire on </w:t>
      </w:r>
      <w:r>
        <w:rPr>
          <w:rFonts w:ascii="Arial" w:cs="Arial" w:eastAsia="Arial" w:hAnsi="Arial"/>
          <w:sz w:val="12"/>
          <w:szCs w:val="12"/>
          <w:b w:val="1"/>
          <w:bCs w:val="1"/>
          <w:u w:val="single" w:color="auto"/>
          <w:color w:val="auto"/>
        </w:rPr>
        <w:t>Twitter</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rPr>
        <w:t>LinkedIn</w:t>
      </w:r>
      <w:r>
        <w:rPr>
          <w:rFonts w:ascii="Arial" w:cs="Arial" w:eastAsia="Arial" w:hAnsi="Arial"/>
          <w:sz w:val="12"/>
          <w:szCs w:val="12"/>
          <w:b w:val="1"/>
          <w:bCs w:val="1"/>
          <w:color w:val="auto"/>
        </w:rPr>
        <w:t xml:space="preserve"> </w:t>
      </w:r>
      <w:r>
        <w:rPr>
          <w:rFonts w:ascii="Arial" w:cs="Arial" w:eastAsia="Arial" w:hAnsi="Arial"/>
          <w:sz w:val="12"/>
          <w:szCs w:val="12"/>
          <w:color w:val="auto"/>
        </w:rPr>
        <w:t>and</w:t>
      </w:r>
      <w:r>
        <w:rPr>
          <w:rFonts w:ascii="Arial" w:cs="Arial" w:eastAsia="Arial" w:hAnsi="Arial"/>
          <w:sz w:val="12"/>
          <w:szCs w:val="12"/>
          <w:b w:val="1"/>
          <w:bCs w:val="1"/>
          <w:color w:val="auto"/>
        </w:rPr>
        <w:t xml:space="preserve"> </w:t>
      </w:r>
      <w:r>
        <w:rPr>
          <w:rFonts w:ascii="Arial" w:cs="Arial" w:eastAsia="Arial" w:hAnsi="Arial"/>
          <w:sz w:val="12"/>
          <w:szCs w:val="12"/>
          <w:b w:val="1"/>
          <w:bCs w:val="1"/>
          <w:u w:val="single" w:color="auto"/>
          <w:color w:val="auto"/>
        </w:rPr>
        <w:t>Facebook</w:t>
      </w:r>
      <w:r>
        <w:rPr>
          <w:rFonts w:ascii="Arial" w:cs="Arial" w:eastAsia="Arial" w:hAnsi="Arial"/>
          <w:sz w:val="12"/>
          <w:szCs w:val="12"/>
          <w:color w:val="auto"/>
        </w:rPr>
        <w:t>.</w:t>
      </w:r>
    </w:p>
    <w:p>
      <w:pPr>
        <w:spacing w:after="0" w:line="194" w:lineRule="exact"/>
        <w:rPr>
          <w:sz w:val="20"/>
          <w:szCs w:val="20"/>
          <w:color w:val="auto"/>
        </w:rPr>
      </w:pPr>
    </w:p>
    <w:p>
      <w:pPr>
        <w:ind w:left="840"/>
        <w:spacing w:after="0"/>
        <w:rPr>
          <w:sz w:val="20"/>
          <w:szCs w:val="20"/>
          <w:color w:val="auto"/>
        </w:rPr>
      </w:pPr>
      <w:r>
        <w:rPr>
          <w:rFonts w:ascii="Arial" w:cs="Arial" w:eastAsia="Arial" w:hAnsi="Arial"/>
          <w:sz w:val="12"/>
          <w:szCs w:val="12"/>
          <w:b w:val="1"/>
          <w:bCs w:val="1"/>
          <w:i w:val="1"/>
          <w:iCs w:val="1"/>
          <w:color w:val="auto"/>
        </w:rPr>
        <w:t>Safe Harbor Statement</w:t>
      </w:r>
    </w:p>
    <w:p>
      <w:pPr>
        <w:spacing w:after="0" w:line="78" w:lineRule="exact"/>
        <w:rPr>
          <w:sz w:val="20"/>
          <w:szCs w:val="20"/>
          <w:color w:val="auto"/>
        </w:rPr>
      </w:pPr>
    </w:p>
    <w:p>
      <w:pPr>
        <w:ind w:left="840" w:right="879"/>
        <w:spacing w:after="0" w:line="310" w:lineRule="auto"/>
        <w:rPr>
          <w:sz w:val="20"/>
          <w:szCs w:val="20"/>
          <w:color w:val="auto"/>
        </w:rPr>
      </w:pPr>
      <w:r>
        <w:rPr>
          <w:rFonts w:ascii="Arial" w:cs="Arial" w:eastAsia="Arial" w:hAnsi="Arial"/>
          <w:sz w:val="10"/>
          <w:szCs w:val="10"/>
          <w:color w:val="auto"/>
        </w:rPr>
        <w:t>This release contains forward-looking statements within the meaning of the Private Securities Litigation Reform Act of 1995, including, but not limited to, statements regarding our future operating results and financial position, our business strategy and plans, market growth, and our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and Adjusted</w:t>
      </w:r>
    </w:p>
    <w:p>
      <w:pPr>
        <w:sectPr>
          <w:pgSz w:w="11900" w:h="16838" w:orient="portrait"/>
          <w:cols w:equalWidth="0" w:num="1">
            <w:col w:w="9019"/>
          </w:cols>
          <w:pgMar w:left="1440" w:top="230" w:right="1440" w:bottom="1440" w:gutter="0" w:footer="0" w:header="0"/>
        </w:sectPr>
      </w:pPr>
    </w:p>
    <w:bookmarkStart w:id="8" w:name="page9"/>
    <w:bookmarkEnd w:id="8"/>
    <w:p>
      <w:pPr>
        <w:ind w:left="840" w:right="859"/>
        <w:spacing w:after="0" w:line="27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EBITDA. Risks that may cause actual results to differ materially from these forward looking statements include, but are not limited to: political, economic, legal, social and health risks, including the recent COVID-19 pandemic and subsequent public health measures that may affect Flywire’s business or the global economy;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strategic partners; the effects of increased competition in Flywire’s markets and its ability to compete effectively; future acquisitions or investments in complementary companies, products, services, or technologies; Flywire’s ability to enter new client verticals, including its relatively new B2B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attract and retain qualified employees; Flywire’s ability to maintain, protect, and enhance its intellectual property; Flywire’s ability to maintain the security and availability of its solutions; the future market price of Flywire’s common stock; and other factors that are described in the “Risk Factors” and “Management’s Discussion and Analysis of Financial Condition and Results of Operations” sections of Flywire’s Prospectus dated May 25, 2021, which is on file with the Securities and Exchange Commission (SEC) and available on the SEC’s website at </w:t>
      </w:r>
      <w:r>
        <w:rPr>
          <w:rFonts w:ascii="Arial" w:cs="Arial" w:eastAsia="Arial" w:hAnsi="Arial"/>
          <w:sz w:val="11"/>
          <w:szCs w:val="11"/>
          <w:u w:val="single" w:color="auto"/>
          <w:color w:val="auto"/>
        </w:rPr>
        <w:t>https://www.sec.gov/</w:t>
      </w:r>
      <w:r>
        <w:rPr>
          <w:rFonts w:ascii="Arial" w:cs="Arial" w:eastAsia="Arial" w:hAnsi="Arial"/>
          <w:sz w:val="11"/>
          <w:szCs w:val="11"/>
          <w:color w:val="auto"/>
        </w:rPr>
        <w:t>. Additional factors may be described in those sections of Flywire’s Quarterly Report on Form 10-Q for the quarter ended June 30, 2021, expected to be filed with the SEC in the third quarter of 2021. The information in this release is provided only as of the date of this release, and Flywire undertakes no obligation to update any forward-looking statements contained in this release on account of new information, future events, or otherwise, except as required by law.</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Contacts</w:t>
      </w:r>
    </w:p>
    <w:p>
      <w:pPr>
        <w:spacing w:after="0" w:line="7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Media</w:t>
      </w:r>
      <w:r>
        <w:rPr>
          <w:rFonts w:ascii="Arial" w:cs="Arial" w:eastAsia="Arial" w:hAnsi="Arial"/>
          <w:sz w:val="12"/>
          <w:szCs w:val="12"/>
          <w:color w:val="auto"/>
        </w:rPr>
        <w:t>:</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Sarah King</w:t>
      </w:r>
    </w:p>
    <w:p>
      <w:pPr>
        <w:spacing w:after="0" w:line="74"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Sarah.King@Flywire.com</w:t>
      </w:r>
    </w:p>
    <w:p>
      <w:pPr>
        <w:spacing w:after="0" w:line="22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Prosek Partners</w:t>
      </w:r>
    </w:p>
    <w:p>
      <w:pPr>
        <w:spacing w:after="0" w:line="74"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pro-flywire@prosek.com</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Investor Relations</w:t>
      </w:r>
      <w:r>
        <w:rPr>
          <w:rFonts w:ascii="Arial" w:cs="Arial" w:eastAsia="Arial" w:hAnsi="Arial"/>
          <w:sz w:val="12"/>
          <w:szCs w:val="12"/>
          <w:color w:val="auto"/>
        </w:rPr>
        <w:t>:</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ICR</w:t>
      </w:r>
    </w:p>
    <w:p>
      <w:pPr>
        <w:spacing w:after="0" w:line="74"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flywireir@icrinc.com</w:t>
      </w:r>
    </w:p>
    <w:p>
      <w:pPr>
        <w:sectPr>
          <w:pgSz w:w="11900" w:h="16838" w:orient="portrait"/>
          <w:cols w:equalWidth="0" w:num="1">
            <w:col w:w="9019"/>
          </w:cols>
          <w:pgMar w:left="1440" w:top="230" w:right="1440" w:bottom="1440" w:gutter="0" w:footer="0" w:header="0"/>
        </w:sectPr>
      </w:pPr>
    </w:p>
    <w:bookmarkStart w:id="9" w:name="page10"/>
    <w:bookmarkEnd w:id="9"/>
    <w:p>
      <w:pPr>
        <w:ind w:left="29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Unaudited Condensed Consolidated Statement of Operations</w:t>
      </w:r>
    </w:p>
    <w:p>
      <w:pPr>
        <w:spacing w:after="0" w:line="19" w:lineRule="exact"/>
        <w:rPr>
          <w:sz w:val="20"/>
          <w:szCs w:val="20"/>
          <w:color w:val="auto"/>
        </w:rPr>
      </w:pPr>
    </w:p>
    <w:p>
      <w:pPr>
        <w:ind w:left="2940"/>
        <w:spacing w:after="0"/>
        <w:rPr>
          <w:sz w:val="20"/>
          <w:szCs w:val="20"/>
          <w:color w:val="auto"/>
        </w:rPr>
      </w:pPr>
      <w:r>
        <w:rPr>
          <w:rFonts w:ascii="Arial" w:cs="Arial" w:eastAsia="Arial" w:hAnsi="Arial"/>
          <w:sz w:val="12"/>
          <w:szCs w:val="12"/>
          <w:b w:val="1"/>
          <w:bCs w:val="1"/>
          <w:color w:val="auto"/>
        </w:rPr>
        <w:t>(Amounts in thousands, except share and per share amounts)</w:t>
      </w:r>
    </w:p>
    <w:p>
      <w:pPr>
        <w:spacing w:after="0" w:line="138"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4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5"/>
          </w:tcPr>
          <w:p>
            <w:pPr>
              <w:jc w:val="right"/>
              <w:ind w:right="560"/>
              <w:spacing w:after="0"/>
              <w:rPr>
                <w:sz w:val="20"/>
                <w:szCs w:val="20"/>
                <w:color w:val="auto"/>
              </w:rPr>
            </w:pPr>
            <w:r>
              <w:rPr>
                <w:rFonts w:ascii="Arial" w:cs="Arial" w:eastAsia="Arial" w:hAnsi="Arial"/>
                <w:sz w:val="10"/>
                <w:szCs w:val="10"/>
                <w:b w:val="1"/>
                <w:bCs w:val="1"/>
                <w:color w:val="auto"/>
              </w:rPr>
              <w:t>Three Months Ended</w:t>
            </w:r>
          </w:p>
        </w:tc>
        <w:tc>
          <w:tcPr>
            <w:tcW w:w="60" w:type="dxa"/>
            <w:vAlign w:val="bottom"/>
          </w:tcPr>
          <w:p>
            <w:pPr>
              <w:spacing w:after="0"/>
              <w:rPr>
                <w:sz w:val="10"/>
                <w:szCs w:val="10"/>
                <w:color w:val="auto"/>
              </w:rPr>
            </w:pPr>
          </w:p>
        </w:tc>
        <w:tc>
          <w:tcPr>
            <w:tcW w:w="1480" w:type="dxa"/>
            <w:vAlign w:val="bottom"/>
            <w:gridSpan w:val="5"/>
          </w:tcPr>
          <w:p>
            <w:pPr>
              <w:jc w:val="right"/>
              <w:ind w:right="44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113"/>
        </w:trPr>
        <w:tc>
          <w:tcPr>
            <w:tcW w:w="40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3"/>
          </w:tcPr>
          <w:p>
            <w:pPr>
              <w:jc w:val="right"/>
              <w:spacing w:after="0" w:line="114" w:lineRule="exact"/>
              <w:rPr>
                <w:sz w:val="20"/>
                <w:szCs w:val="20"/>
                <w:color w:val="auto"/>
              </w:rPr>
            </w:pPr>
            <w:r>
              <w:rPr>
                <w:rFonts w:ascii="Arial" w:cs="Arial" w:eastAsia="Arial" w:hAnsi="Arial"/>
                <w:sz w:val="10"/>
                <w:szCs w:val="10"/>
                <w:b w:val="1"/>
                <w:bCs w:val="1"/>
                <w:color w:val="auto"/>
              </w:rPr>
              <w:t>June 30,</w:t>
            </w:r>
          </w:p>
        </w:tc>
        <w:tc>
          <w:tcPr>
            <w:tcW w:w="5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3"/>
          </w:tcPr>
          <w:p>
            <w:pPr>
              <w:jc w:val="right"/>
              <w:spacing w:after="0" w:line="114" w:lineRule="exact"/>
              <w:rPr>
                <w:sz w:val="20"/>
                <w:szCs w:val="20"/>
                <w:color w:val="auto"/>
              </w:rPr>
            </w:pPr>
            <w:r>
              <w:rPr>
                <w:rFonts w:ascii="Arial" w:cs="Arial" w:eastAsia="Arial" w:hAnsi="Arial"/>
                <w:sz w:val="10"/>
                <w:szCs w:val="10"/>
                <w:b w:val="1"/>
                <w:bCs w:val="1"/>
                <w:color w:val="auto"/>
              </w:rPr>
              <w:t>June 30,</w:t>
            </w: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6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ind w:right="162"/>
              <w:spacing w:after="0" w:line="88" w:lineRule="exact"/>
              <w:rPr>
                <w:sz w:val="20"/>
                <w:szCs w:val="20"/>
                <w:color w:val="auto"/>
              </w:rPr>
            </w:pPr>
            <w:r>
              <w:rPr>
                <w:rFonts w:ascii="Arial" w:cs="Arial" w:eastAsia="Arial" w:hAnsi="Arial"/>
                <w:sz w:val="10"/>
                <w:szCs w:val="10"/>
                <w:b w:val="1"/>
                <w:bCs w:val="1"/>
                <w:color w:val="auto"/>
              </w:rPr>
              <w:t>2021</w:t>
            </w:r>
          </w:p>
        </w:tc>
        <w:tc>
          <w:tcPr>
            <w:tcW w:w="26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ind w:right="141"/>
              <w:spacing w:after="0" w:line="88" w:lineRule="exact"/>
              <w:rPr>
                <w:sz w:val="20"/>
                <w:szCs w:val="20"/>
                <w:color w:val="auto"/>
              </w:rPr>
            </w:pPr>
            <w:r>
              <w:rPr>
                <w:rFonts w:ascii="Arial" w:cs="Arial" w:eastAsia="Arial" w:hAnsi="Arial"/>
                <w:sz w:val="10"/>
                <w:szCs w:val="10"/>
                <w:b w:val="1"/>
                <w:bCs w:val="1"/>
                <w:color w:val="auto"/>
              </w:rPr>
              <w:t>2020</w:t>
            </w:r>
          </w:p>
        </w:tc>
        <w:tc>
          <w:tcPr>
            <w:tcW w:w="26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ind w:right="142"/>
              <w:spacing w:after="0" w:line="88" w:lineRule="exact"/>
              <w:rPr>
                <w:sz w:val="20"/>
                <w:szCs w:val="20"/>
                <w:color w:val="auto"/>
              </w:rPr>
            </w:pPr>
            <w:r>
              <w:rPr>
                <w:rFonts w:ascii="Arial" w:cs="Arial" w:eastAsia="Arial" w:hAnsi="Arial"/>
                <w:sz w:val="10"/>
                <w:szCs w:val="10"/>
                <w:b w:val="1"/>
                <w:bCs w:val="1"/>
                <w:color w:val="auto"/>
              </w:rPr>
              <w:t>2021</w:t>
            </w:r>
          </w:p>
        </w:tc>
        <w:tc>
          <w:tcPr>
            <w:tcW w:w="26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ind w:right="141"/>
              <w:spacing w:after="0" w:line="88"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0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36,976</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23,757</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81,967</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56,466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60" w:type="dxa"/>
            <w:vAlign w:val="bottom"/>
          </w:tcPr>
          <w:p>
            <w:pPr>
              <w:spacing w:after="0"/>
              <w:rPr>
                <w:sz w:val="20"/>
                <w:szCs w:val="20"/>
                <w:color w:val="auto"/>
              </w:rPr>
            </w:pPr>
            <w:r>
              <w:rPr>
                <w:rFonts w:ascii="Arial" w:cs="Arial" w:eastAsia="Arial" w:hAnsi="Arial"/>
                <w:sz w:val="12"/>
                <w:szCs w:val="12"/>
                <w:color w:val="auto"/>
              </w:rPr>
              <w:t>Costs and operating expenses: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Payment processing services costs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13,122</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10,868</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29,213</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22,477</w:t>
            </w:r>
          </w:p>
        </w:tc>
        <w:tc>
          <w:tcPr>
            <w:tcW w:w="0" w:type="dxa"/>
            <w:vAlign w:val="bottom"/>
          </w:tcPr>
          <w:p>
            <w:pPr>
              <w:spacing w:after="0"/>
              <w:rPr>
                <w:sz w:val="1"/>
                <w:szCs w:val="1"/>
                <w:color w:val="auto"/>
              </w:rPr>
            </w:pPr>
          </w:p>
        </w:tc>
      </w:tr>
      <w:tr>
        <w:trPr>
          <w:trHeight w:val="144"/>
        </w:trPr>
        <w:tc>
          <w:tcPr>
            <w:tcW w:w="4060" w:type="dxa"/>
            <w:vAlign w:val="bottom"/>
          </w:tcPr>
          <w:p>
            <w:pPr>
              <w:ind w:left="240"/>
              <w:spacing w:after="0"/>
              <w:rPr>
                <w:sz w:val="20"/>
                <w:szCs w:val="20"/>
                <w:color w:val="auto"/>
              </w:rPr>
            </w:pPr>
            <w:r>
              <w:rPr>
                <w:rFonts w:ascii="Arial" w:cs="Arial" w:eastAsia="Arial" w:hAnsi="Arial"/>
                <w:sz w:val="12"/>
                <w:szCs w:val="12"/>
                <w:color w:val="auto"/>
              </w:rPr>
              <w:t>Technology and development</w:t>
            </w:r>
          </w:p>
        </w:tc>
        <w:tc>
          <w:tcPr>
            <w:tcW w:w="8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rPr>
              <w:t>6,929</w:t>
            </w:r>
          </w:p>
        </w:tc>
        <w:tc>
          <w:tcPr>
            <w:tcW w:w="6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rPr>
              <w:t>6,378</w:t>
            </w:r>
          </w:p>
        </w:tc>
        <w:tc>
          <w:tcPr>
            <w:tcW w:w="6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rPr>
              <w:t>14,451</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11,726</w:t>
            </w:r>
          </w:p>
        </w:tc>
        <w:tc>
          <w:tcPr>
            <w:tcW w:w="0" w:type="dxa"/>
            <w:vAlign w:val="bottom"/>
          </w:tcPr>
          <w:p>
            <w:pPr>
              <w:spacing w:after="0"/>
              <w:rPr>
                <w:sz w:val="1"/>
                <w:szCs w:val="1"/>
                <w:color w:val="auto"/>
              </w:rPr>
            </w:pPr>
          </w:p>
        </w:tc>
      </w:tr>
      <w:tr>
        <w:trPr>
          <w:trHeight w:val="144"/>
        </w:trPr>
        <w:tc>
          <w:tcPr>
            <w:tcW w:w="40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Selling and marketing</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10,906</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8,125</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22,837</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16,702</w:t>
            </w:r>
          </w:p>
        </w:tc>
        <w:tc>
          <w:tcPr>
            <w:tcW w:w="0" w:type="dxa"/>
            <w:vAlign w:val="bottom"/>
          </w:tcPr>
          <w:p>
            <w:pPr>
              <w:spacing w:after="0"/>
              <w:rPr>
                <w:sz w:val="1"/>
                <w:szCs w:val="1"/>
                <w:color w:val="auto"/>
              </w:rPr>
            </w:pPr>
          </w:p>
        </w:tc>
      </w:tr>
      <w:tr>
        <w:trPr>
          <w:trHeight w:val="144"/>
        </w:trPr>
        <w:tc>
          <w:tcPr>
            <w:tcW w:w="4060" w:type="dxa"/>
            <w:vAlign w:val="bottom"/>
          </w:tcPr>
          <w:p>
            <w:pPr>
              <w:ind w:left="240"/>
              <w:spacing w:after="0"/>
              <w:rPr>
                <w:sz w:val="20"/>
                <w:szCs w:val="20"/>
                <w:color w:val="auto"/>
              </w:rPr>
            </w:pPr>
            <w:r>
              <w:rPr>
                <w:rFonts w:ascii="Arial" w:cs="Arial" w:eastAsia="Arial" w:hAnsi="Arial"/>
                <w:sz w:val="12"/>
                <w:szCs w:val="12"/>
                <w:color w:val="auto"/>
              </w:rPr>
              <w:t>General and administrative</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13,578</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13,548</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rPr>
              <w:t>29,491</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23,813</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costs and operating expenses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44,535</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38,919</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95,992</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74,718</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2"/>
                <w:szCs w:val="12"/>
                <w:color w:val="auto"/>
              </w:rPr>
              <w:t>Loss from operations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(7,559)</w:t>
            </w:r>
          </w:p>
        </w:tc>
        <w:tc>
          <w:tcPr>
            <w:tcW w:w="6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(15,162)</w:t>
            </w:r>
          </w:p>
        </w:tc>
        <w:tc>
          <w:tcPr>
            <w:tcW w:w="6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(14,025)</w:t>
            </w: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(18,252)</w:t>
            </w:r>
          </w:p>
        </w:tc>
        <w:tc>
          <w:tcPr>
            <w:tcW w:w="0" w:type="dxa"/>
            <w:vAlign w:val="bottom"/>
          </w:tcPr>
          <w:p>
            <w:pPr>
              <w:spacing w:after="0"/>
              <w:rPr>
                <w:sz w:val="1"/>
                <w:szCs w:val="1"/>
                <w:color w:val="auto"/>
              </w:rPr>
            </w:pPr>
          </w:p>
        </w:tc>
      </w:tr>
      <w:tr>
        <w:trPr>
          <w:trHeight w:val="142"/>
        </w:trPr>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w:t>
            </w: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60" w:type="dxa"/>
            <w:vAlign w:val="bottom"/>
          </w:tcPr>
          <w:p>
            <w:pPr>
              <w:ind w:left="240"/>
              <w:spacing w:after="0"/>
              <w:rPr>
                <w:sz w:val="20"/>
                <w:szCs w:val="20"/>
                <w:color w:val="auto"/>
              </w:rPr>
            </w:pPr>
            <w:r>
              <w:rPr>
                <w:rFonts w:ascii="Arial" w:cs="Arial" w:eastAsia="Arial" w:hAnsi="Arial"/>
                <w:sz w:val="12"/>
                <w:szCs w:val="12"/>
                <w:color w:val="auto"/>
              </w:rPr>
              <w:t>Interest expense</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(629)</w:t>
            </w:r>
          </w:p>
        </w:tc>
        <w:tc>
          <w:tcPr>
            <w:tcW w:w="6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(679)</w:t>
            </w:r>
          </w:p>
        </w:tc>
        <w:tc>
          <w:tcPr>
            <w:tcW w:w="6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(1,250)</w:t>
            </w: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(1,276)</w:t>
            </w:r>
          </w:p>
        </w:tc>
        <w:tc>
          <w:tcPr>
            <w:tcW w:w="0" w:type="dxa"/>
            <w:vAlign w:val="bottom"/>
          </w:tcPr>
          <w:p>
            <w:pPr>
              <w:spacing w:after="0"/>
              <w:rPr>
                <w:sz w:val="1"/>
                <w:szCs w:val="1"/>
                <w:color w:val="auto"/>
              </w:rPr>
            </w:pPr>
          </w:p>
        </w:tc>
      </w:tr>
      <w:tr>
        <w:trPr>
          <w:trHeight w:val="144"/>
        </w:trPr>
        <w:tc>
          <w:tcPr>
            <w:tcW w:w="40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 in fair value of preferred stock warrant liability</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(9,803)</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9</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(10,758)</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(254)</w:t>
            </w:r>
          </w:p>
        </w:tc>
        <w:tc>
          <w:tcPr>
            <w:tcW w:w="0" w:type="dxa"/>
            <w:vAlign w:val="bottom"/>
          </w:tcPr>
          <w:p>
            <w:pPr>
              <w:spacing w:after="0"/>
              <w:rPr>
                <w:sz w:val="1"/>
                <w:szCs w:val="1"/>
                <w:color w:val="auto"/>
              </w:rPr>
            </w:pPr>
          </w:p>
        </w:tc>
      </w:tr>
      <w:tr>
        <w:trPr>
          <w:trHeight w:val="144"/>
        </w:trPr>
        <w:tc>
          <w:tcPr>
            <w:tcW w:w="4060" w:type="dxa"/>
            <w:vAlign w:val="bottom"/>
          </w:tcPr>
          <w:p>
            <w:pPr>
              <w:ind w:left="240"/>
              <w:spacing w:after="0"/>
              <w:rPr>
                <w:sz w:val="20"/>
                <w:szCs w:val="20"/>
                <w:color w:val="auto"/>
              </w:rPr>
            </w:pPr>
            <w:r>
              <w:rPr>
                <w:rFonts w:ascii="Arial" w:cs="Arial" w:eastAsia="Arial" w:hAnsi="Arial"/>
                <w:sz w:val="12"/>
                <w:szCs w:val="12"/>
                <w:color w:val="auto"/>
              </w:rPr>
              <w:t>Other income (expense), net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118</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107</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(294)</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other expenses, net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(10,314)</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(563)</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(12,302)</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(1,454)</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2"/>
                <w:szCs w:val="12"/>
                <w:color w:val="auto"/>
              </w:rPr>
              <w:t>Loss before provision for income taxes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(17,873)</w:t>
            </w:r>
          </w:p>
        </w:tc>
        <w:tc>
          <w:tcPr>
            <w:tcW w:w="6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(15,725)</w:t>
            </w:r>
          </w:p>
        </w:tc>
        <w:tc>
          <w:tcPr>
            <w:tcW w:w="6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(26,327)</w:t>
            </w: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(19,706)</w:t>
            </w:r>
          </w:p>
        </w:tc>
        <w:tc>
          <w:tcPr>
            <w:tcW w:w="0" w:type="dxa"/>
            <w:vAlign w:val="bottom"/>
          </w:tcPr>
          <w:p>
            <w:pPr>
              <w:spacing w:after="0"/>
              <w:rPr>
                <w:sz w:val="1"/>
                <w:szCs w:val="1"/>
                <w:color w:val="auto"/>
              </w:rPr>
            </w:pPr>
          </w:p>
        </w:tc>
      </w:tr>
      <w:tr>
        <w:trPr>
          <w:trHeight w:val="144"/>
        </w:trPr>
        <w:tc>
          <w:tcPr>
            <w:tcW w:w="40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(Benefit from) provision for income taxes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471</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(7,409)</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2"/>
                <w:szCs w:val="12"/>
                <w:color w:val="auto"/>
              </w:rPr>
              <w:t>Net loss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(18,146)</w:t>
            </w:r>
          </w:p>
        </w:tc>
        <w:tc>
          <w:tcPr>
            <w:tcW w:w="6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(15,997)</w:t>
            </w:r>
          </w:p>
        </w:tc>
        <w:tc>
          <w:tcPr>
            <w:tcW w:w="6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(26,798)</w:t>
            </w: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(12,297)</w:t>
            </w:r>
          </w:p>
        </w:tc>
        <w:tc>
          <w:tcPr>
            <w:tcW w:w="0" w:type="dxa"/>
            <w:vAlign w:val="bottom"/>
          </w:tcPr>
          <w:p>
            <w:pPr>
              <w:spacing w:after="0"/>
              <w:rPr>
                <w:sz w:val="1"/>
                <w:szCs w:val="1"/>
                <w:color w:val="auto"/>
              </w:rPr>
            </w:pPr>
          </w:p>
        </w:tc>
      </w:tr>
      <w:tr>
        <w:trPr>
          <w:trHeight w:val="144"/>
        </w:trPr>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translation adjustment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(76)</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(173)</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263</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(273)</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2"/>
                <w:szCs w:val="12"/>
                <w:color w:val="auto"/>
              </w:rPr>
              <w:t>Comprehensive loss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(18,222)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(16,170)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(26,535)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(12,570)</w:t>
            </w:r>
          </w:p>
        </w:tc>
        <w:tc>
          <w:tcPr>
            <w:tcW w:w="0" w:type="dxa"/>
            <w:vAlign w:val="bottom"/>
          </w:tcPr>
          <w:p>
            <w:pPr>
              <w:spacing w:after="0"/>
              <w:rPr>
                <w:sz w:val="1"/>
                <w:szCs w:val="1"/>
                <w:color w:val="auto"/>
              </w:rPr>
            </w:pPr>
          </w:p>
        </w:tc>
      </w:tr>
      <w:tr>
        <w:trPr>
          <w:trHeight w:val="31"/>
        </w:trPr>
        <w:tc>
          <w:tcPr>
            <w:tcW w:w="4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common stockholders –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(18,154)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(16,001)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(26,811)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(12,303)</w:t>
            </w:r>
          </w:p>
        </w:tc>
        <w:tc>
          <w:tcPr>
            <w:tcW w:w="0" w:type="dxa"/>
            <w:vAlign w:val="bottom"/>
          </w:tcPr>
          <w:p>
            <w:pPr>
              <w:spacing w:after="0"/>
              <w:rPr>
                <w:sz w:val="1"/>
                <w:szCs w:val="1"/>
                <w:color w:val="auto"/>
              </w:rPr>
            </w:pPr>
          </w:p>
        </w:tc>
      </w:tr>
      <w:tr>
        <w:trPr>
          <w:trHeight w:val="27"/>
        </w:trPr>
        <w:tc>
          <w:tcPr>
            <w:tcW w:w="4060" w:type="dxa"/>
            <w:vAlign w:val="bottom"/>
            <w:vMerge w:val="restart"/>
          </w:tcPr>
          <w:p>
            <w:pPr>
              <w:spacing w:after="0"/>
              <w:rPr>
                <w:sz w:val="20"/>
                <w:szCs w:val="20"/>
                <w:color w:val="auto"/>
              </w:rPr>
            </w:pPr>
            <w:r>
              <w:rPr>
                <w:rFonts w:ascii="Arial" w:cs="Arial" w:eastAsia="Arial" w:hAnsi="Arial"/>
                <w:sz w:val="12"/>
                <w:szCs w:val="12"/>
                <w:color w:val="auto"/>
              </w:rPr>
              <w:t>Net loss per share attributable to common stockholders – basic and diluted</w:t>
            </w: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06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(0.35)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(0.87)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(0.73)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(0.69)</w:t>
            </w:r>
          </w:p>
        </w:tc>
        <w:tc>
          <w:tcPr>
            <w:tcW w:w="0" w:type="dxa"/>
            <w:vAlign w:val="bottom"/>
          </w:tcPr>
          <w:p>
            <w:pPr>
              <w:spacing w:after="0"/>
              <w:rPr>
                <w:sz w:val="1"/>
                <w:szCs w:val="1"/>
                <w:color w:val="auto"/>
              </w:rPr>
            </w:pPr>
          </w:p>
        </w:tc>
      </w:tr>
      <w:tr>
        <w:trPr>
          <w:trHeight w:val="31"/>
        </w:trPr>
        <w:tc>
          <w:tcPr>
            <w:tcW w:w="4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common shares outstanding – basic and diluted</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52,496,862</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18,327,639</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36,886,657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6"/>
              </w:rPr>
              <w:t>17,919,721</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6"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Unaudited Condensed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(Amounts in thousands, except share amounts)</w:t>
      </w:r>
    </w:p>
    <w:p>
      <w:pPr>
        <w:spacing w:after="0" w:line="138"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w w:val="84"/>
              </w:rPr>
              <w:t>June 30,</w:t>
            </w:r>
          </w:p>
        </w:tc>
        <w:tc>
          <w:tcPr>
            <w:tcW w:w="640" w:type="dxa"/>
            <w:vAlign w:val="bottom"/>
            <w:gridSpan w:val="3"/>
          </w:tcPr>
          <w:p>
            <w:pPr>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13"/>
        </w:trPr>
        <w:tc>
          <w:tcPr>
            <w:tcW w:w="600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81"/>
              <w:spacing w:after="0" w:line="114" w:lineRule="exact"/>
              <w:rPr>
                <w:sz w:val="20"/>
                <w:szCs w:val="20"/>
                <w:color w:val="auto"/>
              </w:rPr>
            </w:pPr>
            <w:r>
              <w:rPr>
                <w:rFonts w:ascii="Arial" w:cs="Arial" w:eastAsia="Arial" w:hAnsi="Arial"/>
                <w:sz w:val="10"/>
                <w:szCs w:val="10"/>
                <w:b w:val="1"/>
                <w:bCs w:val="1"/>
                <w:color w:val="auto"/>
              </w:rPr>
              <w:t>2021</w:t>
            </w:r>
          </w:p>
        </w:tc>
        <w:tc>
          <w:tcPr>
            <w:tcW w:w="2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20"/>
              <w:spacing w:after="0" w:line="114"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00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Assets</w:t>
            </w: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Current assets:</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6"/>
              </w:rPr>
              <w:t>412,026</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6"/>
              </w:rPr>
              <w:t>104,052</w:t>
            </w:r>
          </w:p>
        </w:tc>
        <w:tc>
          <w:tcPr>
            <w:tcW w:w="0" w:type="dxa"/>
            <w:vAlign w:val="bottom"/>
          </w:tcPr>
          <w:p>
            <w:pPr>
              <w:spacing w:after="0"/>
              <w:rPr>
                <w:sz w:val="1"/>
                <w:szCs w:val="1"/>
                <w:color w:val="auto"/>
              </w:rPr>
            </w:pPr>
          </w:p>
        </w:tc>
      </w:tr>
      <w:tr>
        <w:trPr>
          <w:trHeight w:val="144"/>
        </w:trPr>
        <w:tc>
          <w:tcPr>
            <w:tcW w:w="6000" w:type="dxa"/>
            <w:vAlign w:val="bottom"/>
          </w:tcPr>
          <w:p>
            <w:pPr>
              <w:ind w:left="240"/>
              <w:spacing w:after="0"/>
              <w:rPr>
                <w:sz w:val="20"/>
                <w:szCs w:val="20"/>
                <w:color w:val="auto"/>
              </w:rPr>
            </w:pPr>
            <w:r>
              <w:rPr>
                <w:rFonts w:ascii="Arial" w:cs="Arial" w:eastAsia="Arial" w:hAnsi="Arial"/>
                <w:sz w:val="12"/>
                <w:szCs w:val="12"/>
                <w:color w:val="auto"/>
              </w:rPr>
              <w:t>Restricted cash</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5,000</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5,000</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receivable, net of allowance for doubtful accounts of $167 and $496, respectively</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11,621</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11,573</w:t>
            </w:r>
          </w:p>
        </w:tc>
        <w:tc>
          <w:tcPr>
            <w:tcW w:w="0" w:type="dxa"/>
            <w:vAlign w:val="bottom"/>
          </w:tcPr>
          <w:p>
            <w:pPr>
              <w:spacing w:after="0"/>
              <w:rPr>
                <w:sz w:val="1"/>
                <w:szCs w:val="1"/>
                <w:color w:val="auto"/>
              </w:rPr>
            </w:pPr>
          </w:p>
        </w:tc>
      </w:tr>
      <w:tr>
        <w:trPr>
          <w:trHeight w:val="144"/>
        </w:trPr>
        <w:tc>
          <w:tcPr>
            <w:tcW w:w="6000" w:type="dxa"/>
            <w:vAlign w:val="bottom"/>
          </w:tcPr>
          <w:p>
            <w:pPr>
              <w:ind w:left="240"/>
              <w:spacing w:after="0"/>
              <w:rPr>
                <w:sz w:val="20"/>
                <w:szCs w:val="20"/>
                <w:color w:val="auto"/>
              </w:rPr>
            </w:pPr>
            <w:r>
              <w:rPr>
                <w:rFonts w:ascii="Arial" w:cs="Arial" w:eastAsia="Arial" w:hAnsi="Arial"/>
                <w:sz w:val="12"/>
                <w:szCs w:val="12"/>
                <w:color w:val="auto"/>
              </w:rPr>
              <w:t>Unbilled receivables</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1,006</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1,698</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Funds receivable from payment partners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17,025</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22,481</w:t>
            </w:r>
          </w:p>
        </w:tc>
        <w:tc>
          <w:tcPr>
            <w:tcW w:w="0" w:type="dxa"/>
            <w:vAlign w:val="bottom"/>
          </w:tcPr>
          <w:p>
            <w:pPr>
              <w:spacing w:after="0"/>
              <w:rPr>
                <w:sz w:val="1"/>
                <w:szCs w:val="1"/>
                <w:color w:val="auto"/>
              </w:rPr>
            </w:pPr>
          </w:p>
        </w:tc>
      </w:tr>
      <w:tr>
        <w:trPr>
          <w:trHeight w:val="144"/>
        </w:trPr>
        <w:tc>
          <w:tcPr>
            <w:tcW w:w="6000" w:type="dxa"/>
            <w:vAlign w:val="bottom"/>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10,821</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3,754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00" w:type="dxa"/>
            <w:vAlign w:val="bottom"/>
            <w:shd w:val="clear" w:color="auto" w:fill="CCEEFF"/>
          </w:tcPr>
          <w:p>
            <w:pPr>
              <w:ind w:left="720"/>
              <w:spacing w:after="0"/>
              <w:rPr>
                <w:sz w:val="20"/>
                <w:szCs w:val="20"/>
                <w:color w:val="auto"/>
              </w:rPr>
            </w:pPr>
            <w:r>
              <w:rPr>
                <w:rFonts w:ascii="Arial" w:cs="Arial" w:eastAsia="Arial" w:hAnsi="Arial"/>
                <w:sz w:val="12"/>
                <w:szCs w:val="12"/>
                <w:color w:val="auto"/>
              </w:rPr>
              <w:t>Total current assets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6"/>
              </w:rPr>
              <w:t>457,499</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6"/>
              </w:rPr>
              <w:t>148,558</w:t>
            </w: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7,536</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5,101</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Intangible assets, net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65,033</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68,211</w:t>
            </w: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Goodwill</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44,656</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44,650</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5,365</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4,922</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720"/>
              <w:spacing w:after="0"/>
              <w:rPr>
                <w:sz w:val="20"/>
                <w:szCs w:val="20"/>
                <w:color w:val="auto"/>
              </w:rPr>
            </w:pPr>
            <w:r>
              <w:rPr>
                <w:rFonts w:ascii="Arial" w:cs="Arial" w:eastAsia="Arial" w:hAnsi="Arial"/>
                <w:sz w:val="12"/>
                <w:szCs w:val="12"/>
                <w:color w:val="auto"/>
              </w:rPr>
              <w:t>Total assets</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00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w w:val="96"/>
              </w:rPr>
              <w:t>580,089</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w w:val="96"/>
              </w:rPr>
              <w:t>271,442</w:t>
            </w:r>
          </w:p>
        </w:tc>
        <w:tc>
          <w:tcPr>
            <w:tcW w:w="0" w:type="dxa"/>
            <w:vAlign w:val="bottom"/>
          </w:tcPr>
          <w:p>
            <w:pPr>
              <w:spacing w:after="0"/>
              <w:rPr>
                <w:sz w:val="1"/>
                <w:szCs w:val="1"/>
                <w:color w:val="auto"/>
              </w:rPr>
            </w:pPr>
          </w:p>
        </w:tc>
      </w:tr>
      <w:tr>
        <w:trPr>
          <w:trHeight w:val="136"/>
        </w:trPr>
        <w:tc>
          <w:tcPr>
            <w:tcW w:w="60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w w:val="98"/>
              </w:rPr>
              <w:t>Liabilities, Convertible Preferred Stock, Redeemable Convertible Preferred Stock and Stockholders’ Equity</w:t>
            </w:r>
          </w:p>
        </w:tc>
        <w:tc>
          <w:tcPr>
            <w:tcW w:w="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(Deficit)</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Current liabilities:</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10,454</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5,436</w:t>
            </w:r>
          </w:p>
        </w:tc>
        <w:tc>
          <w:tcPr>
            <w:tcW w:w="0" w:type="dxa"/>
            <w:vAlign w:val="bottom"/>
          </w:tcPr>
          <w:p>
            <w:pPr>
              <w:spacing w:after="0"/>
              <w:rPr>
                <w:sz w:val="1"/>
                <w:szCs w:val="1"/>
                <w:color w:val="auto"/>
              </w:rPr>
            </w:pPr>
          </w:p>
        </w:tc>
      </w:tr>
      <w:tr>
        <w:trPr>
          <w:trHeight w:val="144"/>
        </w:trPr>
        <w:tc>
          <w:tcPr>
            <w:tcW w:w="6000" w:type="dxa"/>
            <w:vAlign w:val="bottom"/>
          </w:tcPr>
          <w:p>
            <w:pPr>
              <w:ind w:left="240"/>
              <w:spacing w:after="0"/>
              <w:rPr>
                <w:sz w:val="20"/>
                <w:szCs w:val="20"/>
                <w:color w:val="auto"/>
              </w:rPr>
            </w:pPr>
            <w:r>
              <w:rPr>
                <w:rFonts w:ascii="Arial" w:cs="Arial" w:eastAsia="Arial" w:hAnsi="Arial"/>
                <w:sz w:val="12"/>
                <w:szCs w:val="12"/>
                <w:color w:val="auto"/>
              </w:rPr>
              <w:t>Funds payable to clients</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45,511</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59,986</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expenses and other current liabilities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14,084</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14,991</w:t>
            </w:r>
          </w:p>
        </w:tc>
        <w:tc>
          <w:tcPr>
            <w:tcW w:w="0" w:type="dxa"/>
            <w:vAlign w:val="bottom"/>
          </w:tcPr>
          <w:p>
            <w:pPr>
              <w:spacing w:after="0"/>
              <w:rPr>
                <w:sz w:val="1"/>
                <w:szCs w:val="1"/>
                <w:color w:val="auto"/>
              </w:rPr>
            </w:pPr>
          </w:p>
        </w:tc>
      </w:tr>
      <w:tr>
        <w:trPr>
          <w:trHeight w:val="144"/>
        </w:trPr>
        <w:tc>
          <w:tcPr>
            <w:tcW w:w="6000" w:type="dxa"/>
            <w:vAlign w:val="bottom"/>
          </w:tcPr>
          <w:p>
            <w:pPr>
              <w:ind w:left="240"/>
              <w:spacing w:after="0"/>
              <w:rPr>
                <w:sz w:val="20"/>
                <w:szCs w:val="20"/>
                <w:color w:val="auto"/>
              </w:rPr>
            </w:pPr>
            <w:r>
              <w:rPr>
                <w:rFonts w:ascii="Arial" w:cs="Arial" w:eastAsia="Arial" w:hAnsi="Arial"/>
                <w:sz w:val="12"/>
                <w:szCs w:val="12"/>
                <w:color w:val="auto"/>
              </w:rPr>
              <w:t>Deferred revenue</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836</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1,227</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Contingent consideration</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7,079</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6,740</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720"/>
              <w:spacing w:after="0"/>
              <w:rPr>
                <w:sz w:val="20"/>
                <w:szCs w:val="20"/>
                <w:color w:val="auto"/>
              </w:rPr>
            </w:pPr>
            <w:r>
              <w:rPr>
                <w:rFonts w:ascii="Arial" w:cs="Arial" w:eastAsia="Arial" w:hAnsi="Arial"/>
                <w:sz w:val="12"/>
                <w:szCs w:val="12"/>
                <w:color w:val="auto"/>
              </w:rPr>
              <w:t>Total current liabilities</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77,964</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88,380</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Deferred tax liabilities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663</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481</w:t>
            </w: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Contingent consideration, net of current portion</w:t>
            </w:r>
          </w:p>
        </w:tc>
        <w:tc>
          <w:tcPr>
            <w:tcW w:w="6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5,760</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Preferred stock warrant liability</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1,932</w:t>
            </w: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Long-term debt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24,447</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24,352</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2,037</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2,129</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720"/>
              <w:spacing w:after="0"/>
              <w:rPr>
                <w:sz w:val="20"/>
                <w:szCs w:val="20"/>
                <w:color w:val="auto"/>
              </w:rPr>
            </w:pPr>
            <w:r>
              <w:rPr>
                <w:rFonts w:ascii="Arial" w:cs="Arial" w:eastAsia="Arial" w:hAnsi="Arial"/>
                <w:sz w:val="12"/>
                <w:szCs w:val="12"/>
                <w:color w:val="auto"/>
              </w:rPr>
              <w:t>Total liabilities</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w w:val="96"/>
              </w:rPr>
              <w:t>105,111</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w w:val="96"/>
              </w:rPr>
              <w:t>123,034</w:t>
            </w:r>
          </w:p>
        </w:tc>
        <w:tc>
          <w:tcPr>
            <w:tcW w:w="0" w:type="dxa"/>
            <w:vAlign w:val="bottom"/>
          </w:tcPr>
          <w:p>
            <w:pPr>
              <w:spacing w:after="0"/>
              <w:rPr>
                <w:sz w:val="1"/>
                <w:szCs w:val="1"/>
                <w:color w:val="auto"/>
              </w:rPr>
            </w:pPr>
          </w:p>
        </w:tc>
      </w:tr>
      <w:tr>
        <w:trPr>
          <w:trHeight w:val="142"/>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Commitments and contingencies (Note 14)</w:t>
            </w:r>
          </w:p>
        </w:tc>
        <w:tc>
          <w:tcPr>
            <w:tcW w:w="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00" w:type="dxa"/>
            <w:vAlign w:val="bottom"/>
          </w:tcPr>
          <w:p>
            <w:pPr>
              <w:spacing w:after="0" w:line="135" w:lineRule="exact"/>
              <w:rPr>
                <w:sz w:val="20"/>
                <w:szCs w:val="20"/>
                <w:color w:val="auto"/>
              </w:rPr>
            </w:pPr>
            <w:r>
              <w:rPr>
                <w:rFonts w:ascii="Arial" w:cs="Arial" w:eastAsia="Arial" w:hAnsi="Arial"/>
                <w:sz w:val="12"/>
                <w:szCs w:val="12"/>
                <w:color w:val="auto"/>
                <w:w w:val="92"/>
              </w:rPr>
              <w:t>Convertible preferred stock (Series A, B, B1, B1-NV, C and D), $0.0001 par value; 0 and 62,915,394 shares authorized at</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00" w:type="dxa"/>
            <w:vAlign w:val="bottom"/>
          </w:tcPr>
          <w:p>
            <w:pPr>
              <w:ind w:left="120"/>
              <w:spacing w:after="0"/>
              <w:rPr>
                <w:sz w:val="20"/>
                <w:szCs w:val="20"/>
                <w:color w:val="auto"/>
              </w:rPr>
            </w:pPr>
            <w:r>
              <w:rPr>
                <w:rFonts w:ascii="Arial" w:cs="Arial" w:eastAsia="Arial" w:hAnsi="Arial"/>
                <w:sz w:val="12"/>
                <w:szCs w:val="12"/>
                <w:color w:val="auto"/>
                <w:w w:val="91"/>
              </w:rPr>
              <w:t>June 30, 2021 and December 31, 2020, respectively; 0 and 54,208,461 shares issued and outstanding at June 30, 2021</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tcPr>
          <w:p>
            <w:pPr>
              <w:ind w:left="120"/>
              <w:spacing w:after="0"/>
              <w:rPr>
                <w:sz w:val="20"/>
                <w:szCs w:val="20"/>
                <w:color w:val="auto"/>
              </w:rPr>
            </w:pPr>
            <w:r>
              <w:rPr>
                <w:rFonts w:ascii="Arial" w:cs="Arial" w:eastAsia="Arial" w:hAnsi="Arial"/>
                <w:sz w:val="12"/>
                <w:szCs w:val="12"/>
                <w:color w:val="auto"/>
                <w:w w:val="94"/>
              </w:rPr>
              <w:t>and December 31, 2020, respectively; liquidation preference of $0 and $110,716 at June 30, 2021 and December 31,</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00" w:type="dxa"/>
            <w:vAlign w:val="bottom"/>
          </w:tcPr>
          <w:p>
            <w:pPr>
              <w:ind w:left="120"/>
              <w:spacing w:after="0"/>
              <w:rPr>
                <w:sz w:val="20"/>
                <w:szCs w:val="20"/>
                <w:color w:val="auto"/>
              </w:rPr>
            </w:pPr>
            <w:r>
              <w:rPr>
                <w:rFonts w:ascii="Arial" w:cs="Arial" w:eastAsia="Arial" w:hAnsi="Arial"/>
                <w:sz w:val="12"/>
                <w:szCs w:val="12"/>
                <w:color w:val="auto"/>
              </w:rPr>
              <w:t>2020, respectively</w:t>
            </w:r>
          </w:p>
        </w:tc>
        <w:tc>
          <w:tcPr>
            <w:tcW w:w="6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w w:val="96"/>
              </w:rPr>
              <w:t>110,401</w:t>
            </w:r>
          </w:p>
        </w:tc>
        <w:tc>
          <w:tcPr>
            <w:tcW w:w="0" w:type="dxa"/>
            <w:vAlign w:val="bottom"/>
          </w:tcPr>
          <w:p>
            <w:pPr>
              <w:spacing w:after="0"/>
              <w:rPr>
                <w:sz w:val="1"/>
                <w:szCs w:val="1"/>
                <w:color w:val="auto"/>
              </w:rPr>
            </w:pPr>
          </w:p>
        </w:tc>
      </w:tr>
      <w:tr>
        <w:trPr>
          <w:trHeight w:val="135"/>
        </w:trPr>
        <w:tc>
          <w:tcPr>
            <w:tcW w:w="6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6"/>
              </w:rPr>
              <w:t>Redeemable convertible preferred stock (Series E-1, E-2, F-1 and F-2), $0.0001 par value; 0 and 16,023,132 shares</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2"/>
              </w:rPr>
              <w:t>authorized at June 30, 2021 and December 31, 2020, respectively; 0 and 11,239,920 shares issued and outstanding at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9"/>
              </w:rPr>
              <w:t>June 30, 2021 and December 31, 2020, respectively; liquidation preference of $0 and $150,000, respectively at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June 30, 2021 and December 31, 2020</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6"/>
              </w:rPr>
              <w:t>119,769</w:t>
            </w:r>
          </w:p>
        </w:tc>
        <w:tc>
          <w:tcPr>
            <w:tcW w:w="0" w:type="dxa"/>
            <w:vAlign w:val="bottom"/>
          </w:tcPr>
          <w:p>
            <w:pPr>
              <w:spacing w:after="0"/>
              <w:rPr>
                <w:sz w:val="1"/>
                <w:szCs w:val="1"/>
                <w:color w:val="auto"/>
              </w:rPr>
            </w:pPr>
          </w:p>
        </w:tc>
      </w:tr>
      <w:tr>
        <w:trPr>
          <w:trHeight w:val="142"/>
        </w:trPr>
        <w:tc>
          <w:tcPr>
            <w:tcW w:w="6000" w:type="dxa"/>
            <w:vAlign w:val="bottom"/>
          </w:tcPr>
          <w:p>
            <w:pPr>
              <w:spacing w:after="0"/>
              <w:rPr>
                <w:sz w:val="20"/>
                <w:szCs w:val="20"/>
                <w:color w:val="auto"/>
              </w:rPr>
            </w:pPr>
            <w:r>
              <w:rPr>
                <w:rFonts w:ascii="Arial" w:cs="Arial" w:eastAsia="Arial" w:hAnsi="Arial"/>
                <w:sz w:val="12"/>
                <w:szCs w:val="12"/>
                <w:color w:val="auto"/>
              </w:rPr>
              <w:t>Stockholders’ (deficit) equity:</w:t>
            </w: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0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w w:val="91"/>
              </w:rPr>
              <w:t>Preferred stock, $0.0001 par value; 0 and 10,000,000 shares authorized as of June 30, 2021 and December 31, 2020,</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0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respectively; and none issued and outstanding as of June 30, 2021 and December 31, 2020, respectively</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6000" w:type="dxa"/>
            <w:vAlign w:val="bottom"/>
          </w:tcPr>
          <w:p>
            <w:pPr>
              <w:ind w:left="240"/>
              <w:spacing w:after="0" w:line="135" w:lineRule="exact"/>
              <w:rPr>
                <w:sz w:val="20"/>
                <w:szCs w:val="20"/>
                <w:color w:val="auto"/>
              </w:rPr>
            </w:pPr>
            <w:r>
              <w:rPr>
                <w:rFonts w:ascii="Arial" w:cs="Arial" w:eastAsia="Arial" w:hAnsi="Arial"/>
                <w:sz w:val="12"/>
                <w:szCs w:val="12"/>
                <w:color w:val="auto"/>
                <w:w w:val="91"/>
              </w:rPr>
              <w:t>Voting common stock, $0.0001 par value; 2,000,000,000 and 146,898,270 shares authorized as of June 30, 2021 and</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00" w:type="dxa"/>
            <w:vAlign w:val="bottom"/>
          </w:tcPr>
          <w:p>
            <w:pPr>
              <w:ind w:left="360"/>
              <w:spacing w:after="0"/>
              <w:rPr>
                <w:sz w:val="20"/>
                <w:szCs w:val="20"/>
                <w:color w:val="auto"/>
              </w:rPr>
            </w:pPr>
            <w:r>
              <w:rPr>
                <w:rFonts w:ascii="Arial" w:cs="Arial" w:eastAsia="Arial" w:hAnsi="Arial"/>
                <w:sz w:val="12"/>
                <w:szCs w:val="12"/>
                <w:color w:val="auto"/>
                <w:w w:val="94"/>
              </w:rPr>
              <w:t>December 31, 2020, respectively, 100,995,903 shares issued and 98,678,181 shares outstanding as of June 30,</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00" w:type="dxa"/>
            <w:vAlign w:val="bottom"/>
          </w:tcPr>
          <w:p>
            <w:pPr>
              <w:ind w:left="360"/>
              <w:spacing w:after="0"/>
              <w:rPr>
                <w:sz w:val="20"/>
                <w:szCs w:val="20"/>
                <w:color w:val="auto"/>
              </w:rPr>
            </w:pPr>
            <w:r>
              <w:rPr>
                <w:rFonts w:ascii="Arial" w:cs="Arial" w:eastAsia="Arial" w:hAnsi="Arial"/>
                <w:sz w:val="12"/>
                <w:szCs w:val="12"/>
                <w:color w:val="auto"/>
              </w:rPr>
              <w:t>2021; 22,240,872 shares issued and 19,923,150 shares outstanding as of December 31, 2020</w:t>
            </w:r>
          </w:p>
        </w:tc>
        <w:tc>
          <w:tcPr>
            <w:tcW w:w="6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5"/>
        </w:trPr>
        <w:tc>
          <w:tcPr>
            <w:tcW w:w="600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Non-voting common stock, $0.0001 par value;10,000,000 and 0 shares authorized as of June 30, 2021 and</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360"/>
              <w:spacing w:after="0"/>
              <w:rPr>
                <w:sz w:val="20"/>
                <w:szCs w:val="20"/>
                <w:color w:val="auto"/>
              </w:rPr>
            </w:pPr>
            <w:r>
              <w:rPr>
                <w:rFonts w:ascii="Arial" w:cs="Arial" w:eastAsia="Arial" w:hAnsi="Arial"/>
                <w:sz w:val="12"/>
                <w:szCs w:val="12"/>
                <w:color w:val="auto"/>
                <w:w w:val="92"/>
              </w:rPr>
              <w:t>December 31, 2020, respectively; 5,988,378 and 0 issued and outstanding as of June 30, 2021 and December 31,</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2020, respectively</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00" w:type="dxa"/>
            <w:vAlign w:val="bottom"/>
          </w:tcPr>
          <w:p>
            <w:pPr>
              <w:ind w:left="240"/>
              <w:spacing w:after="0"/>
              <w:rPr>
                <w:sz w:val="20"/>
                <w:szCs w:val="20"/>
                <w:color w:val="auto"/>
              </w:rPr>
            </w:pPr>
            <w:r>
              <w:rPr>
                <w:rFonts w:ascii="Arial" w:cs="Arial" w:eastAsia="Arial" w:hAnsi="Arial"/>
                <w:sz w:val="12"/>
                <w:szCs w:val="12"/>
                <w:color w:val="auto"/>
              </w:rPr>
              <w:t>Treasury Stock, 2,317,722 shares as of June 30, 2021 and December 31, 2020, held at cost</w:t>
            </w:r>
          </w:p>
        </w:tc>
        <w:tc>
          <w:tcPr>
            <w:tcW w:w="6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(748)</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(748)</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Additional paid-in capital</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6"/>
              </w:rPr>
              <w:t>600,236</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16,970</w:t>
            </w:r>
          </w:p>
        </w:tc>
        <w:tc>
          <w:tcPr>
            <w:tcW w:w="0" w:type="dxa"/>
            <w:vAlign w:val="bottom"/>
          </w:tcPr>
          <w:p>
            <w:pPr>
              <w:spacing w:after="0"/>
              <w:rPr>
                <w:sz w:val="1"/>
                <w:szCs w:val="1"/>
                <w:color w:val="auto"/>
              </w:rPr>
            </w:pPr>
          </w:p>
        </w:tc>
      </w:tr>
      <w:tr>
        <w:trPr>
          <w:trHeight w:val="144"/>
        </w:trPr>
        <w:tc>
          <w:tcPr>
            <w:tcW w:w="6000" w:type="dxa"/>
            <w:vAlign w:val="bottom"/>
          </w:tcPr>
          <w:p>
            <w:pPr>
              <w:ind w:left="480"/>
              <w:spacing w:after="0"/>
              <w:rPr>
                <w:sz w:val="20"/>
                <w:szCs w:val="20"/>
                <w:color w:val="auto"/>
              </w:rPr>
            </w:pPr>
            <w:r>
              <w:rPr>
                <w:rFonts w:ascii="Arial" w:cs="Arial" w:eastAsia="Arial" w:hAnsi="Arial"/>
                <w:sz w:val="12"/>
                <w:szCs w:val="12"/>
                <w:color w:val="auto"/>
              </w:rPr>
              <w:t>Accumulated other comprehensive income (loss)</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49</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Accumulated (deficit)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9"/>
              </w:rPr>
              <w:t>(124,570)</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(97,772)</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720"/>
              <w:spacing w:after="0"/>
              <w:rPr>
                <w:sz w:val="20"/>
                <w:szCs w:val="20"/>
                <w:color w:val="auto"/>
              </w:rPr>
            </w:pPr>
            <w:r>
              <w:rPr>
                <w:rFonts w:ascii="Arial" w:cs="Arial" w:eastAsia="Arial" w:hAnsi="Arial"/>
                <w:sz w:val="12"/>
                <w:szCs w:val="12"/>
                <w:color w:val="auto"/>
              </w:rPr>
              <w:t>Total stockholders’ equity (deficit)</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w w:val="96"/>
              </w:rPr>
              <w:t>474,978</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(81,762)</w:t>
            </w:r>
          </w:p>
        </w:tc>
        <w:tc>
          <w:tcPr>
            <w:tcW w:w="0" w:type="dxa"/>
            <w:vAlign w:val="bottom"/>
          </w:tcPr>
          <w:p>
            <w:pPr>
              <w:spacing w:after="0"/>
              <w:rPr>
                <w:sz w:val="1"/>
                <w:szCs w:val="1"/>
                <w:color w:val="auto"/>
              </w:rPr>
            </w:pPr>
          </w:p>
        </w:tc>
      </w:tr>
      <w:tr>
        <w:trPr>
          <w:trHeight w:val="133"/>
        </w:trPr>
        <w:tc>
          <w:tcPr>
            <w:tcW w:w="6000" w:type="dxa"/>
            <w:vAlign w:val="bottom"/>
            <w:shd w:val="clear" w:color="auto" w:fill="CCEEFF"/>
          </w:tcPr>
          <w:p>
            <w:pPr>
              <w:ind w:left="720"/>
              <w:spacing w:after="0" w:line="133" w:lineRule="exact"/>
              <w:rPr>
                <w:sz w:val="20"/>
                <w:szCs w:val="20"/>
                <w:color w:val="auto"/>
              </w:rPr>
            </w:pPr>
            <w:r>
              <w:rPr>
                <w:rFonts w:ascii="Arial" w:cs="Arial" w:eastAsia="Arial" w:hAnsi="Arial"/>
                <w:sz w:val="12"/>
                <w:szCs w:val="12"/>
                <w:color w:val="auto"/>
                <w:w w:val="98"/>
              </w:rPr>
              <w:t>Total liabilities, convertible preferred stock, redeemable convertible preferred stock and stockholders’</w:t>
            </w:r>
          </w:p>
        </w:tc>
        <w:tc>
          <w:tcPr>
            <w:tcW w:w="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000" w:type="dxa"/>
            <w:vAlign w:val="bottom"/>
            <w:shd w:val="clear" w:color="auto" w:fill="CCEEFF"/>
          </w:tcPr>
          <w:p>
            <w:pPr>
              <w:ind w:left="840"/>
              <w:spacing w:after="0"/>
              <w:rPr>
                <w:sz w:val="20"/>
                <w:szCs w:val="20"/>
                <w:color w:val="auto"/>
              </w:rPr>
            </w:pPr>
            <w:r>
              <w:rPr>
                <w:rFonts w:ascii="Arial" w:cs="Arial" w:eastAsia="Arial" w:hAnsi="Arial"/>
                <w:sz w:val="12"/>
                <w:szCs w:val="12"/>
                <w:color w:val="auto"/>
              </w:rPr>
              <w:t>(deficit) equity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6"/>
              </w:rPr>
              <w:t>580,089</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6"/>
              </w:rPr>
              <w:t>271,442</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6" w:right="1440"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Unaudited Condensed Consolidated Statement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(Amounts in thousands)</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6040" w:type="dxa"/>
            <w:vAlign w:val="bottom"/>
          </w:tcPr>
          <w:p>
            <w:pPr>
              <w:spacing w:after="0"/>
              <w:rPr>
                <w:sz w:val="10"/>
                <w:szCs w:val="10"/>
                <w:color w:val="auto"/>
              </w:rPr>
            </w:pPr>
          </w:p>
        </w:tc>
        <w:tc>
          <w:tcPr>
            <w:tcW w:w="1300" w:type="dxa"/>
            <w:vAlign w:val="bottom"/>
            <w:gridSpan w:val="6"/>
          </w:tcPr>
          <w:p>
            <w:pPr>
              <w:jc w:val="right"/>
              <w:ind w:right="140"/>
              <w:spacing w:after="0"/>
              <w:rPr>
                <w:sz w:val="20"/>
                <w:szCs w:val="20"/>
                <w:color w:val="auto"/>
              </w:rPr>
            </w:pPr>
            <w:r>
              <w:rPr>
                <w:rFonts w:ascii="Arial" w:cs="Arial" w:eastAsia="Arial" w:hAnsi="Arial"/>
                <w:sz w:val="10"/>
                <w:szCs w:val="10"/>
                <w:b w:val="1"/>
                <w:bCs w:val="1"/>
                <w:color w:val="auto"/>
                <w:w w:val="88"/>
              </w:rPr>
              <w:t>Six Months Ended June 30,</w:t>
            </w:r>
          </w:p>
        </w:tc>
        <w:tc>
          <w:tcPr>
            <w:tcW w:w="0" w:type="dxa"/>
            <w:vAlign w:val="bottom"/>
          </w:tcPr>
          <w:p>
            <w:pPr>
              <w:spacing w:after="0"/>
              <w:rPr>
                <w:sz w:val="1"/>
                <w:szCs w:val="1"/>
                <w:color w:val="auto"/>
              </w:rPr>
            </w:pPr>
          </w:p>
        </w:tc>
      </w:tr>
      <w:tr>
        <w:trPr>
          <w:trHeight w:val="88"/>
        </w:trPr>
        <w:tc>
          <w:tcPr>
            <w:tcW w:w="6040" w:type="dxa"/>
            <w:vAlign w:val="bottom"/>
            <w:tcBorders>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ind w:left="60"/>
              <w:spacing w:after="0" w:line="88" w:lineRule="exact"/>
              <w:rPr>
                <w:sz w:val="20"/>
                <w:szCs w:val="20"/>
                <w:color w:val="auto"/>
              </w:rPr>
            </w:pPr>
            <w:r>
              <w:rPr>
                <w:rFonts w:ascii="Arial" w:cs="Arial" w:eastAsia="Arial" w:hAnsi="Arial"/>
                <w:sz w:val="10"/>
                <w:szCs w:val="10"/>
                <w:b w:val="1"/>
                <w:bCs w:val="1"/>
                <w:color w:val="auto"/>
              </w:rPr>
              <w:t>2021</w:t>
            </w:r>
          </w:p>
        </w:tc>
        <w:tc>
          <w:tcPr>
            <w:tcW w:w="24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jc w:val="right"/>
              <w:ind w:right="100"/>
              <w:spacing w:after="0" w:line="88"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604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Cash flows from operating activities: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040" w:type="dxa"/>
            <w:vAlign w:val="bottom"/>
          </w:tcPr>
          <w:p>
            <w:pPr>
              <w:spacing w:after="0"/>
              <w:rPr>
                <w:sz w:val="20"/>
                <w:szCs w:val="20"/>
                <w:color w:val="auto"/>
              </w:rPr>
            </w:pPr>
            <w:r>
              <w:rPr>
                <w:rFonts w:ascii="Arial" w:cs="Arial" w:eastAsia="Arial" w:hAnsi="Arial"/>
                <w:sz w:val="12"/>
                <w:szCs w:val="12"/>
                <w:color w:val="auto"/>
              </w:rPr>
              <w:t>Net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w w:val="93"/>
              </w:rPr>
              <w:t>(26,798)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98"/>
              </w:rPr>
              <w:t>(12,297)</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40" w:type="dxa"/>
            <w:vAlign w:val="bottom"/>
          </w:tcPr>
          <w:p>
            <w:pPr>
              <w:ind w:left="240"/>
              <w:spacing w:after="0"/>
              <w:rPr>
                <w:sz w:val="20"/>
                <w:szCs w:val="20"/>
                <w:color w:val="auto"/>
              </w:rPr>
            </w:pPr>
            <w:r>
              <w:rPr>
                <w:rFonts w:ascii="Arial" w:cs="Arial" w:eastAsia="Arial" w:hAnsi="Arial"/>
                <w:sz w:val="12"/>
                <w:szCs w:val="12"/>
                <w:color w:val="auto"/>
              </w:rPr>
              <w:t>Depreciation and amortization</w:t>
            </w:r>
          </w:p>
        </w:tc>
        <w:tc>
          <w:tcPr>
            <w:tcW w:w="8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4,305</w:t>
            </w: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3,263</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Stock-based compensation expense</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12,760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1,824</w:t>
            </w:r>
          </w:p>
        </w:tc>
        <w:tc>
          <w:tcPr>
            <w:tcW w:w="0" w:type="dxa"/>
            <w:vAlign w:val="bottom"/>
          </w:tcPr>
          <w:p>
            <w:pPr>
              <w:spacing w:after="0"/>
              <w:rPr>
                <w:sz w:val="1"/>
                <w:szCs w:val="1"/>
                <w:color w:val="auto"/>
              </w:rPr>
            </w:pPr>
          </w:p>
        </w:tc>
      </w:tr>
      <w:tr>
        <w:trPr>
          <w:trHeight w:val="144"/>
        </w:trPr>
        <w:tc>
          <w:tcPr>
            <w:tcW w:w="6040" w:type="dxa"/>
            <w:vAlign w:val="bottom"/>
          </w:tcPr>
          <w:p>
            <w:pPr>
              <w:ind w:left="240"/>
              <w:spacing w:after="0"/>
              <w:rPr>
                <w:sz w:val="20"/>
                <w:szCs w:val="20"/>
                <w:color w:val="auto"/>
              </w:rPr>
            </w:pPr>
            <w:r>
              <w:rPr>
                <w:rFonts w:ascii="Arial" w:cs="Arial" w:eastAsia="Arial" w:hAnsi="Arial"/>
                <w:sz w:val="12"/>
                <w:szCs w:val="12"/>
                <w:color w:val="auto"/>
              </w:rPr>
              <w:t>Amortization of deferred contract costs</w:t>
            </w:r>
          </w:p>
        </w:tc>
        <w:tc>
          <w:tcPr>
            <w:tcW w:w="8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105</w:t>
            </w: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 in fair value of preferred stock warrant liability</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10,758</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254</w:t>
            </w:r>
          </w:p>
        </w:tc>
        <w:tc>
          <w:tcPr>
            <w:tcW w:w="0" w:type="dxa"/>
            <w:vAlign w:val="bottom"/>
          </w:tcPr>
          <w:p>
            <w:pPr>
              <w:spacing w:after="0"/>
              <w:rPr>
                <w:sz w:val="1"/>
                <w:szCs w:val="1"/>
                <w:color w:val="auto"/>
              </w:rPr>
            </w:pPr>
          </w:p>
        </w:tc>
      </w:tr>
      <w:tr>
        <w:trPr>
          <w:trHeight w:val="144"/>
        </w:trPr>
        <w:tc>
          <w:tcPr>
            <w:tcW w:w="6040" w:type="dxa"/>
            <w:vAlign w:val="bottom"/>
          </w:tcPr>
          <w:p>
            <w:pPr>
              <w:ind w:left="240"/>
              <w:spacing w:after="0"/>
              <w:rPr>
                <w:sz w:val="20"/>
                <w:szCs w:val="20"/>
                <w:color w:val="auto"/>
              </w:rPr>
            </w:pPr>
            <w:r>
              <w:rPr>
                <w:rFonts w:ascii="Arial" w:cs="Arial" w:eastAsia="Arial" w:hAnsi="Arial"/>
                <w:sz w:val="12"/>
                <w:szCs w:val="12"/>
                <w:color w:val="auto"/>
              </w:rPr>
              <w:t>Change in fair value of contingent consideration</w:t>
            </w:r>
          </w:p>
        </w:tc>
        <w:tc>
          <w:tcPr>
            <w:tcW w:w="8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1,591</w:t>
            </w: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3,702</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Deferred tax provision</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137</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(8,538)</w:t>
            </w:r>
          </w:p>
        </w:tc>
        <w:tc>
          <w:tcPr>
            <w:tcW w:w="0" w:type="dxa"/>
            <w:vAlign w:val="bottom"/>
          </w:tcPr>
          <w:p>
            <w:pPr>
              <w:spacing w:after="0"/>
              <w:rPr>
                <w:sz w:val="1"/>
                <w:szCs w:val="1"/>
                <w:color w:val="auto"/>
              </w:rPr>
            </w:pPr>
          </w:p>
        </w:tc>
      </w:tr>
      <w:tr>
        <w:trPr>
          <w:trHeight w:val="144"/>
        </w:trPr>
        <w:tc>
          <w:tcPr>
            <w:tcW w:w="6040" w:type="dxa"/>
            <w:vAlign w:val="bottom"/>
          </w:tcPr>
          <w:p>
            <w:pPr>
              <w:ind w:left="240"/>
              <w:spacing w:after="0"/>
              <w:rPr>
                <w:sz w:val="20"/>
                <w:szCs w:val="20"/>
                <w:color w:val="auto"/>
              </w:rPr>
            </w:pPr>
            <w:r>
              <w:rPr>
                <w:rFonts w:ascii="Arial" w:cs="Arial" w:eastAsia="Arial" w:hAnsi="Arial"/>
                <w:sz w:val="12"/>
                <w:szCs w:val="12"/>
                <w:color w:val="auto"/>
              </w:rPr>
              <w:t>Bad debt expense</w:t>
            </w:r>
          </w:p>
        </w:tc>
        <w:tc>
          <w:tcPr>
            <w:tcW w:w="8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80</w:t>
            </w: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237</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Non-cash interest expense</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145</w:t>
            </w:r>
          </w:p>
        </w:tc>
        <w:tc>
          <w:tcPr>
            <w:tcW w:w="0" w:type="dxa"/>
            <w:vAlign w:val="bottom"/>
          </w:tcPr>
          <w:p>
            <w:pPr>
              <w:spacing w:after="0"/>
              <w:rPr>
                <w:sz w:val="1"/>
                <w:szCs w:val="1"/>
                <w:color w:val="auto"/>
              </w:rPr>
            </w:pPr>
          </w:p>
        </w:tc>
      </w:tr>
      <w:tr>
        <w:trPr>
          <w:trHeight w:val="144"/>
        </w:trPr>
        <w:tc>
          <w:tcPr>
            <w:tcW w:w="6040" w:type="dxa"/>
            <w:vAlign w:val="bottom"/>
          </w:tcPr>
          <w:p>
            <w:pPr>
              <w:ind w:left="240"/>
              <w:spacing w:after="0"/>
              <w:rPr>
                <w:sz w:val="20"/>
                <w:szCs w:val="20"/>
                <w:color w:val="auto"/>
              </w:rPr>
            </w:pPr>
            <w:r>
              <w:rPr>
                <w:rFonts w:ascii="Arial" w:cs="Arial" w:eastAsia="Arial" w:hAnsi="Arial"/>
                <w:sz w:val="12"/>
                <w:szCs w:val="12"/>
                <w:color w:val="auto"/>
              </w:rPr>
              <w:t>Other</w:t>
            </w:r>
          </w:p>
        </w:tc>
        <w:tc>
          <w:tcPr>
            <w:tcW w:w="8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97</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Changes in operating assets and liabilities, net of acquisition:</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40" w:type="dxa"/>
            <w:vAlign w:val="bottom"/>
          </w:tcPr>
          <w:p>
            <w:pPr>
              <w:ind w:left="480"/>
              <w:spacing w:after="0"/>
              <w:rPr>
                <w:sz w:val="20"/>
                <w:szCs w:val="20"/>
                <w:color w:val="auto"/>
              </w:rPr>
            </w:pPr>
            <w:r>
              <w:rPr>
                <w:rFonts w:ascii="Arial" w:cs="Arial" w:eastAsia="Arial" w:hAnsi="Arial"/>
                <w:sz w:val="12"/>
                <w:szCs w:val="12"/>
                <w:color w:val="auto"/>
              </w:rPr>
              <w:t>Accounts receivable</w:t>
            </w:r>
          </w:p>
        </w:tc>
        <w:tc>
          <w:tcPr>
            <w:tcW w:w="8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(128)</w:t>
            </w:r>
          </w:p>
        </w:tc>
        <w:tc>
          <w:tcPr>
            <w:tcW w:w="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(1,971)</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Unbilled receivables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692</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780</w:t>
            </w:r>
          </w:p>
        </w:tc>
        <w:tc>
          <w:tcPr>
            <w:tcW w:w="0" w:type="dxa"/>
            <w:vAlign w:val="bottom"/>
          </w:tcPr>
          <w:p>
            <w:pPr>
              <w:spacing w:after="0"/>
              <w:rPr>
                <w:sz w:val="1"/>
                <w:szCs w:val="1"/>
                <w:color w:val="auto"/>
              </w:rPr>
            </w:pPr>
          </w:p>
        </w:tc>
      </w:tr>
      <w:tr>
        <w:trPr>
          <w:trHeight w:val="144"/>
        </w:trPr>
        <w:tc>
          <w:tcPr>
            <w:tcW w:w="6040" w:type="dxa"/>
            <w:vAlign w:val="bottom"/>
          </w:tcPr>
          <w:p>
            <w:pPr>
              <w:ind w:left="480"/>
              <w:spacing w:after="0"/>
              <w:rPr>
                <w:sz w:val="20"/>
                <w:szCs w:val="20"/>
                <w:color w:val="auto"/>
              </w:rPr>
            </w:pPr>
            <w:r>
              <w:rPr>
                <w:rFonts w:ascii="Arial" w:cs="Arial" w:eastAsia="Arial" w:hAnsi="Arial"/>
                <w:sz w:val="12"/>
                <w:szCs w:val="12"/>
                <w:color w:val="auto"/>
              </w:rPr>
              <w:t>Funds receivable from payment partners</w:t>
            </w:r>
          </w:p>
        </w:tc>
        <w:tc>
          <w:tcPr>
            <w:tcW w:w="8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5,456</w:t>
            </w: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5,648</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Prepaid expenses and other assets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(7,817)</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(3,210)</w:t>
            </w:r>
          </w:p>
        </w:tc>
        <w:tc>
          <w:tcPr>
            <w:tcW w:w="0" w:type="dxa"/>
            <w:vAlign w:val="bottom"/>
          </w:tcPr>
          <w:p>
            <w:pPr>
              <w:spacing w:after="0"/>
              <w:rPr>
                <w:sz w:val="1"/>
                <w:szCs w:val="1"/>
                <w:color w:val="auto"/>
              </w:rPr>
            </w:pPr>
          </w:p>
        </w:tc>
      </w:tr>
      <w:tr>
        <w:trPr>
          <w:trHeight w:val="144"/>
        </w:trPr>
        <w:tc>
          <w:tcPr>
            <w:tcW w:w="6040" w:type="dxa"/>
            <w:vAlign w:val="bottom"/>
          </w:tcPr>
          <w:p>
            <w:pPr>
              <w:ind w:left="480"/>
              <w:spacing w:after="0"/>
              <w:rPr>
                <w:sz w:val="20"/>
                <w:szCs w:val="20"/>
                <w:color w:val="auto"/>
              </w:rPr>
            </w:pPr>
            <w:r>
              <w:rPr>
                <w:rFonts w:ascii="Arial" w:cs="Arial" w:eastAsia="Arial" w:hAnsi="Arial"/>
                <w:sz w:val="12"/>
                <w:szCs w:val="12"/>
                <w:color w:val="auto"/>
              </w:rPr>
              <w:t>Funds payable to customers</w:t>
            </w:r>
          </w:p>
        </w:tc>
        <w:tc>
          <w:tcPr>
            <w:tcW w:w="8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w w:val="93"/>
              </w:rPr>
              <w:t>(14,475)</w:t>
            </w:r>
          </w:p>
        </w:tc>
        <w:tc>
          <w:tcPr>
            <w:tcW w:w="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98"/>
              </w:rPr>
              <w:t>(29,990)</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Accounts payable, accrued expenses and other current liabilities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3,097</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650</w:t>
            </w:r>
          </w:p>
        </w:tc>
        <w:tc>
          <w:tcPr>
            <w:tcW w:w="0" w:type="dxa"/>
            <w:vAlign w:val="bottom"/>
          </w:tcPr>
          <w:p>
            <w:pPr>
              <w:spacing w:after="0"/>
              <w:rPr>
                <w:sz w:val="1"/>
                <w:szCs w:val="1"/>
                <w:color w:val="auto"/>
              </w:rPr>
            </w:pPr>
          </w:p>
        </w:tc>
      </w:tr>
      <w:tr>
        <w:trPr>
          <w:trHeight w:val="144"/>
        </w:trPr>
        <w:tc>
          <w:tcPr>
            <w:tcW w:w="6040" w:type="dxa"/>
            <w:vAlign w:val="bottom"/>
          </w:tcPr>
          <w:p>
            <w:pPr>
              <w:ind w:left="480"/>
              <w:spacing w:after="0"/>
              <w:rPr>
                <w:sz w:val="20"/>
                <w:szCs w:val="20"/>
                <w:color w:val="auto"/>
              </w:rPr>
            </w:pPr>
            <w:r>
              <w:rPr>
                <w:rFonts w:ascii="Arial" w:cs="Arial" w:eastAsia="Arial" w:hAnsi="Arial"/>
                <w:sz w:val="12"/>
                <w:szCs w:val="12"/>
                <w:color w:val="auto"/>
              </w:rPr>
              <w:t>Contingent consideration</w:t>
            </w:r>
          </w:p>
        </w:tc>
        <w:tc>
          <w:tcPr>
            <w:tcW w:w="8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(3,212)</w:t>
            </w:r>
          </w:p>
        </w:tc>
        <w:tc>
          <w:tcPr>
            <w:tcW w:w="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(693)</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Other liabilities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135</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(133)</w:t>
            </w:r>
          </w:p>
        </w:tc>
        <w:tc>
          <w:tcPr>
            <w:tcW w:w="0" w:type="dxa"/>
            <w:vAlign w:val="bottom"/>
          </w:tcPr>
          <w:p>
            <w:pPr>
              <w:spacing w:after="0"/>
              <w:rPr>
                <w:sz w:val="1"/>
                <w:szCs w:val="1"/>
                <w:color w:val="auto"/>
              </w:rPr>
            </w:pPr>
          </w:p>
        </w:tc>
      </w:tr>
      <w:tr>
        <w:trPr>
          <w:trHeight w:val="144"/>
        </w:trPr>
        <w:tc>
          <w:tcPr>
            <w:tcW w:w="6040" w:type="dxa"/>
            <w:vAlign w:val="bottom"/>
          </w:tcPr>
          <w:p>
            <w:pPr>
              <w:ind w:left="480"/>
              <w:spacing w:after="0"/>
              <w:rPr>
                <w:sz w:val="20"/>
                <w:szCs w:val="20"/>
                <w:color w:val="auto"/>
              </w:rPr>
            </w:pPr>
            <w:r>
              <w:rPr>
                <w:rFonts w:ascii="Arial" w:cs="Arial" w:eastAsia="Arial" w:hAnsi="Arial"/>
                <w:sz w:val="12"/>
                <w:szCs w:val="12"/>
                <w:color w:val="auto"/>
              </w:rPr>
              <w:t>Deferred revenue</w:t>
            </w:r>
          </w:p>
        </w:tc>
        <w:tc>
          <w:tcPr>
            <w:tcW w:w="8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(436)</w:t>
            </w:r>
          </w:p>
        </w:tc>
        <w:tc>
          <w:tcPr>
            <w:tcW w:w="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(385)</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40" w:type="dxa"/>
            <w:vAlign w:val="bottom"/>
            <w:shd w:val="clear" w:color="auto" w:fill="CCEEFF"/>
          </w:tcPr>
          <w:p>
            <w:pPr>
              <w:ind w:left="720"/>
              <w:spacing w:after="0"/>
              <w:rPr>
                <w:sz w:val="20"/>
                <w:szCs w:val="20"/>
                <w:color w:val="auto"/>
              </w:rPr>
            </w:pPr>
            <w:r>
              <w:rPr>
                <w:rFonts w:ascii="Arial" w:cs="Arial" w:eastAsia="Arial" w:hAnsi="Arial"/>
                <w:sz w:val="12"/>
                <w:szCs w:val="12"/>
                <w:color w:val="auto"/>
              </w:rPr>
              <w:t>Net cash used in operating activities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3"/>
              </w:rPr>
              <w:t>(13,553)</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8"/>
              </w:rPr>
              <w:t>(40,609)</w:t>
            </w:r>
          </w:p>
        </w:tc>
        <w:tc>
          <w:tcPr>
            <w:tcW w:w="0" w:type="dxa"/>
            <w:vAlign w:val="bottom"/>
          </w:tcPr>
          <w:p>
            <w:pPr>
              <w:spacing w:after="0"/>
              <w:rPr>
                <w:sz w:val="1"/>
                <w:szCs w:val="1"/>
                <w:color w:val="auto"/>
              </w:rPr>
            </w:pPr>
          </w:p>
        </w:tc>
      </w:tr>
      <w:tr>
        <w:trPr>
          <w:trHeight w:val="142"/>
        </w:trPr>
        <w:tc>
          <w:tcPr>
            <w:tcW w:w="604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Purchases of property and equipment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(3,463)</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(1,261)</w:t>
            </w:r>
          </w:p>
        </w:tc>
        <w:tc>
          <w:tcPr>
            <w:tcW w:w="0" w:type="dxa"/>
            <w:vAlign w:val="bottom"/>
          </w:tcPr>
          <w:p>
            <w:pPr>
              <w:spacing w:after="0"/>
              <w:rPr>
                <w:sz w:val="1"/>
                <w:szCs w:val="1"/>
                <w:color w:val="auto"/>
              </w:rPr>
            </w:pPr>
          </w:p>
        </w:tc>
      </w:tr>
      <w:tr>
        <w:trPr>
          <w:trHeight w:val="144"/>
        </w:trPr>
        <w:tc>
          <w:tcPr>
            <w:tcW w:w="6040" w:type="dxa"/>
            <w:vAlign w:val="bottom"/>
          </w:tcPr>
          <w:p>
            <w:pPr>
              <w:spacing w:after="0"/>
              <w:rPr>
                <w:sz w:val="20"/>
                <w:szCs w:val="20"/>
                <w:color w:val="auto"/>
              </w:rPr>
            </w:pPr>
            <w:r>
              <w:rPr>
                <w:rFonts w:ascii="Arial" w:cs="Arial" w:eastAsia="Arial" w:hAnsi="Arial"/>
                <w:sz w:val="12"/>
                <w:szCs w:val="12"/>
                <w:color w:val="auto"/>
              </w:rPr>
              <w:t>Asset acquisition, net of cash acquired</w:t>
            </w:r>
          </w:p>
        </w:tc>
        <w:tc>
          <w:tcPr>
            <w:tcW w:w="8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(119)</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Acquisition of businesses, net of cash acquired</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8"/>
              </w:rPr>
              <w:t>(79,401)</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720"/>
              <w:spacing w:after="0"/>
              <w:rPr>
                <w:sz w:val="20"/>
                <w:szCs w:val="20"/>
                <w:color w:val="auto"/>
              </w:rPr>
            </w:pPr>
            <w:r>
              <w:rPr>
                <w:rFonts w:ascii="Arial" w:cs="Arial" w:eastAsia="Arial" w:hAnsi="Arial"/>
                <w:sz w:val="12"/>
                <w:szCs w:val="12"/>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(3,582)</w:t>
            </w:r>
          </w:p>
        </w:tc>
        <w:tc>
          <w:tcPr>
            <w:tcW w:w="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98"/>
              </w:rPr>
              <w:t>(80,662)</w:t>
            </w:r>
          </w:p>
        </w:tc>
        <w:tc>
          <w:tcPr>
            <w:tcW w:w="0" w:type="dxa"/>
            <w:vAlign w:val="bottom"/>
          </w:tcPr>
          <w:p>
            <w:pPr>
              <w:spacing w:after="0"/>
              <w:rPr>
                <w:sz w:val="1"/>
                <w:szCs w:val="1"/>
                <w:color w:val="auto"/>
              </w:rPr>
            </w:pPr>
          </w:p>
        </w:tc>
      </w:tr>
      <w:tr>
        <w:trPr>
          <w:trHeight w:val="142"/>
        </w:trPr>
        <w:tc>
          <w:tcPr>
            <w:tcW w:w="60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40" w:type="dxa"/>
            <w:vAlign w:val="bottom"/>
          </w:tcPr>
          <w:p>
            <w:pPr>
              <w:spacing w:after="0"/>
              <w:rPr>
                <w:sz w:val="20"/>
                <w:szCs w:val="20"/>
                <w:color w:val="auto"/>
              </w:rPr>
            </w:pPr>
            <w:r>
              <w:rPr>
                <w:rFonts w:ascii="Arial" w:cs="Arial" w:eastAsia="Arial" w:hAnsi="Arial"/>
                <w:sz w:val="12"/>
                <w:szCs w:val="12"/>
                <w:color w:val="auto"/>
              </w:rPr>
              <w:t>Proceeds from initial public offering, net of underwriting discounts and commissions</w:t>
            </w:r>
          </w:p>
        </w:tc>
        <w:tc>
          <w:tcPr>
            <w:tcW w:w="8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w w:val="87"/>
              </w:rPr>
              <w:t>268,694</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Payment of costs related to initial public offering</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(3,845)</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40" w:type="dxa"/>
            <w:vAlign w:val="bottom"/>
          </w:tcPr>
          <w:p>
            <w:pPr>
              <w:spacing w:after="0"/>
              <w:rPr>
                <w:sz w:val="20"/>
                <w:szCs w:val="20"/>
                <w:color w:val="auto"/>
              </w:rPr>
            </w:pPr>
            <w:r>
              <w:rPr>
                <w:rFonts w:ascii="Arial" w:cs="Arial" w:eastAsia="Arial" w:hAnsi="Arial"/>
                <w:sz w:val="12"/>
                <w:szCs w:val="12"/>
                <w:color w:val="auto"/>
              </w:rPr>
              <w:t>Proceeds from issuance of long-term debt</w:t>
            </w:r>
          </w:p>
        </w:tc>
        <w:tc>
          <w:tcPr>
            <w:tcW w:w="80" w:type="dxa"/>
            <w:vAlign w:val="bottom"/>
          </w:tcPr>
          <w:p>
            <w:pPr>
              <w:spacing w:after="0"/>
              <w:rPr>
                <w:sz w:val="12"/>
                <w:szCs w:val="12"/>
                <w:color w:val="auto"/>
              </w:rPr>
            </w:pPr>
          </w:p>
        </w:tc>
        <w:tc>
          <w:tcPr>
            <w:tcW w:w="6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4,167</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Payment of long-term debt issuance costs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(172)</w:t>
            </w:r>
          </w:p>
        </w:tc>
        <w:tc>
          <w:tcPr>
            <w:tcW w:w="0" w:type="dxa"/>
            <w:vAlign w:val="bottom"/>
          </w:tcPr>
          <w:p>
            <w:pPr>
              <w:spacing w:after="0"/>
              <w:rPr>
                <w:sz w:val="1"/>
                <w:szCs w:val="1"/>
                <w:color w:val="auto"/>
              </w:rPr>
            </w:pPr>
          </w:p>
        </w:tc>
      </w:tr>
      <w:tr>
        <w:trPr>
          <w:trHeight w:val="144"/>
        </w:trPr>
        <w:tc>
          <w:tcPr>
            <w:tcW w:w="6040" w:type="dxa"/>
            <w:vAlign w:val="bottom"/>
          </w:tcPr>
          <w:p>
            <w:pPr>
              <w:spacing w:after="0"/>
              <w:rPr>
                <w:sz w:val="20"/>
                <w:szCs w:val="20"/>
                <w:color w:val="auto"/>
              </w:rPr>
            </w:pPr>
            <w:r>
              <w:rPr>
                <w:rFonts w:ascii="Arial" w:cs="Arial" w:eastAsia="Arial" w:hAnsi="Arial"/>
                <w:sz w:val="12"/>
                <w:szCs w:val="12"/>
                <w:color w:val="auto"/>
              </w:rPr>
              <w:t>Payment of long-term debt</w:t>
            </w:r>
          </w:p>
        </w:tc>
        <w:tc>
          <w:tcPr>
            <w:tcW w:w="80" w:type="dxa"/>
            <w:vAlign w:val="bottom"/>
          </w:tcPr>
          <w:p>
            <w:pPr>
              <w:spacing w:after="0"/>
              <w:rPr>
                <w:sz w:val="12"/>
                <w:szCs w:val="12"/>
                <w:color w:val="auto"/>
              </w:rPr>
            </w:pPr>
          </w:p>
        </w:tc>
        <w:tc>
          <w:tcPr>
            <w:tcW w:w="6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(4,167)</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Proceeds from issuance of redeemable convertible preferred stock, net of issuance costs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59,735</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2"/>
              </w:rPr>
              <w:t>119,755</w:t>
            </w:r>
          </w:p>
        </w:tc>
        <w:tc>
          <w:tcPr>
            <w:tcW w:w="0" w:type="dxa"/>
            <w:vAlign w:val="bottom"/>
          </w:tcPr>
          <w:p>
            <w:pPr>
              <w:spacing w:after="0"/>
              <w:rPr>
                <w:sz w:val="1"/>
                <w:szCs w:val="1"/>
                <w:color w:val="auto"/>
              </w:rPr>
            </w:pPr>
          </w:p>
        </w:tc>
      </w:tr>
      <w:tr>
        <w:trPr>
          <w:trHeight w:val="144"/>
        </w:trPr>
        <w:tc>
          <w:tcPr>
            <w:tcW w:w="6040" w:type="dxa"/>
            <w:vAlign w:val="bottom"/>
          </w:tcPr>
          <w:p>
            <w:pPr>
              <w:spacing w:after="0"/>
              <w:rPr>
                <w:sz w:val="20"/>
                <w:szCs w:val="20"/>
                <w:color w:val="auto"/>
              </w:rPr>
            </w:pPr>
            <w:r>
              <w:rPr>
                <w:rFonts w:ascii="Arial" w:cs="Arial" w:eastAsia="Arial" w:hAnsi="Arial"/>
                <w:sz w:val="12"/>
                <w:szCs w:val="12"/>
                <w:color w:val="auto"/>
              </w:rPr>
              <w:t>Proceeds from exercise of warrants</w:t>
            </w:r>
          </w:p>
        </w:tc>
        <w:tc>
          <w:tcPr>
            <w:tcW w:w="8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294</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Contingent consideration paid for acquisitions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(3,800)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(1,307)</w:t>
            </w:r>
          </w:p>
        </w:tc>
        <w:tc>
          <w:tcPr>
            <w:tcW w:w="0" w:type="dxa"/>
            <w:vAlign w:val="bottom"/>
          </w:tcPr>
          <w:p>
            <w:pPr>
              <w:spacing w:after="0"/>
              <w:rPr>
                <w:sz w:val="1"/>
                <w:szCs w:val="1"/>
                <w:color w:val="auto"/>
              </w:rPr>
            </w:pPr>
          </w:p>
        </w:tc>
      </w:tr>
      <w:tr>
        <w:trPr>
          <w:trHeight w:val="144"/>
        </w:trPr>
        <w:tc>
          <w:tcPr>
            <w:tcW w:w="6040" w:type="dxa"/>
            <w:vAlign w:val="bottom"/>
          </w:tcPr>
          <w:p>
            <w:pPr>
              <w:spacing w:after="0"/>
              <w:rPr>
                <w:sz w:val="20"/>
                <w:szCs w:val="20"/>
                <w:color w:val="auto"/>
              </w:rPr>
            </w:pPr>
            <w:r>
              <w:rPr>
                <w:rFonts w:ascii="Arial" w:cs="Arial" w:eastAsia="Arial" w:hAnsi="Arial"/>
                <w:sz w:val="12"/>
                <w:szCs w:val="12"/>
                <w:color w:val="auto"/>
              </w:rPr>
              <w:t>Proceeds from exercise of stock options</w:t>
            </w:r>
          </w:p>
        </w:tc>
        <w:tc>
          <w:tcPr>
            <w:tcW w:w="8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3,792</w:t>
            </w: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520</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40" w:type="dxa"/>
            <w:vAlign w:val="bottom"/>
            <w:shd w:val="clear" w:color="auto" w:fill="CCEEFF"/>
          </w:tcPr>
          <w:p>
            <w:pPr>
              <w:ind w:left="720"/>
              <w:spacing w:after="0"/>
              <w:rPr>
                <w:sz w:val="20"/>
                <w:szCs w:val="20"/>
                <w:color w:val="auto"/>
              </w:rPr>
            </w:pPr>
            <w:r>
              <w:rPr>
                <w:rFonts w:ascii="Arial" w:cs="Arial" w:eastAsia="Arial" w:hAnsi="Arial"/>
                <w:sz w:val="12"/>
                <w:szCs w:val="12"/>
                <w:color w:val="auto"/>
              </w:rPr>
              <w:t>Net cash provided by financing activities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7"/>
              </w:rPr>
              <w:t>324,870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2"/>
              </w:rPr>
              <w:t>118,796</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2"/>
                <w:szCs w:val="12"/>
                <w:color w:val="auto"/>
              </w:rPr>
              <w:t>Effect of exchange rates changes on cash and cash equivalents</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239</w:t>
            </w:r>
          </w:p>
        </w:tc>
        <w:tc>
          <w:tcPr>
            <w:tcW w:w="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(428)</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(decrease) increase in cash, cash equivalents and restricted cash</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7"/>
              </w:rPr>
              <w:t>307,974</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(2,903)</w:t>
            </w:r>
          </w:p>
        </w:tc>
        <w:tc>
          <w:tcPr>
            <w:tcW w:w="0" w:type="dxa"/>
            <w:vAlign w:val="bottom"/>
          </w:tcPr>
          <w:p>
            <w:pPr>
              <w:spacing w:after="0"/>
              <w:rPr>
                <w:sz w:val="1"/>
                <w:szCs w:val="1"/>
                <w:color w:val="auto"/>
              </w:rPr>
            </w:pPr>
          </w:p>
        </w:tc>
      </w:tr>
      <w:tr>
        <w:trPr>
          <w:trHeight w:val="144"/>
        </w:trPr>
        <w:tc>
          <w:tcPr>
            <w:tcW w:w="6040" w:type="dxa"/>
            <w:vAlign w:val="bottom"/>
          </w:tcPr>
          <w:p>
            <w:pPr>
              <w:spacing w:after="0"/>
              <w:rPr>
                <w:sz w:val="20"/>
                <w:szCs w:val="20"/>
                <w:color w:val="auto"/>
              </w:rPr>
            </w:pPr>
            <w:r>
              <w:rPr>
                <w:rFonts w:ascii="Arial" w:cs="Arial" w:eastAsia="Arial" w:hAnsi="Arial"/>
                <w:sz w:val="12"/>
                <w:szCs w:val="12"/>
                <w:b w:val="1"/>
                <w:bCs w:val="1"/>
                <w:color w:val="auto"/>
              </w:rPr>
              <w:t>Cash, cash equivalents and restricted cash, beginning of period</w:t>
            </w:r>
          </w:p>
        </w:tc>
        <w:tc>
          <w:tcPr>
            <w:tcW w:w="8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w w:val="87"/>
              </w:rPr>
              <w:t>109,052</w:t>
            </w: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86,027</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cash equivalents and restricted cash,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7"/>
              </w:rPr>
              <w:t>417,026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83,124</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6" w:right="1440"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Reconciliation of Non-GAAP Financial Measures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(Amounts in millions)</w:t>
      </w:r>
    </w:p>
    <w:p>
      <w:pPr>
        <w:spacing w:after="0" w:line="138"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220" w:type="dxa"/>
            <w:vAlign w:val="bottom"/>
            <w:gridSpan w:val="6"/>
          </w:tcPr>
          <w:p>
            <w:pPr>
              <w:jc w:val="right"/>
              <w:ind w:right="300"/>
              <w:spacing w:after="0"/>
              <w:rPr>
                <w:sz w:val="20"/>
                <w:szCs w:val="20"/>
                <w:color w:val="auto"/>
              </w:rPr>
            </w:pPr>
            <w:r>
              <w:rPr>
                <w:rFonts w:ascii="Arial" w:cs="Arial" w:eastAsia="Arial" w:hAnsi="Arial"/>
                <w:sz w:val="10"/>
                <w:szCs w:val="10"/>
                <w:b w:val="1"/>
                <w:bCs w:val="1"/>
                <w:color w:val="auto"/>
                <w:w w:val="90"/>
              </w:rPr>
              <w:t>Three Months Ended</w:t>
            </w:r>
          </w:p>
        </w:tc>
        <w:tc>
          <w:tcPr>
            <w:tcW w:w="1000" w:type="dxa"/>
            <w:vAlign w:val="bottom"/>
            <w:gridSpan w:val="4"/>
          </w:tcPr>
          <w:p>
            <w:pPr>
              <w:ind w:left="6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113"/>
        </w:trPr>
        <w:tc>
          <w:tcPr>
            <w:tcW w:w="51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Millions, Except for Gross Margin and Adjusted</w:t>
            </w:r>
          </w:p>
        </w:tc>
        <w:tc>
          <w:tcPr>
            <w:tcW w:w="60" w:type="dxa"/>
            <w:vAlign w:val="bottom"/>
          </w:tcPr>
          <w:p>
            <w:pPr>
              <w:spacing w:after="0"/>
              <w:rPr>
                <w:sz w:val="9"/>
                <w:szCs w:val="9"/>
                <w:color w:val="auto"/>
              </w:rPr>
            </w:pPr>
          </w:p>
        </w:tc>
        <w:tc>
          <w:tcPr>
            <w:tcW w:w="620" w:type="dxa"/>
            <w:vAlign w:val="bottom"/>
            <w:gridSpan w:val="3"/>
          </w:tcPr>
          <w:p>
            <w:pPr>
              <w:jc w:val="right"/>
              <w:spacing w:after="0" w:line="114" w:lineRule="exact"/>
              <w:rPr>
                <w:sz w:val="20"/>
                <w:szCs w:val="20"/>
                <w:color w:val="auto"/>
              </w:rPr>
            </w:pPr>
            <w:r>
              <w:rPr>
                <w:rFonts w:ascii="Arial" w:cs="Arial" w:eastAsia="Arial" w:hAnsi="Arial"/>
                <w:sz w:val="10"/>
                <w:szCs w:val="10"/>
                <w:b w:val="1"/>
                <w:bCs w:val="1"/>
                <w:color w:val="auto"/>
              </w:rPr>
              <w:t>June 30,</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gridSpan w:val="4"/>
          </w:tcPr>
          <w:p>
            <w:pPr>
              <w:jc w:val="right"/>
              <w:ind w:right="400"/>
              <w:spacing w:after="0" w:line="114" w:lineRule="exact"/>
              <w:rPr>
                <w:sz w:val="20"/>
                <w:szCs w:val="20"/>
                <w:color w:val="auto"/>
              </w:rPr>
            </w:pPr>
            <w:r>
              <w:rPr>
                <w:rFonts w:ascii="Arial" w:cs="Arial" w:eastAsia="Arial" w:hAnsi="Arial"/>
                <w:sz w:val="10"/>
                <w:szCs w:val="10"/>
                <w:b w:val="1"/>
                <w:bCs w:val="1"/>
                <w:color w:val="auto"/>
              </w:rPr>
              <w:t>June 30,</w:t>
            </w:r>
          </w:p>
        </w:tc>
        <w:tc>
          <w:tcPr>
            <w:tcW w:w="0" w:type="dxa"/>
            <w:vAlign w:val="bottom"/>
          </w:tcPr>
          <w:p>
            <w:pPr>
              <w:spacing w:after="0"/>
              <w:rPr>
                <w:sz w:val="1"/>
                <w:szCs w:val="1"/>
                <w:color w:val="auto"/>
              </w:rPr>
            </w:pPr>
          </w:p>
        </w:tc>
      </w:tr>
      <w:tr>
        <w:trPr>
          <w:trHeight w:val="65"/>
        </w:trPr>
        <w:tc>
          <w:tcPr>
            <w:tcW w:w="5120" w:type="dxa"/>
            <w:vAlign w:val="bottom"/>
            <w:gridSpan w:val="2"/>
            <w:vMerge w:val="continue"/>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60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w w:val="85"/>
              </w:rPr>
              <w:t>Gross Margin)</w:t>
            </w:r>
          </w:p>
        </w:tc>
        <w:tc>
          <w:tcPr>
            <w:tcW w:w="4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jc w:val="right"/>
              <w:ind w:right="2"/>
              <w:spacing w:after="0" w:line="114" w:lineRule="exact"/>
              <w:rPr>
                <w:sz w:val="20"/>
                <w:szCs w:val="20"/>
                <w:color w:val="auto"/>
              </w:rPr>
            </w:pPr>
            <w:r>
              <w:rPr>
                <w:rFonts w:ascii="Arial" w:cs="Arial" w:eastAsia="Arial" w:hAnsi="Arial"/>
                <w:sz w:val="10"/>
                <w:szCs w:val="10"/>
                <w:b w:val="1"/>
                <w:bCs w:val="1"/>
                <w:color w:val="auto"/>
                <w:w w:val="80"/>
              </w:rPr>
              <w:t>2021</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jc w:val="right"/>
              <w:ind w:right="21"/>
              <w:spacing w:after="0" w:line="114" w:lineRule="exact"/>
              <w:rPr>
                <w:sz w:val="20"/>
                <w:szCs w:val="20"/>
                <w:color w:val="auto"/>
              </w:rPr>
            </w:pPr>
            <w:r>
              <w:rPr>
                <w:rFonts w:ascii="Arial" w:cs="Arial" w:eastAsia="Arial" w:hAnsi="Arial"/>
                <w:sz w:val="10"/>
                <w:szCs w:val="10"/>
                <w:b w:val="1"/>
                <w:bCs w:val="1"/>
                <w:color w:val="auto"/>
                <w:w w:val="80"/>
              </w:rPr>
              <w:t>2020</w:t>
            </w:r>
          </w:p>
        </w:tc>
        <w:tc>
          <w:tcPr>
            <w:tcW w:w="260" w:type="dxa"/>
            <w:vAlign w:val="bottom"/>
          </w:tcPr>
          <w:p>
            <w:pPr>
              <w:spacing w:after="0"/>
              <w:rPr>
                <w:sz w:val="11"/>
                <w:szCs w:val="11"/>
                <w:color w:val="auto"/>
              </w:rPr>
            </w:pPr>
          </w:p>
        </w:tc>
        <w:tc>
          <w:tcPr>
            <w:tcW w:w="300" w:type="dxa"/>
            <w:vAlign w:val="bottom"/>
          </w:tcPr>
          <w:p>
            <w:pPr>
              <w:ind w:left="60"/>
              <w:spacing w:after="0" w:line="114" w:lineRule="exact"/>
              <w:rPr>
                <w:sz w:val="20"/>
                <w:szCs w:val="20"/>
                <w:color w:val="auto"/>
              </w:rPr>
            </w:pPr>
            <w:r>
              <w:rPr>
                <w:rFonts w:ascii="Arial" w:cs="Arial" w:eastAsia="Arial" w:hAnsi="Arial"/>
                <w:sz w:val="10"/>
                <w:szCs w:val="10"/>
                <w:b w:val="1"/>
                <w:bCs w:val="1"/>
                <w:color w:val="auto"/>
                <w:w w:val="98"/>
              </w:rPr>
              <w:t>2021</w:t>
            </w:r>
          </w:p>
        </w:tc>
        <w:tc>
          <w:tcPr>
            <w:tcW w:w="260" w:type="dxa"/>
            <w:vAlign w:val="bottom"/>
          </w:tcPr>
          <w:p>
            <w:pPr>
              <w:spacing w:after="0"/>
              <w:rPr>
                <w:sz w:val="11"/>
                <w:szCs w:val="11"/>
                <w:color w:val="auto"/>
              </w:rPr>
            </w:pPr>
          </w:p>
        </w:tc>
        <w:tc>
          <w:tcPr>
            <w:tcW w:w="300" w:type="dxa"/>
            <w:vAlign w:val="bottom"/>
          </w:tcPr>
          <w:p>
            <w:pPr>
              <w:jc w:val="right"/>
              <w:ind w:right="1"/>
              <w:spacing w:after="0" w:line="114" w:lineRule="exact"/>
              <w:rPr>
                <w:sz w:val="20"/>
                <w:szCs w:val="20"/>
                <w:color w:val="auto"/>
              </w:rPr>
            </w:pPr>
            <w:r>
              <w:rPr>
                <w:rFonts w:ascii="Arial" w:cs="Arial" w:eastAsia="Arial" w:hAnsi="Arial"/>
                <w:sz w:val="10"/>
                <w:szCs w:val="10"/>
                <w:b w:val="1"/>
                <w:bCs w:val="1"/>
                <w:color w:val="auto"/>
                <w:w w:val="98"/>
              </w:rPr>
              <w:t>2020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512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Revenue</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37.0</w:t>
            </w:r>
          </w:p>
        </w:tc>
        <w:tc>
          <w:tcPr>
            <w:tcW w:w="3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23.8</w:t>
            </w:r>
          </w:p>
        </w:tc>
        <w:tc>
          <w:tcPr>
            <w:tcW w:w="26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w w:val="83"/>
              </w:rPr>
              <w:t>$ 82.0</w:t>
            </w:r>
          </w:p>
        </w:tc>
        <w:tc>
          <w:tcPr>
            <w:tcW w:w="26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w w:val="83"/>
              </w:rPr>
              <w:t>$ 56.5</w:t>
            </w: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120" w:type="dxa"/>
            <w:vAlign w:val="bottom"/>
            <w:gridSpan w:val="2"/>
          </w:tcPr>
          <w:p>
            <w:pPr>
              <w:spacing w:after="0"/>
              <w:rPr>
                <w:sz w:val="20"/>
                <w:szCs w:val="20"/>
                <w:color w:val="auto"/>
              </w:rPr>
            </w:pPr>
            <w:r>
              <w:rPr>
                <w:rFonts w:ascii="Arial" w:cs="Arial" w:eastAsia="Arial" w:hAnsi="Arial"/>
                <w:sz w:val="12"/>
                <w:szCs w:val="12"/>
                <w:color w:val="auto"/>
              </w:rPr>
              <w:t>Adjusted to exclude gross up for:</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Pass-through cost for printing and mailing</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(3.9)</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(8.4)</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(8.1)</w:t>
            </w:r>
          </w:p>
        </w:tc>
        <w:tc>
          <w:tcPr>
            <w:tcW w:w="0" w:type="dxa"/>
            <w:vAlign w:val="bottom"/>
          </w:tcPr>
          <w:p>
            <w:pPr>
              <w:spacing w:after="0"/>
              <w:rPr>
                <w:sz w:val="1"/>
                <w:szCs w:val="1"/>
                <w:color w:val="auto"/>
              </w:rPr>
            </w:pPr>
          </w:p>
        </w:tc>
      </w:tr>
      <w:tr>
        <w:trPr>
          <w:trHeight w:val="144"/>
        </w:trPr>
        <w:tc>
          <w:tcPr>
            <w:tcW w:w="5120" w:type="dxa"/>
            <w:vAlign w:val="bottom"/>
            <w:gridSpan w:val="2"/>
          </w:tcPr>
          <w:p>
            <w:pPr>
              <w:ind w:left="240"/>
              <w:spacing w:after="0"/>
              <w:rPr>
                <w:sz w:val="20"/>
                <w:szCs w:val="20"/>
                <w:color w:val="auto"/>
              </w:rPr>
            </w:pPr>
            <w:r>
              <w:rPr>
                <w:rFonts w:ascii="Arial" w:cs="Arial" w:eastAsia="Arial" w:hAnsi="Arial"/>
                <w:sz w:val="12"/>
                <w:szCs w:val="12"/>
                <w:color w:val="auto"/>
              </w:rPr>
              <w:t>Marketing fees</w:t>
            </w:r>
          </w:p>
        </w:tc>
        <w:tc>
          <w:tcPr>
            <w:tcW w:w="60" w:type="dxa"/>
            <w:vAlign w:val="bottom"/>
          </w:tcPr>
          <w:p>
            <w:pPr>
              <w:spacing w:after="0"/>
              <w:rPr>
                <w:sz w:val="12"/>
                <w:szCs w:val="12"/>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(0.1)</w:t>
            </w:r>
          </w:p>
        </w:tc>
        <w:tc>
          <w:tcPr>
            <w:tcW w:w="60" w:type="dxa"/>
            <w:vAlign w:val="bottom"/>
          </w:tcPr>
          <w:p>
            <w:pPr>
              <w:spacing w:after="0"/>
              <w:rPr>
                <w:sz w:val="12"/>
                <w:szCs w:val="12"/>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(0.4)</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Revenue Less Ancillary Services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33.0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18.6</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73.2</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3"/>
              </w:rPr>
              <w:t>$ 48.0</w:t>
            </w:r>
          </w:p>
        </w:tc>
        <w:tc>
          <w:tcPr>
            <w:tcW w:w="0" w:type="dxa"/>
            <w:vAlign w:val="bottom"/>
          </w:tcPr>
          <w:p>
            <w:pPr>
              <w:spacing w:after="0"/>
              <w:rPr>
                <w:sz w:val="1"/>
                <w:szCs w:val="1"/>
                <w:color w:val="auto"/>
              </w:rPr>
            </w:pPr>
          </w:p>
        </w:tc>
      </w:tr>
      <w:tr>
        <w:trPr>
          <w:trHeight w:val="27"/>
        </w:trPr>
        <w:tc>
          <w:tcPr>
            <w:tcW w:w="5120" w:type="dxa"/>
            <w:vAlign w:val="bottom"/>
            <w:gridSpan w:val="2"/>
            <w:vMerge w:val="restart"/>
          </w:tcPr>
          <w:p>
            <w:pPr>
              <w:spacing w:after="0"/>
              <w:rPr>
                <w:sz w:val="20"/>
                <w:szCs w:val="20"/>
                <w:color w:val="auto"/>
              </w:rPr>
            </w:pPr>
            <w:r>
              <w:rPr>
                <w:rFonts w:ascii="Arial" w:cs="Arial" w:eastAsia="Arial" w:hAnsi="Arial"/>
                <w:sz w:val="12"/>
                <w:szCs w:val="12"/>
                <w:color w:val="auto"/>
              </w:rPr>
              <w:t>Payment processing services costs</w:t>
            </w: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51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2"/>
                <w:szCs w:val="12"/>
                <w:color w:val="auto"/>
              </w:rPr>
              <w:t>13.1</w:t>
            </w:r>
          </w:p>
        </w:tc>
        <w:tc>
          <w:tcPr>
            <w:tcW w:w="60" w:type="dxa"/>
            <w:vAlign w:val="bottom"/>
          </w:tcPr>
          <w:p>
            <w:pPr>
              <w:spacing w:after="0"/>
              <w:rPr>
                <w:sz w:val="13"/>
                <w:szCs w:val="13"/>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10.9</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29.2</w:t>
            </w: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22.5</w:t>
            </w:r>
          </w:p>
        </w:tc>
        <w:tc>
          <w:tcPr>
            <w:tcW w:w="0" w:type="dxa"/>
            <w:vAlign w:val="bottom"/>
          </w:tcPr>
          <w:p>
            <w:pPr>
              <w:spacing w:after="0"/>
              <w:rPr>
                <w:sz w:val="1"/>
                <w:szCs w:val="1"/>
                <w:color w:val="auto"/>
              </w:rPr>
            </w:pPr>
          </w:p>
        </w:tc>
      </w:tr>
      <w:tr>
        <w:trPr>
          <w:trHeight w:val="144"/>
        </w:trPr>
        <w:tc>
          <w:tcPr>
            <w:tcW w:w="5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Hosting and amortization costs within technology and development expenses</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1.4</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1.2</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2.7</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44"/>
        </w:trPr>
        <w:tc>
          <w:tcPr>
            <w:tcW w:w="5120" w:type="dxa"/>
            <w:vAlign w:val="bottom"/>
            <w:gridSpan w:val="2"/>
          </w:tcPr>
          <w:p>
            <w:pPr>
              <w:spacing w:after="0"/>
              <w:rPr>
                <w:sz w:val="20"/>
                <w:szCs w:val="20"/>
                <w:color w:val="auto"/>
              </w:rPr>
            </w:pPr>
            <w:r>
              <w:rPr>
                <w:rFonts w:ascii="Arial" w:cs="Arial" w:eastAsia="Arial" w:hAnsi="Arial"/>
                <w:sz w:val="12"/>
                <w:szCs w:val="12"/>
                <w:color w:val="auto"/>
              </w:rPr>
              <w:t>Adjusted to:</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Exclude printing and mailing costs</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(3.9)</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(8.4)</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(8.1)</w:t>
            </w:r>
          </w:p>
        </w:tc>
        <w:tc>
          <w:tcPr>
            <w:tcW w:w="0" w:type="dxa"/>
            <w:vAlign w:val="bottom"/>
          </w:tcPr>
          <w:p>
            <w:pPr>
              <w:spacing w:after="0"/>
              <w:rPr>
                <w:sz w:val="1"/>
                <w:szCs w:val="1"/>
                <w:color w:val="auto"/>
              </w:rPr>
            </w:pPr>
          </w:p>
        </w:tc>
      </w:tr>
      <w:tr>
        <w:trPr>
          <w:trHeight w:val="144"/>
        </w:trPr>
        <w:tc>
          <w:tcPr>
            <w:tcW w:w="5120" w:type="dxa"/>
            <w:vAlign w:val="bottom"/>
            <w:gridSpan w:val="2"/>
          </w:tcPr>
          <w:p>
            <w:pPr>
              <w:ind w:left="240"/>
              <w:spacing w:after="0"/>
              <w:rPr>
                <w:sz w:val="20"/>
                <w:szCs w:val="20"/>
                <w:color w:val="auto"/>
              </w:rPr>
            </w:pPr>
            <w:r>
              <w:rPr>
                <w:rFonts w:ascii="Arial" w:cs="Arial" w:eastAsia="Arial" w:hAnsi="Arial"/>
                <w:sz w:val="12"/>
                <w:szCs w:val="12"/>
                <w:color w:val="auto"/>
              </w:rPr>
              <w:t>Offset marketing fees against related costs</w:t>
            </w:r>
          </w:p>
        </w:tc>
        <w:tc>
          <w:tcPr>
            <w:tcW w:w="60" w:type="dxa"/>
            <w:vAlign w:val="bottom"/>
          </w:tcPr>
          <w:p>
            <w:pPr>
              <w:spacing w:after="0"/>
              <w:rPr>
                <w:sz w:val="12"/>
                <w:szCs w:val="12"/>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(0.1)</w:t>
            </w:r>
          </w:p>
        </w:tc>
        <w:tc>
          <w:tcPr>
            <w:tcW w:w="60" w:type="dxa"/>
            <w:vAlign w:val="bottom"/>
          </w:tcPr>
          <w:p>
            <w:pPr>
              <w:spacing w:after="0"/>
              <w:rPr>
                <w:sz w:val="12"/>
                <w:szCs w:val="12"/>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(0.4)</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Costs of revenue less ancillary services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10.5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6.9</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3"/>
              </w:rPr>
              <w:t>$ 23.1</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3"/>
              </w:rPr>
              <w:t>$ 16.2</w:t>
            </w:r>
          </w:p>
        </w:tc>
        <w:tc>
          <w:tcPr>
            <w:tcW w:w="0" w:type="dxa"/>
            <w:vAlign w:val="bottom"/>
          </w:tcPr>
          <w:p>
            <w:pPr>
              <w:spacing w:after="0"/>
              <w:rPr>
                <w:sz w:val="1"/>
                <w:szCs w:val="1"/>
                <w:color w:val="auto"/>
              </w:rPr>
            </w:pPr>
          </w:p>
        </w:tc>
      </w:tr>
      <w:tr>
        <w:trPr>
          <w:trHeight w:val="144"/>
        </w:trPr>
        <w:tc>
          <w:tcPr>
            <w:tcW w:w="5120" w:type="dxa"/>
            <w:vAlign w:val="bottom"/>
            <w:gridSpan w:val="2"/>
          </w:tcPr>
          <w:p>
            <w:pPr>
              <w:spacing w:after="0"/>
              <w:rPr>
                <w:sz w:val="20"/>
                <w:szCs w:val="20"/>
                <w:color w:val="auto"/>
              </w:rPr>
            </w:pPr>
            <w:r>
              <w:rPr>
                <w:rFonts w:ascii="Arial" w:cs="Arial" w:eastAsia="Arial" w:hAnsi="Arial"/>
                <w:sz w:val="12"/>
                <w:szCs w:val="12"/>
                <w:color w:val="auto"/>
              </w:rPr>
              <w:t>Gross Profit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300"/>
              <w:spacing w:after="0"/>
              <w:rPr>
                <w:sz w:val="20"/>
                <w:szCs w:val="20"/>
                <w:color w:val="auto"/>
              </w:rPr>
            </w:pPr>
            <w:r>
              <w:rPr>
                <w:rFonts w:ascii="Arial" w:cs="Arial" w:eastAsia="Arial" w:hAnsi="Arial"/>
                <w:sz w:val="12"/>
                <w:szCs w:val="12"/>
                <w:color w:val="auto"/>
              </w:rPr>
              <w:t>22.5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11.7</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w w:val="83"/>
              </w:rPr>
              <w:t>$ 50.1</w:t>
            </w: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w w:val="83"/>
              </w:rPr>
              <w:t>$ 31.8</w:t>
            </w:r>
          </w:p>
        </w:tc>
        <w:tc>
          <w:tcPr>
            <w:tcW w:w="0" w:type="dxa"/>
            <w:vAlign w:val="bottom"/>
          </w:tcPr>
          <w:p>
            <w:pPr>
              <w:spacing w:after="0"/>
              <w:rPr>
                <w:sz w:val="1"/>
                <w:szCs w:val="1"/>
                <w:color w:val="auto"/>
              </w:rPr>
            </w:pPr>
          </w:p>
        </w:tc>
      </w:tr>
      <w:tr>
        <w:trPr>
          <w:trHeight w:val="144"/>
        </w:trPr>
        <w:tc>
          <w:tcPr>
            <w:tcW w:w="5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Gross Margin</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9"/>
              </w:rPr>
              <w:t>60.8%</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49.2%</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61.1%</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56.3%</w:t>
            </w:r>
          </w:p>
        </w:tc>
        <w:tc>
          <w:tcPr>
            <w:tcW w:w="0" w:type="dxa"/>
            <w:vAlign w:val="bottom"/>
          </w:tcPr>
          <w:p>
            <w:pPr>
              <w:spacing w:after="0"/>
              <w:rPr>
                <w:sz w:val="1"/>
                <w:szCs w:val="1"/>
                <w:color w:val="auto"/>
              </w:rPr>
            </w:pPr>
          </w:p>
        </w:tc>
      </w:tr>
      <w:tr>
        <w:trPr>
          <w:trHeight w:val="27"/>
        </w:trPr>
        <w:tc>
          <w:tcPr>
            <w:tcW w:w="5120" w:type="dxa"/>
            <w:vAlign w:val="bottom"/>
            <w:gridSpan w:val="2"/>
            <w:vMerge w:val="restart"/>
          </w:tcPr>
          <w:p>
            <w:pPr>
              <w:spacing w:after="0"/>
              <w:rPr>
                <w:sz w:val="20"/>
                <w:szCs w:val="20"/>
                <w:color w:val="auto"/>
              </w:rPr>
            </w:pPr>
            <w:r>
              <w:rPr>
                <w:rFonts w:ascii="Arial" w:cs="Arial" w:eastAsia="Arial" w:hAnsi="Arial"/>
                <w:sz w:val="12"/>
                <w:szCs w:val="12"/>
                <w:color w:val="auto"/>
              </w:rPr>
              <w:t>Adjusted Gross Profit</w:t>
            </w: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5120" w:type="dxa"/>
            <w:vAlign w:val="bottom"/>
            <w:gridSpan w:val="2"/>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300"/>
              <w:spacing w:after="0"/>
              <w:rPr>
                <w:sz w:val="20"/>
                <w:szCs w:val="20"/>
                <w:color w:val="auto"/>
              </w:rPr>
            </w:pPr>
            <w:r>
              <w:rPr>
                <w:rFonts w:ascii="Arial" w:cs="Arial" w:eastAsia="Arial" w:hAnsi="Arial"/>
                <w:sz w:val="12"/>
                <w:szCs w:val="12"/>
                <w:color w:val="auto"/>
              </w:rPr>
              <w:t>22.5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11.7</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w w:val="83"/>
              </w:rPr>
              <w:t>$ 50.1</w:t>
            </w: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w w:val="83"/>
              </w:rPr>
              <w:t>$ 31.8</w:t>
            </w:r>
          </w:p>
        </w:tc>
        <w:tc>
          <w:tcPr>
            <w:tcW w:w="0" w:type="dxa"/>
            <w:vAlign w:val="bottom"/>
          </w:tcPr>
          <w:p>
            <w:pPr>
              <w:spacing w:after="0"/>
              <w:rPr>
                <w:sz w:val="1"/>
                <w:szCs w:val="1"/>
                <w:color w:val="auto"/>
              </w:rPr>
            </w:pPr>
          </w:p>
        </w:tc>
      </w:tr>
      <w:tr>
        <w:trPr>
          <w:trHeight w:val="144"/>
        </w:trPr>
        <w:tc>
          <w:tcPr>
            <w:tcW w:w="5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Adjusted Gross Margin</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9"/>
              </w:rPr>
              <w:t>68.2%</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62.9%</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68.4%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66.3%</w:t>
            </w:r>
          </w:p>
        </w:tc>
        <w:tc>
          <w:tcPr>
            <w:tcW w:w="0" w:type="dxa"/>
            <w:vAlign w:val="bottom"/>
          </w:tcPr>
          <w:p>
            <w:pPr>
              <w:spacing w:after="0"/>
              <w:rPr>
                <w:sz w:val="1"/>
                <w:szCs w:val="1"/>
                <w:color w:val="auto"/>
              </w:rPr>
            </w:pPr>
          </w:p>
        </w:tc>
      </w:tr>
    </w:tbl>
    <w:p>
      <w:pPr>
        <w:spacing w:after="0" w:line="13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5"/>
          </w:tcPr>
          <w:p>
            <w:pPr>
              <w:jc w:val="right"/>
              <w:ind w:right="240"/>
              <w:spacing w:after="0"/>
              <w:rPr>
                <w:sz w:val="20"/>
                <w:szCs w:val="20"/>
                <w:color w:val="auto"/>
              </w:rPr>
            </w:pPr>
            <w:r>
              <w:rPr>
                <w:rFonts w:ascii="Arial" w:cs="Arial" w:eastAsia="Arial" w:hAnsi="Arial"/>
                <w:sz w:val="10"/>
                <w:szCs w:val="10"/>
                <w:b w:val="1"/>
                <w:bCs w:val="1"/>
                <w:color w:val="auto"/>
                <w:w w:val="88"/>
              </w:rPr>
              <w:t>Three Months</w:t>
            </w:r>
          </w:p>
        </w:tc>
        <w:tc>
          <w:tcPr>
            <w:tcW w:w="80" w:type="dxa"/>
            <w:vAlign w:val="bottom"/>
          </w:tcPr>
          <w:p>
            <w:pPr>
              <w:spacing w:after="0"/>
              <w:rPr>
                <w:sz w:val="10"/>
                <w:szCs w:val="10"/>
                <w:color w:val="auto"/>
              </w:rPr>
            </w:pPr>
          </w:p>
        </w:tc>
        <w:tc>
          <w:tcPr>
            <w:tcW w:w="780" w:type="dxa"/>
            <w:vAlign w:val="bottom"/>
            <w:gridSpan w:val="5"/>
          </w:tcPr>
          <w:p>
            <w:pPr>
              <w:jc w:val="right"/>
              <w:ind w:right="220"/>
              <w:spacing w:after="0"/>
              <w:rPr>
                <w:sz w:val="20"/>
                <w:szCs w:val="20"/>
                <w:color w:val="auto"/>
              </w:rPr>
            </w:pPr>
            <w:r>
              <w:rPr>
                <w:rFonts w:ascii="Arial" w:cs="Arial" w:eastAsia="Arial" w:hAnsi="Arial"/>
                <w:sz w:val="10"/>
                <w:szCs w:val="10"/>
                <w:b w:val="1"/>
                <w:bCs w:val="1"/>
                <w:color w:val="auto"/>
              </w:rPr>
              <w:t>Six Months</w:t>
            </w:r>
          </w:p>
        </w:tc>
        <w:tc>
          <w:tcPr>
            <w:tcW w:w="0" w:type="dxa"/>
            <w:vAlign w:val="bottom"/>
          </w:tcPr>
          <w:p>
            <w:pPr>
              <w:spacing w:after="0"/>
              <w:rPr>
                <w:sz w:val="1"/>
                <w:szCs w:val="1"/>
                <w:color w:val="auto"/>
              </w:rPr>
            </w:pPr>
          </w:p>
        </w:tc>
      </w:tr>
      <w:tr>
        <w:trPr>
          <w:trHeight w:val="99"/>
        </w:trPr>
        <w:tc>
          <w:tcPr>
            <w:tcW w:w="5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3"/>
          </w:tcPr>
          <w:p>
            <w:pPr>
              <w:jc w:val="right"/>
              <w:spacing w:after="0" w:line="99" w:lineRule="exact"/>
              <w:rPr>
                <w:sz w:val="20"/>
                <w:szCs w:val="20"/>
                <w:color w:val="auto"/>
              </w:rPr>
            </w:pPr>
            <w:r>
              <w:rPr>
                <w:rFonts w:ascii="Arial" w:cs="Arial" w:eastAsia="Arial" w:hAnsi="Arial"/>
                <w:sz w:val="10"/>
                <w:szCs w:val="10"/>
                <w:b w:val="1"/>
                <w:bCs w:val="1"/>
                <w:color w:val="auto"/>
              </w:rPr>
              <w:t>Ended</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3"/>
          </w:tcPr>
          <w:p>
            <w:pPr>
              <w:jc w:val="right"/>
              <w:spacing w:after="0" w:line="99" w:lineRule="exact"/>
              <w:rPr>
                <w:sz w:val="20"/>
                <w:szCs w:val="20"/>
                <w:color w:val="auto"/>
              </w:rPr>
            </w:pPr>
            <w:r>
              <w:rPr>
                <w:rFonts w:ascii="Arial" w:cs="Arial" w:eastAsia="Arial" w:hAnsi="Arial"/>
                <w:sz w:val="10"/>
                <w:szCs w:val="10"/>
                <w:b w:val="1"/>
                <w:bCs w:val="1"/>
                <w:color w:val="auto"/>
              </w:rPr>
              <w:t>Ended</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20" w:type="dxa"/>
            <w:vAlign w:val="bottom"/>
            <w:vMerge w:val="restart"/>
          </w:tcPr>
          <w:p>
            <w:pPr>
              <w:spacing w:after="0"/>
              <w:rPr>
                <w:sz w:val="20"/>
                <w:szCs w:val="20"/>
                <w:color w:val="auto"/>
              </w:rPr>
            </w:pPr>
            <w:r>
              <w:rPr>
                <w:rFonts w:ascii="Arial" w:cs="Arial" w:eastAsia="Arial" w:hAnsi="Arial"/>
                <w:sz w:val="10"/>
                <w:szCs w:val="10"/>
                <w:b w:val="1"/>
                <w:bCs w:val="1"/>
                <w:color w:val="auto"/>
                <w:w w:val="89"/>
              </w:rPr>
              <w:t>(In Millions)</w:t>
            </w:r>
          </w:p>
        </w:tc>
        <w:tc>
          <w:tcPr>
            <w:tcW w:w="506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5"/>
          </w:tcPr>
          <w:p>
            <w:pPr>
              <w:jc w:val="right"/>
              <w:ind w:right="360"/>
              <w:spacing w:after="0" w:line="114" w:lineRule="exact"/>
              <w:rPr>
                <w:sz w:val="20"/>
                <w:szCs w:val="20"/>
                <w:color w:val="auto"/>
              </w:rPr>
            </w:pPr>
            <w:r>
              <w:rPr>
                <w:rFonts w:ascii="Arial" w:cs="Arial" w:eastAsia="Arial" w:hAnsi="Arial"/>
                <w:sz w:val="10"/>
                <w:szCs w:val="10"/>
                <w:b w:val="1"/>
                <w:bCs w:val="1"/>
                <w:color w:val="auto"/>
              </w:rPr>
              <w:t>June 30,</w:t>
            </w:r>
          </w:p>
        </w:tc>
        <w:tc>
          <w:tcPr>
            <w:tcW w:w="80" w:type="dxa"/>
            <w:vAlign w:val="bottom"/>
          </w:tcPr>
          <w:p>
            <w:pPr>
              <w:spacing w:after="0"/>
              <w:rPr>
                <w:sz w:val="9"/>
                <w:szCs w:val="9"/>
                <w:color w:val="auto"/>
              </w:rPr>
            </w:pPr>
          </w:p>
        </w:tc>
        <w:tc>
          <w:tcPr>
            <w:tcW w:w="780" w:type="dxa"/>
            <w:vAlign w:val="bottom"/>
            <w:gridSpan w:val="5"/>
          </w:tcPr>
          <w:p>
            <w:pPr>
              <w:jc w:val="right"/>
              <w:ind w:right="300"/>
              <w:spacing w:after="0" w:line="114" w:lineRule="exact"/>
              <w:rPr>
                <w:sz w:val="20"/>
                <w:szCs w:val="20"/>
                <w:color w:val="auto"/>
              </w:rPr>
            </w:pPr>
            <w:r>
              <w:rPr>
                <w:rFonts w:ascii="Arial" w:cs="Arial" w:eastAsia="Arial" w:hAnsi="Arial"/>
                <w:sz w:val="10"/>
                <w:szCs w:val="10"/>
                <w:b w:val="1"/>
                <w:bCs w:val="1"/>
                <w:color w:val="auto"/>
              </w:rPr>
              <w:t>June 30,</w:t>
            </w:r>
          </w:p>
        </w:tc>
        <w:tc>
          <w:tcPr>
            <w:tcW w:w="0" w:type="dxa"/>
            <w:vAlign w:val="bottom"/>
          </w:tcPr>
          <w:p>
            <w:pPr>
              <w:spacing w:after="0"/>
              <w:rPr>
                <w:sz w:val="1"/>
                <w:szCs w:val="1"/>
                <w:color w:val="auto"/>
              </w:rPr>
            </w:pPr>
          </w:p>
        </w:tc>
      </w:tr>
      <w:tr>
        <w:trPr>
          <w:trHeight w:val="99"/>
        </w:trPr>
        <w:tc>
          <w:tcPr>
            <w:tcW w:w="520" w:type="dxa"/>
            <w:vAlign w:val="bottom"/>
            <w:tcBorders>
              <w:bottom w:val="single" w:sz="8" w:color="auto"/>
            </w:tcBorders>
            <w:vMerge w:val="continue"/>
          </w:tcPr>
          <w:p>
            <w:pPr>
              <w:spacing w:after="0"/>
              <w:rPr>
                <w:sz w:val="8"/>
                <w:szCs w:val="8"/>
                <w:color w:val="auto"/>
              </w:rPr>
            </w:pPr>
          </w:p>
        </w:tc>
        <w:tc>
          <w:tcPr>
            <w:tcW w:w="5060" w:type="dxa"/>
            <w:vAlign w:val="bottom"/>
            <w:vMerge w:val="continue"/>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jc w:val="right"/>
              <w:ind w:right="3"/>
              <w:spacing w:after="0" w:line="79" w:lineRule="exact"/>
              <w:rPr>
                <w:sz w:val="20"/>
                <w:szCs w:val="20"/>
                <w:color w:val="auto"/>
              </w:rPr>
            </w:pPr>
            <w:r>
              <w:rPr>
                <w:rFonts w:ascii="Arial" w:cs="Arial" w:eastAsia="Arial" w:hAnsi="Arial"/>
                <w:sz w:val="8"/>
                <w:szCs w:val="8"/>
                <w:b w:val="1"/>
                <w:bCs w:val="1"/>
                <w:color w:val="auto"/>
                <w:w w:val="89"/>
              </w:rPr>
              <w:t>2021</w:t>
            </w:r>
          </w:p>
        </w:tc>
        <w:tc>
          <w:tcPr>
            <w:tcW w:w="1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jc w:val="right"/>
              <w:ind w:right="1"/>
              <w:spacing w:after="0" w:line="79" w:lineRule="exact"/>
              <w:rPr>
                <w:sz w:val="20"/>
                <w:szCs w:val="20"/>
                <w:color w:val="auto"/>
              </w:rPr>
            </w:pPr>
            <w:r>
              <w:rPr>
                <w:rFonts w:ascii="Arial" w:cs="Arial" w:eastAsia="Arial" w:hAnsi="Arial"/>
                <w:sz w:val="8"/>
                <w:szCs w:val="8"/>
                <w:b w:val="1"/>
                <w:bCs w:val="1"/>
                <w:color w:val="auto"/>
                <w:w w:val="89"/>
              </w:rPr>
              <w:t>2020</w:t>
            </w: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jc w:val="right"/>
              <w:ind w:right="3"/>
              <w:spacing w:after="0" w:line="79" w:lineRule="exact"/>
              <w:rPr>
                <w:sz w:val="20"/>
                <w:szCs w:val="20"/>
                <w:color w:val="auto"/>
              </w:rPr>
            </w:pPr>
            <w:r>
              <w:rPr>
                <w:rFonts w:ascii="Arial" w:cs="Arial" w:eastAsia="Arial" w:hAnsi="Arial"/>
                <w:sz w:val="8"/>
                <w:szCs w:val="8"/>
                <w:b w:val="1"/>
                <w:bCs w:val="1"/>
                <w:color w:val="auto"/>
                <w:w w:val="89"/>
              </w:rPr>
              <w:t>2021</w:t>
            </w: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jc w:val="right"/>
              <w:ind w:right="1"/>
              <w:spacing w:after="0" w:line="79" w:lineRule="exact"/>
              <w:rPr>
                <w:sz w:val="20"/>
                <w:szCs w:val="20"/>
                <w:color w:val="auto"/>
              </w:rPr>
            </w:pPr>
            <w:r>
              <w:rPr>
                <w:rFonts w:ascii="Arial" w:cs="Arial" w:eastAsia="Arial" w:hAnsi="Arial"/>
                <w:sz w:val="8"/>
                <w:szCs w:val="8"/>
                <w:b w:val="1"/>
                <w:bCs w:val="1"/>
                <w:color w:val="auto"/>
                <w:w w:val="89"/>
              </w:rPr>
              <w:t>2020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58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Net (loss)</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w w:val="70"/>
              </w:rPr>
              <w:t>(18.1)</w:t>
            </w:r>
          </w:p>
        </w:tc>
        <w:tc>
          <w:tcPr>
            <w:tcW w:w="160" w:type="dxa"/>
            <w:vAlign w:val="bottom"/>
            <w:tcBorders>
              <w:top w:val="single" w:sz="8" w:color="CCEEFF"/>
              <w:left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w w:val="70"/>
              </w:rPr>
              <w:t>(16.0)</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w w:val="70"/>
              </w:rPr>
              <w:t>(26.8)</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w w:val="70"/>
              </w:rPr>
              <w:t>(12.3)</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580" w:type="dxa"/>
            <w:vAlign w:val="bottom"/>
            <w:gridSpan w:val="2"/>
          </w:tcPr>
          <w:p>
            <w:pPr>
              <w:spacing w:after="0"/>
              <w:rPr>
                <w:sz w:val="20"/>
                <w:szCs w:val="20"/>
                <w:color w:val="auto"/>
              </w:rPr>
            </w:pPr>
            <w:r>
              <w:rPr>
                <w:rFonts w:ascii="Arial" w:cs="Arial" w:eastAsia="Arial" w:hAnsi="Arial"/>
                <w:sz w:val="12"/>
                <w:szCs w:val="12"/>
                <w:color w:val="auto"/>
              </w:rPr>
              <w:t>Interest expense</w:t>
            </w:r>
          </w:p>
        </w:tc>
        <w:tc>
          <w:tcPr>
            <w:tcW w:w="6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0.7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0.7</w:t>
            </w:r>
          </w:p>
        </w:tc>
        <w:tc>
          <w:tcPr>
            <w:tcW w:w="8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2"/>
                <w:szCs w:val="12"/>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44"/>
        </w:trPr>
        <w:tc>
          <w:tcPr>
            <w:tcW w:w="5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Provision for (benefit from) income taxes</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16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0.3</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0.5</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44"/>
        </w:trPr>
        <w:tc>
          <w:tcPr>
            <w:tcW w:w="5580" w:type="dxa"/>
            <w:vAlign w:val="bottom"/>
            <w:gridSpan w:val="2"/>
          </w:tcPr>
          <w:p>
            <w:pPr>
              <w:spacing w:after="0"/>
              <w:rPr>
                <w:sz w:val="20"/>
                <w:szCs w:val="20"/>
                <w:color w:val="auto"/>
              </w:rPr>
            </w:pPr>
            <w:r>
              <w:rPr>
                <w:rFonts w:ascii="Arial" w:cs="Arial" w:eastAsia="Arial" w:hAnsi="Arial"/>
                <w:sz w:val="12"/>
                <w:szCs w:val="12"/>
                <w:color w:val="auto"/>
              </w:rPr>
              <w:t>Depreciation and amortization</w:t>
            </w:r>
          </w:p>
        </w:tc>
        <w:tc>
          <w:tcPr>
            <w:tcW w:w="6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2.2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4.3</w:t>
            </w:r>
          </w:p>
        </w:tc>
        <w:tc>
          <w:tcPr>
            <w:tcW w:w="80" w:type="dxa"/>
            <w:vAlign w:val="bottom"/>
          </w:tcPr>
          <w:p>
            <w:pPr>
              <w:spacing w:after="0"/>
              <w:rPr>
                <w:sz w:val="12"/>
                <w:szCs w:val="12"/>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EBITDA</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2"/>
              </w:rPr>
              <w:t>(14.9)</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2"/>
              </w:rPr>
              <w:t>(13.3)</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2"/>
              </w:rPr>
              <w:t>(20.7)</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2"/>
              </w:rPr>
              <w:t>(15.2)</w:t>
            </w:r>
          </w:p>
        </w:tc>
        <w:tc>
          <w:tcPr>
            <w:tcW w:w="0" w:type="dxa"/>
            <w:vAlign w:val="bottom"/>
          </w:tcPr>
          <w:p>
            <w:pPr>
              <w:spacing w:after="0"/>
              <w:rPr>
                <w:sz w:val="1"/>
                <w:szCs w:val="1"/>
                <w:color w:val="auto"/>
              </w:rPr>
            </w:pPr>
          </w:p>
        </w:tc>
      </w:tr>
      <w:tr>
        <w:trPr>
          <w:trHeight w:val="144"/>
        </w:trPr>
        <w:tc>
          <w:tcPr>
            <w:tcW w:w="5580" w:type="dxa"/>
            <w:vAlign w:val="bottom"/>
            <w:gridSpan w:val="2"/>
          </w:tcPr>
          <w:p>
            <w:pPr>
              <w:spacing w:after="0"/>
              <w:rPr>
                <w:sz w:val="20"/>
                <w:szCs w:val="20"/>
                <w:color w:val="auto"/>
              </w:rPr>
            </w:pPr>
            <w:r>
              <w:rPr>
                <w:rFonts w:ascii="Arial" w:cs="Arial" w:eastAsia="Arial" w:hAnsi="Arial"/>
                <w:sz w:val="12"/>
                <w:szCs w:val="12"/>
                <w:color w:val="auto"/>
              </w:rPr>
              <w:t>Stock-based compensation expense</w:t>
            </w:r>
          </w:p>
        </w:tc>
        <w:tc>
          <w:tcPr>
            <w:tcW w:w="6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2.4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w w:val="93"/>
              </w:rPr>
              <w:t>12.8</w:t>
            </w:r>
          </w:p>
        </w:tc>
        <w:tc>
          <w:tcPr>
            <w:tcW w:w="80" w:type="dxa"/>
            <w:vAlign w:val="bottom"/>
          </w:tcPr>
          <w:p>
            <w:pPr>
              <w:spacing w:after="0"/>
              <w:rPr>
                <w:sz w:val="12"/>
                <w:szCs w:val="12"/>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44"/>
        </w:trPr>
        <w:tc>
          <w:tcPr>
            <w:tcW w:w="5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Change in fair value of contingent consideration</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6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4.0</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44"/>
        </w:trPr>
        <w:tc>
          <w:tcPr>
            <w:tcW w:w="5580" w:type="dxa"/>
            <w:vAlign w:val="bottom"/>
            <w:gridSpan w:val="2"/>
          </w:tcPr>
          <w:p>
            <w:pPr>
              <w:spacing w:after="0"/>
              <w:rPr>
                <w:sz w:val="20"/>
                <w:szCs w:val="20"/>
                <w:color w:val="auto"/>
              </w:rPr>
            </w:pPr>
            <w:r>
              <w:rPr>
                <w:rFonts w:ascii="Arial" w:cs="Arial" w:eastAsia="Arial" w:hAnsi="Arial"/>
                <w:sz w:val="12"/>
                <w:szCs w:val="12"/>
                <w:color w:val="auto"/>
              </w:rPr>
              <w:t>Change in fair value of preferred stock warrant liability</w:t>
            </w:r>
          </w:p>
        </w:tc>
        <w:tc>
          <w:tcPr>
            <w:tcW w:w="6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9.8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w w:val="93"/>
              </w:rPr>
              <w:t>10.8</w:t>
            </w:r>
          </w:p>
        </w:tc>
        <w:tc>
          <w:tcPr>
            <w:tcW w:w="80" w:type="dxa"/>
            <w:vAlign w:val="bottom"/>
          </w:tcPr>
          <w:p>
            <w:pPr>
              <w:spacing w:after="0"/>
              <w:rPr>
                <w:sz w:val="12"/>
                <w:szCs w:val="12"/>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44"/>
        </w:trPr>
        <w:tc>
          <w:tcPr>
            <w:tcW w:w="5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(income) expense, net</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(0.1)</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(0.1)</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0.3</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44"/>
        </w:trPr>
        <w:tc>
          <w:tcPr>
            <w:tcW w:w="5580" w:type="dxa"/>
            <w:vAlign w:val="bottom"/>
            <w:gridSpan w:val="2"/>
          </w:tcPr>
          <w:p>
            <w:pPr>
              <w:spacing w:after="0"/>
              <w:rPr>
                <w:sz w:val="20"/>
                <w:szCs w:val="20"/>
                <w:color w:val="auto"/>
              </w:rPr>
            </w:pPr>
            <w:r>
              <w:rPr>
                <w:rFonts w:ascii="Arial" w:cs="Arial" w:eastAsia="Arial" w:hAnsi="Arial"/>
                <w:sz w:val="12"/>
                <w:szCs w:val="12"/>
                <w:color w:val="auto"/>
              </w:rPr>
              <w:t>Acquisition related transaction costs</w:t>
            </w:r>
          </w:p>
        </w:tc>
        <w:tc>
          <w:tcPr>
            <w:tcW w:w="60" w:type="dxa"/>
            <w:vAlign w:val="bottom"/>
          </w:tcPr>
          <w:p>
            <w:pPr>
              <w:spacing w:after="0"/>
              <w:rPr>
                <w:sz w:val="12"/>
                <w:szCs w:val="12"/>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44"/>
        </w:trPr>
        <w:tc>
          <w:tcPr>
            <w:tcW w:w="5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Acquisition related employee retention costs</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6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2"/>
                <w:szCs w:val="12"/>
                <w:color w:val="auto"/>
              </w:rPr>
              <w:t>Adjusted EBITDA</w:t>
            </w: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80" w:type="dxa"/>
            <w:vAlign w:val="bottom"/>
            <w:gridSpan w:val="2"/>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20"/>
              <w:spacing w:after="0"/>
              <w:rPr>
                <w:sz w:val="20"/>
                <w:szCs w:val="20"/>
                <w:color w:val="auto"/>
              </w:rPr>
            </w:pPr>
            <w:r>
              <w:rPr>
                <w:rFonts w:ascii="Arial" w:cs="Arial" w:eastAsia="Arial" w:hAnsi="Arial"/>
                <w:sz w:val="12"/>
                <w:szCs w:val="12"/>
                <w:color w:val="auto"/>
              </w:rPr>
              <w:t>(0.1)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(7.0)</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6.9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6" w:right="14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Reconciliation of Revenue to Revenue less Ancillary Services Guidance</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(Amounts in millions)</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6220" w:type="dxa"/>
            <w:vAlign w:val="bottom"/>
          </w:tcPr>
          <w:p>
            <w:pPr>
              <w:spacing w:after="0"/>
              <w:rPr>
                <w:sz w:val="10"/>
                <w:szCs w:val="10"/>
                <w:color w:val="auto"/>
              </w:rPr>
            </w:pPr>
          </w:p>
        </w:tc>
        <w:tc>
          <w:tcPr>
            <w:tcW w:w="1120" w:type="dxa"/>
            <w:vAlign w:val="bottom"/>
            <w:gridSpan w:val="6"/>
          </w:tcPr>
          <w:p>
            <w:pPr>
              <w:jc w:val="right"/>
              <w:ind w:right="100"/>
              <w:spacing w:after="0"/>
              <w:rPr>
                <w:sz w:val="20"/>
                <w:szCs w:val="20"/>
                <w:color w:val="auto"/>
              </w:rPr>
            </w:pPr>
            <w:r>
              <w:rPr>
                <w:rFonts w:ascii="Arial" w:cs="Arial" w:eastAsia="Arial" w:hAnsi="Arial"/>
                <w:sz w:val="10"/>
                <w:szCs w:val="10"/>
                <w:b w:val="1"/>
                <w:bCs w:val="1"/>
                <w:color w:val="auto"/>
                <w:w w:val="87"/>
              </w:rPr>
              <w:t>Full year 2021 Guidance</w:t>
            </w:r>
          </w:p>
        </w:tc>
      </w:tr>
      <w:tr>
        <w:trPr>
          <w:trHeight w:val="88"/>
        </w:trPr>
        <w:tc>
          <w:tcPr>
            <w:tcW w:w="62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gridSpan w:val="2"/>
          </w:tcPr>
          <w:p>
            <w:pPr>
              <w:jc w:val="right"/>
              <w:ind w:right="280"/>
              <w:spacing w:after="0" w:line="88" w:lineRule="exact"/>
              <w:rPr>
                <w:sz w:val="20"/>
                <w:szCs w:val="20"/>
                <w:color w:val="auto"/>
              </w:rPr>
            </w:pPr>
            <w:r>
              <w:rPr>
                <w:rFonts w:ascii="Arial" w:cs="Arial" w:eastAsia="Arial" w:hAnsi="Arial"/>
                <w:sz w:val="10"/>
                <w:szCs w:val="10"/>
                <w:b w:val="1"/>
                <w:bCs w:val="1"/>
                <w:color w:val="auto"/>
                <w:w w:val="99"/>
              </w:rPr>
              <w:t>Low</w:t>
            </w:r>
          </w:p>
        </w:tc>
        <w:tc>
          <w:tcPr>
            <w:tcW w:w="10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jc w:val="right"/>
              <w:ind w:right="62"/>
              <w:spacing w:after="0" w:line="88" w:lineRule="exact"/>
              <w:rPr>
                <w:sz w:val="20"/>
                <w:szCs w:val="20"/>
                <w:color w:val="auto"/>
              </w:rPr>
            </w:pPr>
            <w:r>
              <w:rPr>
                <w:rFonts w:ascii="Arial" w:cs="Arial" w:eastAsia="Arial" w:hAnsi="Arial"/>
                <w:sz w:val="10"/>
                <w:szCs w:val="10"/>
                <w:b w:val="1"/>
                <w:bCs w:val="1"/>
                <w:color w:val="auto"/>
                <w:w w:val="89"/>
              </w:rPr>
              <w:t>High</w:t>
            </w:r>
          </w:p>
        </w:tc>
        <w:tc>
          <w:tcPr>
            <w:tcW w:w="80" w:type="dxa"/>
            <w:vAlign w:val="bottom"/>
          </w:tcPr>
          <w:p>
            <w:pPr>
              <w:spacing w:after="0"/>
              <w:rPr>
                <w:sz w:val="7"/>
                <w:szCs w:val="7"/>
                <w:color w:val="auto"/>
              </w:rPr>
            </w:pPr>
          </w:p>
        </w:tc>
      </w:tr>
      <w:tr>
        <w:trPr>
          <w:trHeight w:val="133"/>
        </w:trPr>
        <w:tc>
          <w:tcPr>
            <w:tcW w:w="62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173.0</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178.0</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6220" w:type="dxa"/>
            <w:vAlign w:val="bottom"/>
          </w:tcPr>
          <w:p>
            <w:pPr>
              <w:spacing w:after="0"/>
              <w:rPr>
                <w:sz w:val="20"/>
                <w:szCs w:val="20"/>
                <w:color w:val="auto"/>
              </w:rPr>
            </w:pPr>
            <w:r>
              <w:rPr>
                <w:rFonts w:ascii="Arial" w:cs="Arial" w:eastAsia="Arial" w:hAnsi="Arial"/>
                <w:sz w:val="12"/>
                <w:szCs w:val="12"/>
                <w:color w:val="auto"/>
              </w:rPr>
              <w:t>Adjusted to exclude gross up for:</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6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Pass-through cost for printing and mailing</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(14.0)</w:t>
            </w: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(16.0)</w:t>
            </w:r>
          </w:p>
        </w:tc>
      </w:tr>
      <w:tr>
        <w:trPr>
          <w:trHeight w:val="144"/>
        </w:trPr>
        <w:tc>
          <w:tcPr>
            <w:tcW w:w="6220" w:type="dxa"/>
            <w:vAlign w:val="bottom"/>
          </w:tcPr>
          <w:p>
            <w:pPr>
              <w:ind w:left="240"/>
              <w:spacing w:after="0"/>
              <w:rPr>
                <w:sz w:val="20"/>
                <w:szCs w:val="20"/>
                <w:color w:val="auto"/>
              </w:rPr>
            </w:pPr>
            <w:r>
              <w:rPr>
                <w:rFonts w:ascii="Arial" w:cs="Arial" w:eastAsia="Arial" w:hAnsi="Arial"/>
                <w:sz w:val="12"/>
                <w:szCs w:val="12"/>
                <w:color w:val="auto"/>
              </w:rPr>
              <w:t>Marketing fees</w:t>
            </w:r>
          </w:p>
        </w:tc>
        <w:tc>
          <w:tcPr>
            <w:tcW w:w="10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(1.0)</w:t>
            </w:r>
          </w:p>
        </w:tc>
      </w:tr>
      <w:tr>
        <w:trPr>
          <w:trHeight w:val="20"/>
        </w:trPr>
        <w:tc>
          <w:tcPr>
            <w:tcW w:w="6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6220" w:type="dxa"/>
            <w:vAlign w:val="bottom"/>
            <w:shd w:val="clear" w:color="auto" w:fill="CCEEFF"/>
          </w:tcPr>
          <w:p>
            <w:pPr>
              <w:spacing w:after="0"/>
              <w:rPr>
                <w:sz w:val="20"/>
                <w:szCs w:val="20"/>
                <w:color w:val="auto"/>
              </w:rPr>
            </w:pPr>
            <w:r>
              <w:rPr>
                <w:rFonts w:ascii="Arial" w:cs="Arial" w:eastAsia="Arial" w:hAnsi="Arial"/>
                <w:sz w:val="12"/>
                <w:szCs w:val="12"/>
                <w:color w:val="auto"/>
              </w:rPr>
              <w:t>Revenue Less Ancillary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158.0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161.0</w:t>
            </w:r>
          </w:p>
        </w:tc>
      </w:tr>
      <w:tr>
        <w:trPr>
          <w:trHeight w:val="27"/>
        </w:trPr>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ectPr>
          <w:pgSz w:w="11900" w:h="16838" w:orient="portrait"/>
          <w:cols w:equalWidth="0" w:num="1">
            <w:col w:w="9019"/>
          </w:cols>
          <w:pgMar w:left="1440" w:top="226" w:right="1440" w:bottom="1440"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2021-08-10T16:02:57Z</dcterms:created>
  <dcterms:modified xsi:type="dcterms:W3CDTF">2021-08-10T16:02:57Z</dcterms:modified>
</cp:coreProperties>
</file>