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Harris Matthew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BAIN CAPITAL VENTURE INVESTORS, LLC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CLARENDON STREET</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BOSTON</w:t>
      </w:r>
      <w:r>
        <w:rPr>
          <w:sz w:val="20"/>
          <w:szCs w:val="20"/>
          <w:color w:val="auto"/>
        </w:rPr>
        <w:tab/>
      </w:r>
      <w:r>
        <w:rPr>
          <w:rFonts w:ascii="Times New Roman" w:cs="Times New Roman" w:eastAsia="Times New Roman" w:hAnsi="Times New Roman"/>
          <w:sz w:val="17"/>
          <w:szCs w:val="17"/>
          <w:color w:val="0000FF"/>
        </w:rPr>
        <w:t>MA</w:t>
      </w:r>
      <w:r>
        <w:rPr>
          <w:sz w:val="20"/>
          <w:szCs w:val="20"/>
          <w:color w:val="auto"/>
        </w:rPr>
        <w:tab/>
      </w:r>
      <w:r>
        <w:rPr>
          <w:rFonts w:ascii="Times New Roman" w:cs="Times New Roman" w:eastAsia="Times New Roman" w:hAnsi="Times New Roman"/>
          <w:sz w:val="17"/>
          <w:szCs w:val="17"/>
          <w:color w:val="0000FF"/>
        </w:rPr>
        <w:t>02116</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2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020" w:type="dxa"/>
            <w:vAlign w:val="bottom"/>
            <w:tcBorders>
              <w:bottom w:val="single" w:sz="8" w:color="2C2C2C"/>
            </w:tcBorders>
          </w:tcPr>
          <w:p>
            <w:pPr>
              <w:spacing w:after="0"/>
              <w:rPr>
                <w:sz w:val="15"/>
                <w:szCs w:val="15"/>
                <w:color w:val="auto"/>
              </w:rPr>
            </w:pPr>
          </w:p>
        </w:tc>
        <w:tc>
          <w:tcPr>
            <w:tcW w:w="260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06/03/2025</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540" w:space="300"/>
            <w:col w:w="7240"/>
          </w:cols>
          <w:pgMar w:left="460" w:top="219" w:right="359" w:bottom="1440" w:gutter="0" w:footer="0" w:header="0"/>
          <w:type w:val="continuous"/>
        </w:sectPr>
      </w:pPr>
    </w:p>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06/03/2025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16,990</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27,456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award that vests on the earlier of (a) June 3, 2026, and (b) the Issuer's next annual meeting of stockholders, provided that the Reporting Person has provided continuous service to the Issuer through such date. In addition, the restricted stock unit award will accelerate and fully vest upon a change in control, or the Reporting Person's earlier death or disability.</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Matthew C Harris</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06/05/2025</w:t>
            </w:r>
          </w:p>
        </w:tc>
      </w:tr>
      <w:tr>
        <w:trPr>
          <w:trHeight w:val="20"/>
        </w:trPr>
        <w:tc>
          <w:tcPr>
            <w:tcW w:w="1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27602"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2025-06-05T15:37:59Z</dcterms:created>
  <dcterms:modified xsi:type="dcterms:W3CDTF">2025-06-05T15:37:59Z</dcterms:modified>
</cp:coreProperties>
</file>