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214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1499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Massaro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9"/>
              </w:rPr>
              <w:t>C/O FLYWIRE CORPORATION</w:t>
            </w:r>
          </w:p>
        </w:tc>
        <w:tc>
          <w:tcPr>
            <w:tcW w:w="56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141 TREMONT STREET, SUITE 10</w:t>
            </w:r>
          </w:p>
        </w:tc>
      </w:tr>
      <w:tr>
        <w:trPr>
          <w:trHeight w:val="422"/>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BOSTON</w:t>
            </w:r>
          </w:p>
        </w:tc>
        <w:tc>
          <w:tcPr>
            <w:tcW w:w="14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02111</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12/14/2023</w:t>
            </w:r>
          </w:p>
        </w:tc>
        <w:tc>
          <w:tcPr>
            <w:tcW w:w="2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16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68"/>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4"/>
              </w:rPr>
              <w:t>93,938</w:t>
            </w:r>
          </w:p>
        </w:tc>
        <w:tc>
          <w:tcPr>
            <w:tcW w:w="6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0.2</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1,041,908</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4"/>
              </w:rPr>
              <w:t>40,815</w:t>
            </w:r>
          </w:p>
        </w:tc>
        <w:tc>
          <w:tcPr>
            <w:tcW w:w="6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0.59</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1,082,723</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4"/>
              </w:rPr>
              <w:t>20,268</w:t>
            </w:r>
          </w:p>
        </w:tc>
        <w:tc>
          <w:tcPr>
            <w:tcW w:w="6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23.33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1,062,455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4"/>
              </w:rPr>
              <w:t>78,983</w:t>
            </w:r>
          </w:p>
        </w:tc>
        <w:tc>
          <w:tcPr>
            <w:tcW w:w="6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1,141,438</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4"/>
              </w:rPr>
              <w:t>38,808</w:t>
            </w:r>
          </w:p>
        </w:tc>
        <w:tc>
          <w:tcPr>
            <w:tcW w:w="6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1,102,630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4"/>
              </w:rPr>
              <w:t>739,821</w:t>
            </w:r>
          </w:p>
        </w:tc>
        <w:tc>
          <w:tcPr>
            <w:tcW w:w="6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3.28</w:t>
            </w:r>
          </w:p>
        </w:tc>
        <w:tc>
          <w:tcPr>
            <w:tcW w:w="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1,842,451</w:t>
            </w:r>
          </w:p>
        </w:tc>
        <w:tc>
          <w:tcPr>
            <w:tcW w:w="300" w:type="dxa"/>
            <w:vAlign w:val="bottom"/>
          </w:tcPr>
          <w:p>
            <w:pPr>
              <w:spacing w:after="0"/>
              <w:rPr>
                <w:sz w:val="22"/>
                <w:szCs w:val="22"/>
                <w:color w:val="auto"/>
              </w:rPr>
            </w:pPr>
          </w:p>
        </w:tc>
        <w:tc>
          <w:tcPr>
            <w:tcW w:w="620" w:type="dxa"/>
            <w:vAlign w:val="bottom"/>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12/14/2023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4"/>
              </w:rPr>
              <w:t>411,464</w:t>
            </w:r>
          </w:p>
        </w:tc>
        <w:tc>
          <w:tcPr>
            <w:tcW w:w="6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23.29</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6"/>
              </w:rPr>
              <w:t>1,430,987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0"/>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337,440</w:t>
            </w:r>
          </w:p>
        </w:tc>
        <w:tc>
          <w:tcPr>
            <w:tcW w:w="300" w:type="dxa"/>
            <w:vAlign w:val="bottom"/>
          </w:tcPr>
          <w:p>
            <w:pPr>
              <w:spacing w:after="0"/>
              <w:rPr>
                <w:sz w:val="21"/>
                <w:szCs w:val="21"/>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0"/>
          </w:tcPr>
          <w:p>
            <w:pPr>
              <w:jc w:val="center"/>
              <w:ind w:right="94"/>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0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4"/>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0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93,938</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12/14/2023</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93,938</w:t>
            </w:r>
          </w:p>
        </w:tc>
        <w:tc>
          <w:tcPr>
            <w:tcW w:w="780" w:type="dxa"/>
            <w:vAlign w:val="bottom"/>
            <w:gridSpan w:val="2"/>
            <w:vMerge w:val="continue"/>
          </w:tcPr>
          <w:p>
            <w:pPr>
              <w:spacing w:after="0"/>
              <w:rPr>
                <w:sz w:val="12"/>
                <w:szCs w:val="12"/>
                <w:color w:val="auto"/>
              </w:rPr>
            </w:pPr>
          </w:p>
        </w:tc>
        <w:tc>
          <w:tcPr>
            <w:tcW w:w="7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03/11/2024</w:t>
            </w: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0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40,815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0.59</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12/14/2023</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40,815</w:t>
            </w:r>
          </w:p>
        </w:tc>
        <w:tc>
          <w:tcPr>
            <w:tcW w:w="780" w:type="dxa"/>
            <w:vAlign w:val="bottom"/>
            <w:gridSpan w:val="2"/>
            <w:vMerge w:val="continue"/>
          </w:tcPr>
          <w:p>
            <w:pPr>
              <w:spacing w:after="0"/>
              <w:rPr>
                <w:sz w:val="12"/>
                <w:szCs w:val="12"/>
                <w:color w:val="auto"/>
              </w:rPr>
            </w:pPr>
          </w:p>
        </w:tc>
        <w:tc>
          <w:tcPr>
            <w:tcW w:w="7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07/25/2026</w:t>
            </w: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88,731</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12"/>
                <w:szCs w:val="12"/>
                <w:color w:val="auto"/>
              </w:rPr>
            </w:pPr>
          </w:p>
        </w:tc>
        <w:tc>
          <w:tcPr>
            <w:tcW w:w="60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78,983</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0.35</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12/14/2023</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4"/>
              </w:rPr>
              <w:t>78,983</w:t>
            </w:r>
          </w:p>
        </w:tc>
        <w:tc>
          <w:tcPr>
            <w:tcW w:w="780" w:type="dxa"/>
            <w:vAlign w:val="bottom"/>
            <w:gridSpan w:val="2"/>
            <w:vMerge w:val="continue"/>
          </w:tcPr>
          <w:p>
            <w:pPr>
              <w:spacing w:after="0"/>
              <w:rPr>
                <w:sz w:val="12"/>
                <w:szCs w:val="12"/>
                <w:color w:val="auto"/>
              </w:rPr>
            </w:pPr>
          </w:p>
        </w:tc>
        <w:tc>
          <w:tcPr>
            <w:tcW w:w="7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04/29/2025</w:t>
            </w: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107,538</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12"/>
                <w:szCs w:val="12"/>
                <w:color w:val="auto"/>
              </w:rPr>
            </w:pPr>
          </w:p>
        </w:tc>
        <w:tc>
          <w:tcPr>
            <w:tcW w:w="600" w:type="dxa"/>
            <w:vAlign w:val="bottom"/>
          </w:tcPr>
          <w:p>
            <w:pPr>
              <w:jc w:val="center"/>
              <w:ind w:right="73"/>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7"/>
              </w:rPr>
              <w:t>739,821</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3.28</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12/14/2023</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w w:val="99"/>
              </w:rPr>
              <w:t>739,821</w:t>
            </w:r>
          </w:p>
        </w:tc>
        <w:tc>
          <w:tcPr>
            <w:tcW w:w="780" w:type="dxa"/>
            <w:vAlign w:val="bottom"/>
            <w:gridSpan w:val="2"/>
            <w:vMerge w:val="continue"/>
          </w:tcPr>
          <w:p>
            <w:pPr>
              <w:spacing w:after="0"/>
              <w:rPr>
                <w:sz w:val="12"/>
                <w:szCs w:val="12"/>
                <w:color w:val="auto"/>
              </w:rPr>
            </w:pPr>
          </w:p>
        </w:tc>
        <w:tc>
          <w:tcPr>
            <w:tcW w:w="7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02/27/2029</w:t>
            </w: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18,435</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-3493135</wp:posOffset>
            </wp:positionV>
            <wp:extent cx="28575" cy="3498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982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for payment of the exercise price and applicable taxes, using the market price of the Issuer's voting common stock at the time of the option exercise on December 14, 2023.</w:t>
      </w:r>
    </w:p>
    <w:p>
      <w:pPr>
        <w:spacing w:after="0" w:line="19" w:lineRule="exact"/>
        <w:rPr>
          <w:rFonts w:ascii="Times New Roman" w:cs="Times New Roman" w:eastAsia="Times New Roman" w:hAnsi="Times New Roman"/>
          <w:sz w:val="13"/>
          <w:szCs w:val="13"/>
          <w:color w:val="008000"/>
        </w:rPr>
      </w:pPr>
    </w:p>
    <w:p>
      <w:pPr>
        <w:ind w:left="40" w:right="3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December 13, 2013.</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February 1, 2016.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June 1, 2015.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vest in equal monthly installments over the next 48 months of continuous service to the Issuer after February 29, 2019.</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Michael Massaro</w:t>
            </w:r>
          </w:p>
        </w:tc>
        <w:tc>
          <w:tcPr>
            <w:tcW w:w="8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12/15/2023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2023-12-15T15:46:20Z</dcterms:created>
  <dcterms:modified xsi:type="dcterms:W3CDTF">2023-12-15T15:46:20Z</dcterms:modified>
</cp:coreProperties>
</file>