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yw-20250331.htm"/>
      <w:bookmarkStart w:id="1" w:name="ksflyw20250331"/>
      <w:bookmarkEnd w:id="0"/>
      <w:bookmarkEnd w:id="1"/>
      <w:r>
        <w:rPr/>
        <w:t> </w:t>
      </w:r>
    </w:p>
    <w:p>
      <w:pPr>
        <w:pStyle w:val="TextBody"/>
        <w:pBdr>
          <w:top w:val="double" w:sz="6" w:space="1" w:color="000000"/>
        </w:pBdr>
        <w:bidi w:val="0"/>
        <w:jc w:val="left"/>
        <w:rPr/>
      </w:pPr>
      <w:r>
        <w:rPr/>
        <w:t> </w:t>
      </w:r>
    </w:p>
    <w:p>
      <w:pPr>
        <w:pStyle w:val="TextBody"/>
        <w:bidi w:val="0"/>
        <w:spacing w:before="60" w:after="283"/>
        <w:jc w:val="center"/>
        <w:rPr>
          <w:rFonts w:ascii="Times New Roman" w:hAnsi="Times New Roman"/>
          <w:sz w:val="20"/>
        </w:rPr>
      </w:pPr>
      <w:r>
        <w:rPr>
          <w:rFonts w:ascii="Arial" w:hAnsi="Arial"/>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34"/>
        </w:rPr>
        <w:t>FORM 10-Q</w:t>
      </w:r>
      <w:r>
        <w:rPr>
          <w:rFonts w:ascii="Times New Roman" w:hAnsi="Times New Roman"/>
          <w:color w:val="000000"/>
          <w:sz w:val="20"/>
        </w:rPr>
        <w:t xml:space="preserve"> </w:t>
      </w:r>
    </w:p>
    <w:p>
      <w:pPr>
        <w:pStyle w:val="TextBody"/>
        <w:bidi w:val="0"/>
        <w:spacing w:before="40" w:after="283"/>
        <w:jc w:val="left"/>
        <w:rPr>
          <w:rFonts w:ascii="Arial" w:hAnsi="Arial"/>
          <w:b/>
          <w:color w:val="000000"/>
          <w:sz w:val="18"/>
        </w:rPr>
      </w:pPr>
      <w:r>
        <w:rPr>
          <w:rFonts w:ascii="Arial" w:hAnsi="Arial"/>
          <w:b/>
          <w:color w:val="000000"/>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For the quarterly period ended March 31, 2025</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Commission File Number: 001-40430</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46"/>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(Exact Name of Registrant as Specified in its Charter)</w:t>
      </w:r>
      <w:r>
        <w:rPr>
          <w:rFonts w:ascii="Times New Roman" w:hAnsi="Times New Roman"/>
          <w:color w:val="000000"/>
          <w:sz w:val="20"/>
        </w:rPr>
        <w:t xml:space="preserve">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27-0690799</w:t>
            </w:r>
          </w:p>
        </w:tc>
      </w:tr>
      <w:tr>
        <w:trPr/>
        <w:tc>
          <w:tcPr>
            <w:tcW w:w="322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0"/>
              <w:jc w:val="center"/>
              <w:rPr>
                <w:rFonts w:ascii="Arial" w:hAnsi="Arial"/>
                <w:b/>
                <w:color w:val="000000"/>
                <w:sz w:val="16"/>
              </w:rPr>
            </w:pPr>
            <w:r>
              <w:rPr>
                <w:rFonts w:ascii="Arial" w:hAnsi="Arial"/>
                <w:b/>
                <w:color w:val="000000"/>
                <w:sz w:val="16"/>
              </w:rPr>
              <w:t>incorporation or organization)</w:t>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0"/>
              <w:jc w:val="center"/>
              <w:rPr>
                <w:rFonts w:ascii="Arial" w:hAnsi="Arial"/>
                <w:b/>
                <w:color w:val="000000"/>
                <w:sz w:val="16"/>
              </w:rPr>
            </w:pPr>
            <w:r>
              <w:rPr>
                <w:rFonts w:ascii="Arial" w:hAnsi="Arial"/>
                <w:b/>
                <w:color w:val="000000"/>
                <w:sz w:val="16"/>
              </w:rPr>
              <w:t>Identification No.)</w:t>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141 Tremont St #10</w:t>
            </w:r>
          </w:p>
          <w:p>
            <w:pPr>
              <w:pStyle w:val="TableContents"/>
              <w:bidi w:val="0"/>
              <w:spacing w:before="0" w:after="20"/>
              <w:jc w:val="center"/>
              <w:rPr>
                <w:rFonts w:ascii="Arial" w:hAnsi="Arial"/>
                <w:b/>
                <w:color w:val="000000"/>
                <w:sz w:val="18"/>
              </w:rPr>
            </w:pPr>
            <w:r>
              <w:rPr>
                <w:rFonts w:ascii="Arial" w:hAnsi="Arial"/>
                <w:b/>
                <w:color w:val="000000"/>
                <w:sz w:val="18"/>
              </w:rPr>
              <w:t>Boston, MA</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02111</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120" w:after="283"/>
        <w:jc w:val="center"/>
        <w:rPr>
          <w:rFonts w:ascii="Times New Roman" w:hAnsi="Times New Roman"/>
          <w:sz w:val="20"/>
        </w:rPr>
      </w:pPr>
      <w:r>
        <w:rPr>
          <w:rFonts w:ascii="Arial" w:hAnsi="Arial"/>
          <w:b/>
          <w:color w:val="000000"/>
          <w:sz w:val="18"/>
        </w:rPr>
        <w:t>Registrant’s telephone number, including area code: (617) 329-4524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tbl>
      <w:tblPr>
        <w:tblW w:w="8118" w:type="dxa"/>
        <w:jc w:val="left"/>
        <w:tblInd w:w="0" w:type="dxa"/>
        <w:tblLayout w:type="fixed"/>
        <w:tblCellMar>
          <w:top w:w="28" w:type="dxa"/>
          <w:left w:w="28" w:type="dxa"/>
          <w:bottom w:w="28" w:type="dxa"/>
          <w:right w:w="28" w:type="dxa"/>
        </w:tblCellMar>
      </w:tblPr>
      <w:tblGrid>
        <w:gridCol w:w="4456"/>
        <w:gridCol w:w="916"/>
        <w:gridCol w:w="2746"/>
      </w:tblGrid>
      <w:tr>
        <w:trPr/>
        <w:tc>
          <w:tcPr>
            <w:tcW w:w="44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91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274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Name of each exchange</w:t>
            </w:r>
          </w:p>
          <w:p>
            <w:pPr>
              <w:pStyle w:val="TableContents"/>
              <w:bidi w:val="0"/>
              <w:spacing w:before="0" w:after="283"/>
              <w:jc w:val="center"/>
              <w:rPr>
                <w:rFonts w:ascii="Arial" w:hAnsi="Arial"/>
                <w:b/>
                <w:color w:val="000000"/>
                <w:sz w:val="16"/>
              </w:rPr>
            </w:pPr>
            <w:r>
              <w:rPr>
                <w:rFonts w:ascii="Arial" w:hAnsi="Arial"/>
                <w:b/>
                <w:color w:val="000000"/>
                <w:sz w:val="16"/>
              </w:rPr>
              <w:t>on which registered</w:t>
            </w:r>
          </w:p>
        </w:tc>
      </w:tr>
      <w:tr>
        <w:trPr/>
        <w:tc>
          <w:tcPr>
            <w:tcW w:w="44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Voting common stock, $0.0001 par value per share</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FLYW</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br/>
              <w:t>(Nasdaq Global Select Market)</w:t>
            </w:r>
          </w:p>
        </w:tc>
      </w:tr>
    </w:tbl>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No ☐</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As of May 1, 2025, the registrant had 119,685,024</w:t>
      </w:r>
      <w:r>
        <w:rPr>
          <w:rFonts w:ascii="Times New Roman" w:hAnsi="Times New Roman"/>
          <w:color w:val="000000"/>
          <w:sz w:val="20"/>
        </w:rPr>
        <w:t xml:space="preserve"> </w:t>
      </w:r>
      <w:r>
        <w:rPr>
          <w:rFonts w:ascii="Arial" w:hAnsi="Arial"/>
          <w:color w:val="000000"/>
          <w:sz w:val="18"/>
        </w:rPr>
        <w:t>shares of voting common stock, $0.0001 par value per share, outstanding and 1,873,320</w:t>
      </w:r>
      <w:r>
        <w:rPr>
          <w:rFonts w:ascii="Times New Roman" w:hAnsi="Times New Roman"/>
          <w:color w:val="000000"/>
          <w:sz w:val="20"/>
        </w:rPr>
        <w:t xml:space="preserve"> </w:t>
      </w:r>
      <w:r>
        <w:rPr>
          <w:rFonts w:ascii="Arial" w:hAnsi="Arial"/>
          <w:color w:val="000000"/>
          <w:sz w:val="18"/>
        </w:rPr>
        <w:t>shares of non-voting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Arial" w:hAnsi="Arial"/>
          <w:b/>
          <w:color w:val="000000"/>
          <w:sz w:val="20"/>
        </w:rPr>
      </w:pPr>
      <w:bookmarkStart w:id="2" w:name="toc_page"/>
      <w:bookmarkEnd w:id="2"/>
      <w:r>
        <w:rPr>
          <w:rFonts w:ascii="Arial" w:hAnsi="Arial"/>
          <w:b/>
          <w:color w:val="000000"/>
          <w:sz w:val="20"/>
        </w:rPr>
        <w:t>Table of Contents</w:t>
      </w:r>
    </w:p>
    <w:tbl>
      <w:tblPr>
        <w:tblW w:w="9732" w:type="dxa"/>
        <w:jc w:val="left"/>
        <w:tblInd w:w="0" w:type="dxa"/>
        <w:tblLayout w:type="fixed"/>
        <w:tblCellMar>
          <w:top w:w="28" w:type="dxa"/>
          <w:left w:w="28" w:type="dxa"/>
          <w:bottom w:w="28" w:type="dxa"/>
          <w:right w:w="28" w:type="dxa"/>
        </w:tblCellMar>
      </w:tblPr>
      <w:tblGrid>
        <w:gridCol w:w="1270"/>
        <w:gridCol w:w="7846"/>
        <w:gridCol w:w="616"/>
      </w:tblGrid>
      <w:tr>
        <w:trPr/>
        <w:tc>
          <w:tcPr>
            <w:tcW w:w="1270"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
              <w:r>
                <w:rPr>
                  <w:rStyle w:val="InternetLink"/>
                  <w:rFonts w:ascii="Arial" w:hAnsi="Arial"/>
                  <w:color w:val="0000FF"/>
                  <w:sz w:val="20"/>
                  <w:u w:val="single"/>
                </w:rPr>
                <w:t>Special Note Regarding Forward-Looking Statements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w:t>
              </w:r>
            </w:hyperlink>
            <w:r>
              <w:rPr>
                <w:rFonts w:ascii="Arial" w:hAnsi="Arial"/>
                <w:b/>
                <w:color w:val="000000"/>
                <w:sz w:val="20"/>
              </w:rPr>
              <w:t>.</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Item 1.</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Arial" w:hAnsi="Arial"/>
                  <w:color w:val="0000FF"/>
                  <w:sz w:val="20"/>
                  <w:u w:val="single"/>
                </w:rPr>
                <w:t>Condensed Consolidated Balance Sheets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operations">
              <w:r>
                <w:rPr>
                  <w:rStyle w:val="InternetLink"/>
                  <w:rFonts w:ascii="Arial" w:hAnsi="Arial"/>
                  <w:color w:val="0000FF"/>
                  <w:sz w:val="20"/>
                  <w:u w:val="single"/>
                </w:rPr>
                <w:t>Condensed Consolidated Statements of Operations and Comprehensive Loss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stockholders_deficit">
              <w:r>
                <w:rPr>
                  <w:rStyle w:val="InternetLink"/>
                  <w:rFonts w:ascii="Arial" w:hAnsi="Arial"/>
                  <w:color w:val="0000FF"/>
                  <w:sz w:val="20"/>
                  <w:u w:val="single"/>
                </w:rPr>
                <w:t>Condensed Consolidated Statements of Stockholders’ Equity</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ash_flows">
              <w:r>
                <w:rPr>
                  <w:rStyle w:val="InternetLink"/>
                  <w:rFonts w:ascii="Arial" w:hAnsi="Arial"/>
                  <w:color w:val="0000FF"/>
                  <w:sz w:val="20"/>
                  <w:u w:val="single"/>
                </w:rPr>
                <w:t>Condensed Consolidated Statements of Cash Flows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s_to_condensed">
              <w:r>
                <w:rPr>
                  <w:rStyle w:val="InternetLink"/>
                  <w:rFonts w:ascii="Arial" w:hAnsi="Arial"/>
                  <w:color w:val="0000FF"/>
                  <w:sz w:val="20"/>
                  <w:u w:val="single"/>
                </w:rPr>
                <w:t>Notes to Condensed Consolidated Financial Statements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
              <w:r>
                <w:rPr>
                  <w:rStyle w:val="InternetLink"/>
                  <w:rFonts w:ascii="Arial" w:hAnsi="Arial"/>
                  <w:color w:val="0000FF"/>
                  <w:sz w:val="20"/>
                  <w:u w:val="single"/>
                </w:rPr>
                <w:t>Note 1. Business Overview and Summary of Significant Accounting Policies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2">
              <w:r>
                <w:rPr>
                  <w:rStyle w:val="InternetLink"/>
                  <w:rFonts w:ascii="Arial" w:hAnsi="Arial"/>
                  <w:color w:val="0000FF"/>
                  <w:sz w:val="20"/>
                  <w:u w:val="single"/>
                </w:rPr>
                <w:t>Note 2. Revenue and Recognition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3_segmentinformation">
              <w:r>
                <w:rPr>
                  <w:rStyle w:val="InternetLink"/>
                  <w:rFonts w:ascii="Arial" w:hAnsi="Arial"/>
                  <w:color w:val="0000FF"/>
                  <w:sz w:val="20"/>
                  <w:u w:val="single"/>
                </w:rPr>
                <w:t>Note 3. Segment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3_investments">
              <w:r>
                <w:rPr>
                  <w:rStyle w:val="InternetLink"/>
                  <w:rFonts w:ascii="Arial" w:hAnsi="Arial"/>
                  <w:color w:val="0000FF"/>
                  <w:sz w:val="20"/>
                  <w:u w:val="single"/>
                </w:rPr>
                <w:t>Note 4. Investments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4">
              <w:r>
                <w:rPr>
                  <w:rStyle w:val="InternetLink"/>
                  <w:rFonts w:ascii="Arial" w:hAnsi="Arial"/>
                  <w:color w:val="0000FF"/>
                  <w:sz w:val="20"/>
                  <w:u w:val="single"/>
                </w:rPr>
                <w:t>Note 5. Fair Value Measurements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hyperlink w:anchor="note_5">
              <w:r>
                <w:rPr>
                  <w:rStyle w:val="InternetLink"/>
                  <w:rFonts w:ascii="Arial" w:hAnsi="Arial"/>
                  <w:color w:val="0000FF"/>
                  <w:sz w:val="20"/>
                  <w:u w:val="single"/>
                </w:rPr>
                <w:t>Note 6. Derivative Instruments</w:t>
              </w:r>
            </w:hyperlink>
            <w:hyperlink w:anchor="note_5">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6">
              <w:r>
                <w:rPr>
                  <w:rStyle w:val="InternetLink"/>
                  <w:rFonts w:ascii="Arial" w:hAnsi="Arial"/>
                  <w:color w:val="0000FF"/>
                  <w:sz w:val="20"/>
                  <w:u w:val="single"/>
                </w:rPr>
                <w:t>Note 7. Accrued Expenses and Other Current Liabilities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7">
              <w:r>
                <w:rPr>
                  <w:rStyle w:val="InternetLink"/>
                  <w:rFonts w:ascii="Arial" w:hAnsi="Arial"/>
                  <w:color w:val="0000FF"/>
                  <w:sz w:val="20"/>
                  <w:u w:val="single"/>
                </w:rPr>
                <w:t>Note 8. Property and Equipment, net</w:t>
              </w:r>
            </w:hyperlink>
            <w:hyperlink w:anchor="note_7">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9_restructuring">
              <w:r>
                <w:rPr>
                  <w:rStyle w:val="InternetLink"/>
                  <w:rFonts w:ascii="Arial" w:hAnsi="Arial"/>
                  <w:color w:val="0000FF"/>
                  <w:sz w:val="20"/>
                  <w:u w:val="single"/>
                </w:rPr>
                <w:t>Note 9. Restructuring</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8">
              <w:r>
                <w:rPr>
                  <w:rStyle w:val="InternetLink"/>
                  <w:rFonts w:ascii="Arial" w:hAnsi="Arial"/>
                  <w:color w:val="0000FF"/>
                  <w:sz w:val="20"/>
                  <w:u w:val="single"/>
                </w:rPr>
                <w:t>Note 10. Business Combinations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9">
              <w:r>
                <w:rPr>
                  <w:rStyle w:val="InternetLink"/>
                  <w:rFonts w:ascii="Arial" w:hAnsi="Arial"/>
                  <w:color w:val="0000FF"/>
                  <w:sz w:val="20"/>
                  <w:u w:val="single"/>
                </w:rPr>
                <w:t>Note 11. Goodwill and Acquired Intangible Assets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0">
              <w:r>
                <w:rPr>
                  <w:rStyle w:val="InternetLink"/>
                  <w:rFonts w:ascii="Arial" w:hAnsi="Arial"/>
                  <w:color w:val="0000FF"/>
                  <w:sz w:val="20"/>
                  <w:u w:val="single"/>
                </w:rPr>
                <w:t>Note 12. Debt</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22</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hyperlink w:anchor="note_11">
              <w:r>
                <w:rPr>
                  <w:rStyle w:val="InternetLink"/>
                  <w:rFonts w:ascii="Arial" w:hAnsi="Arial"/>
                  <w:color w:val="0000FF"/>
                  <w:sz w:val="20"/>
                  <w:u w:val="single"/>
                </w:rPr>
                <w:t>Note 13. Stockholders’ Equity</w:t>
              </w:r>
            </w:hyperlink>
            <w:hyperlink w:anchor="note_11">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2">
              <w:r>
                <w:rPr>
                  <w:rStyle w:val="InternetLink"/>
                  <w:rFonts w:ascii="Arial" w:hAnsi="Arial"/>
                  <w:color w:val="0000FF"/>
                  <w:sz w:val="20"/>
                  <w:u w:val="single"/>
                </w:rPr>
                <w:t>Note 14. Stock-Based Compensation</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3">
              <w:r>
                <w:rPr>
                  <w:rStyle w:val="InternetLink"/>
                  <w:rFonts w:ascii="Arial" w:hAnsi="Arial"/>
                  <w:color w:val="0000FF"/>
                  <w:sz w:val="20"/>
                  <w:u w:val="single"/>
                </w:rPr>
                <w:t>Note 15. Net Income (Loss) per Share</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hyperlink w:anchor="note_14">
              <w:r>
                <w:rPr>
                  <w:rStyle w:val="InternetLink"/>
                  <w:rFonts w:ascii="Arial" w:hAnsi="Arial"/>
                  <w:color w:val="0000FF"/>
                  <w:sz w:val="20"/>
                  <w:u w:val="single"/>
                </w:rPr>
                <w:t>Note 16. Income Taxes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_16">
              <w:r>
                <w:rPr>
                  <w:rStyle w:val="InternetLink"/>
                  <w:rFonts w:ascii="Arial" w:hAnsi="Arial"/>
                  <w:color w:val="0000FF"/>
                  <w:sz w:val="20"/>
                  <w:u w:val="single"/>
                </w:rPr>
                <w:t>Note 17. Commitments and Contingencies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Arial" w:hAnsi="Arial"/>
                  <w:color w:val="0000FF"/>
                  <w:sz w:val="20"/>
                  <w:u w:val="single"/>
                </w:rPr>
                <w:t>Item 2.</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Arial" w:hAnsi="Arial"/>
                  <w:color w:val="0000FF"/>
                  <w:sz w:val="20"/>
                  <w:u w:val="single"/>
                </w:rPr>
                <w:t>Management’s Discussion and Analysis of Financial Condition and Results of Operations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Arial" w:hAnsi="Arial"/>
                  <w:color w:val="0000FF"/>
                  <w:sz w:val="20"/>
                  <w:u w:val="single"/>
                </w:rPr>
                <w:t>Item 3.</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
              <w:bookmarkStart w:id="3" w:name="item_3_wantitative"/>
              <w:bookmarkEnd w:id="3"/>
              <w:r>
                <w:rPr>
                  <w:rStyle w:val="InternetLink"/>
                  <w:rFonts w:ascii="Arial" w:hAnsi="Arial"/>
                  <w:color w:val="0000FF"/>
                  <w:sz w:val="20"/>
                  <w:u w:val="single"/>
                </w:rPr>
                <w:t>Quantitative and Qualitative Disclosures About Market Risk</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Arial" w:hAnsi="Arial"/>
                  <w:color w:val="0000FF"/>
                  <w:sz w:val="20"/>
                  <w:u w:val="single"/>
                </w:rPr>
                <w:t>Item 4.</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Arial" w:hAnsi="Arial"/>
                  <w:color w:val="0000FF"/>
                  <w:sz w:val="20"/>
                  <w:u w:val="single"/>
                </w:rPr>
                <w:t>Controls and Procedures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
              <w:r>
                <w:rPr>
                  <w:rStyle w:val="InternetLink"/>
                  <w:rFonts w:ascii="Arial" w:hAnsi="Arial"/>
                  <w:color w:val="0000FF"/>
                  <w:sz w:val="20"/>
                  <w:u w:val="single"/>
                </w:rPr>
                <w:t>PART II.</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
              <w:r>
                <w:rPr>
                  <w:rStyle w:val="InternetLink"/>
                  <w:rFonts w:ascii="Arial" w:hAnsi="Arial"/>
                  <w:color w:val="0000FF"/>
                  <w:sz w:val="20"/>
                  <w:u w:val="single"/>
                </w:rPr>
                <w:t>OTHER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Arial" w:hAnsi="Arial"/>
                  <w:color w:val="0000FF"/>
                  <w:sz w:val="20"/>
                  <w:u w:val="single"/>
                </w:rPr>
                <w:t>Item 1.</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Arial" w:hAnsi="Arial"/>
                  <w:color w:val="0000FF"/>
                  <w:sz w:val="20"/>
                  <w:u w:val="single"/>
                </w:rPr>
                <w:t>Legal Proceedings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Arial" w:hAnsi="Arial"/>
                  <w:color w:val="0000FF"/>
                  <w:sz w:val="20"/>
                  <w:u w:val="single"/>
                </w:rPr>
                <w:t>Item 1A.</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Arial" w:hAnsi="Arial"/>
                  <w:color w:val="0000FF"/>
                  <w:sz w:val="20"/>
                  <w:u w:val="single"/>
                </w:rPr>
                <w:t>Risk Factors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Arial" w:hAnsi="Arial"/>
                  <w:color w:val="0000FF"/>
                  <w:sz w:val="20"/>
                  <w:u w:val="single"/>
                </w:rPr>
                <w:t>Item 2.</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Arial" w:hAnsi="Arial"/>
                  <w:color w:val="0000FF"/>
                  <w:sz w:val="20"/>
                  <w:u w:val="single"/>
                </w:rPr>
                <w:t>Unregistered Sales of Equity Securities and Use of Proceeds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Arial" w:hAnsi="Arial"/>
                  <w:color w:val="0000FF"/>
                  <w:sz w:val="20"/>
                  <w:u w:val="single"/>
                </w:rPr>
                <w:t>Item 3.</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Arial" w:hAnsi="Arial"/>
                  <w:color w:val="0000FF"/>
                  <w:sz w:val="20"/>
                  <w:u w:val="single"/>
                </w:rPr>
                <w:t>Defaults Upon Senior Securities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Arial" w:hAnsi="Arial"/>
                  <w:color w:val="0000FF"/>
                  <w:sz w:val="20"/>
                  <w:u w:val="single"/>
                </w:rPr>
                <w:t>Item 4.</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Arial" w:hAnsi="Arial"/>
                  <w:color w:val="0000FF"/>
                  <w:sz w:val="20"/>
                  <w:u w:val="single"/>
                </w:rPr>
                <w:t>Mine Safety Disclosures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FF"/>
                  <w:sz w:val="20"/>
                  <w:u w:val="single"/>
                </w:rPr>
                <w:t>Item 5.</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FF"/>
                  <w:sz w:val="20"/>
                  <w:u w:val="single"/>
                </w:rPr>
                <w:t>Other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Item 6</w:t>
              </w:r>
            </w:hyperlink>
            <w:r>
              <w:rPr>
                <w:rFonts w:ascii="Arial" w:hAnsi="Arial"/>
                <w:color w:val="000000"/>
                <w:sz w:val="20"/>
              </w:rPr>
              <w:t>.</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r>
      <w:tr>
        <w:trPr/>
        <w:tc>
          <w:tcPr>
            <w:tcW w:w="9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r>
    </w:tbl>
    <w:p>
      <w:pPr>
        <w:pStyle w:val="TextBody"/>
        <w:bidi w:val="0"/>
        <w:jc w:val="left"/>
        <w:rPr/>
      </w:pPr>
      <w:r>
        <w:rPr/>
        <w:t> </w:t>
      </w:r>
    </w:p>
    <w:p>
      <w:pPr>
        <w:pStyle w:val="TextBody"/>
        <w:bidi w:val="0"/>
        <w:spacing w:before="0" w:after="20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center"/>
        <w:rPr>
          <w:rFonts w:ascii="Times New Roman" w:hAnsi="Times New Roman"/>
          <w:sz w:val="20"/>
        </w:rPr>
      </w:pPr>
      <w:bookmarkStart w:id="4" w:name="special_note_regarding"/>
      <w:bookmarkEnd w:id="4"/>
      <w:r>
        <w:rPr>
          <w:rFonts w:ascii="Arial" w:hAnsi="Arial"/>
          <w:b/>
          <w:color w:val="000000"/>
          <w:sz w:val="20"/>
        </w:rPr>
        <w:t>SPECIAL NOTE REGARDING FORWARD-LOOKING STATEMENTS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plan and our ability to effectively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cross-border expansion plans and ability to expand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anticipated trends, growth rates, and challenges in our business and in the markets in which we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sufficiency of, and ability to access, our cash and cash equivalents to meet our liquidity needs;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political, economic, foreign currency exchange rate, inflation, tariffs and international trade conflict, banking,</w:t>
        <w:br/>
        <w:t>legal, immigration, social and health risks and public health measures that may affect cross-border commerce,</w:t>
        <w:br/>
        <w:t>education and travel, our business or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beliefs and objectives for future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develop and protect our brand;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and grow the payment volume that we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further attract, retain, and expand our client base;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develop new solutions and services and bring them to market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concerning relationships with third parties, including financial institutions and strategic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effects of increased competition in our markets and our ability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recent and future acquisitions or investments in complementary companies, products, services, or technologies, including the expected benefits and synergies of the acquisition of Sertifi LLC (Sertifi), among them the potential benefits of Sertifi’s platform, financial results and margins;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enter new client verticals and sub-verticals, including our relatively new business-to-business (B2B) sector;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anticipated technology needs and developments and our ability to address those needs and developments with our solutions;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litigation and legal and regulatory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our ability to meet existing performance obligations and maintain the operability of our solutions;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economic and industry trends, projected growth, or trend analysis;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effects of global events and geopolitical conflict, including without limitation the continuing hostilities in Ukraine and involving Israel;</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adapt to recommended or implemented U.S. policy changes, in particular those that impact higher education, the desire for foreign students to study in the U.S., immigration and visa policy, and changes to regulatory agencies and depth of enforcement of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adapt to changes in U.S. federal income or other tax laws or the interpretation of tax laws, including the Inflation Reduction Act of 2022;</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attract and retain qualified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protect, and enhance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the security and availability of our solutions;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increased expenses associated with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future market price of our common stock. </w:t>
      </w:r>
    </w:p>
    <w:p>
      <w:pPr>
        <w:pStyle w:val="TextBody"/>
        <w:bidi w:val="0"/>
        <w:spacing w:before="200" w:after="200"/>
        <w:jc w:val="left"/>
        <w:rPr>
          <w:rFonts w:ascii="Times New Roman" w:hAnsi="Times New Roman"/>
          <w:sz w:val="20"/>
        </w:rPr>
      </w:pPr>
      <w:r>
        <w:rPr>
          <w:rFonts w:ascii="Arial" w:hAnsi="Arial"/>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jc w:val="left"/>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00" w:after="200"/>
        <w:jc w:val="left"/>
        <w:rPr>
          <w:rFonts w:ascii="Arial" w:hAnsi="Arial"/>
          <w:color w:val="000000"/>
          <w:sz w:val="20"/>
        </w:rPr>
      </w:pPr>
      <w:r>
        <w:rPr>
          <w:rFonts w:ascii="Arial" w:hAnsi="Arial"/>
          <w:color w:val="000000"/>
          <w:sz w:val="20"/>
        </w:rPr>
        <w:t>Unless otherwise noted or unless the context provides otherwise, all references in this Quarterly Report on Form 10-Q to our “common stock” refer to our voting common stock.</w:t>
      </w:r>
    </w:p>
    <w:p>
      <w:pPr>
        <w:pStyle w:val="TextBody"/>
        <w:bidi w:val="0"/>
        <w:spacing w:before="0" w:after="200"/>
        <w:jc w:val="left"/>
        <w:rPr>
          <w:rFonts w:ascii="Arial" w:hAnsi="Arial"/>
          <w:color w:val="000000"/>
          <w:sz w:val="20"/>
        </w:rPr>
      </w:pPr>
      <w:r>
        <w:rPr>
          <w:rFonts w:ascii="Arial" w:hAnsi="Arial"/>
          <w:color w:val="000000"/>
          <w:sz w:val="20"/>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(formerly known as Twitter)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5" w:name="part_i_financial_information"/>
      <w:bookmarkEnd w:id="5"/>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6" w:name="item_1_financial_statements"/>
      <w:bookmarkEnd w:id="6"/>
      <w:r>
        <w:rPr>
          <w:rFonts w:ascii="Arial" w:hAnsi="Arial"/>
          <w:b/>
          <w:color w:val="000000"/>
          <w:sz w:val="20"/>
        </w:rPr>
        <w:t>Item 1. Financial Statements</w:t>
      </w:r>
    </w:p>
    <w:p>
      <w:pPr>
        <w:pStyle w:val="TextBody"/>
        <w:bidi w:val="0"/>
        <w:spacing w:before="120" w:after="283"/>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balance_sheets"/>
      <w:bookmarkEnd w:id="7"/>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spacing w:before="0" w:after="200"/>
        <w:jc w:val="center"/>
        <w:rPr>
          <w:rFonts w:ascii="Arial" w:hAnsi="Arial"/>
          <w:color w:val="000000"/>
          <w:sz w:val="20"/>
        </w:rPr>
      </w:pPr>
      <w:r>
        <w:rPr>
          <w:rFonts w:ascii="Arial" w:hAnsi="Arial"/>
          <w:color w:val="000000"/>
          <w:sz w:val="20"/>
        </w:rPr>
        <w:t>(Unaudited) (Amounts in thousands, except par value per share and share amounts)</w:t>
      </w:r>
    </w:p>
    <w:tbl>
      <w:tblPr>
        <w:tblW w:w="10205" w:type="dxa"/>
        <w:jc w:val="left"/>
        <w:tblInd w:w="0" w:type="dxa"/>
        <w:tblLayout w:type="fixed"/>
        <w:tblCellMar>
          <w:top w:w="28" w:type="dxa"/>
          <w:left w:w="28" w:type="dxa"/>
          <w:bottom w:w="28" w:type="dxa"/>
          <w:right w:w="28" w:type="dxa"/>
        </w:tblCellMar>
      </w:tblPr>
      <w:tblGrid>
        <w:gridCol w:w="6772"/>
        <w:gridCol w:w="146"/>
        <w:gridCol w:w="211"/>
        <w:gridCol w:w="961"/>
        <w:gridCol w:w="166"/>
        <w:gridCol w:w="146"/>
        <w:gridCol w:w="211"/>
        <w:gridCol w:w="961"/>
        <w:gridCol w:w="631"/>
      </w:tblGrid>
      <w:tr>
        <w:trPr/>
        <w:tc>
          <w:tcPr>
            <w:tcW w:w="6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495,242</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115,848</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19"/>
              </w:rPr>
              <w:t>Accounts receivable, net of allowance of $207</w:t>
            </w:r>
            <w:r>
              <w:rPr>
                <w:rFonts w:ascii="Times New Roman" w:hAnsi="Times New Roman"/>
                <w:color w:val="000000"/>
                <w:sz w:val="20"/>
              </w:rPr>
              <w:t> </w:t>
            </w:r>
            <w:r>
              <w:rPr>
                <w:rFonts w:ascii="Arial" w:hAnsi="Arial"/>
                <w:color w:val="000000"/>
                <w:sz w:val="19"/>
              </w:rPr>
              <w:t>and $410,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23,703</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19"/>
              </w:rPr>
              <w:t>Unbilled receivables, net of allowance of $25</w:t>
            </w:r>
            <w:r>
              <w:rPr>
                <w:rFonts w:ascii="Times New Roman" w:hAnsi="Times New Roman"/>
                <w:color w:val="000000"/>
                <w:sz w:val="20"/>
              </w:rPr>
              <w:t> </w:t>
            </w:r>
            <w:r>
              <w:rPr>
                <w:rFonts w:ascii="Arial" w:hAnsi="Arial"/>
                <w:color w:val="000000"/>
                <w:sz w:val="19"/>
              </w:rPr>
              <w:t>and $36,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15,453</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Funds receivable from payment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90,110</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22,528</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762,884</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50,125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17,160</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118,684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149,558</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24,035</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1,122,446</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15,353</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Funds payable to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217,788</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49,297</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289,775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12,643</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307,679</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9"/>
              </w:rPr>
              <w:t>Preferred stock, $0.0001</w:t>
            </w:r>
            <w:r>
              <w:rPr>
                <w:rFonts w:ascii="Times New Roman" w:hAnsi="Times New Roman"/>
                <w:color w:val="000000"/>
                <w:sz w:val="20"/>
              </w:rPr>
              <w:t> </w:t>
            </w:r>
            <w:r>
              <w:rPr>
                <w:rFonts w:ascii="Arial" w:hAnsi="Arial"/>
                <w:color w:val="000000"/>
                <w:sz w:val="19"/>
              </w:rPr>
              <w:t>par value; 10,000,000</w:t>
            </w:r>
            <w:r>
              <w:rPr>
                <w:rFonts w:ascii="Times New Roman" w:hAnsi="Times New Roman"/>
                <w:color w:val="000000"/>
                <w:sz w:val="20"/>
              </w:rPr>
              <w:t> </w:t>
            </w:r>
            <w:r>
              <w:rPr>
                <w:rFonts w:ascii="Arial" w:hAnsi="Arial"/>
                <w:color w:val="000000"/>
                <w:sz w:val="19"/>
              </w:rPr>
              <w:t xml:space="preserve">shares authorized as </w:t>
              <w:br/>
              <w:t>   of March 31, 2025 and December 31, 2024; and no</w:t>
            </w:r>
            <w:r>
              <w:rPr>
                <w:rFonts w:ascii="Times New Roman" w:hAnsi="Times New Roman"/>
                <w:color w:val="000000"/>
                <w:sz w:val="20"/>
              </w:rPr>
              <w:t> </w:t>
            </w:r>
            <w:r>
              <w:rPr>
                <w:rFonts w:ascii="Arial" w:hAnsi="Arial"/>
                <w:color w:val="000000"/>
                <w:sz w:val="19"/>
              </w:rPr>
              <w:t xml:space="preserve">shares issued </w:t>
              <w:br/>
              <w:t>   and outstanding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9"/>
              </w:rPr>
              <w:t>Voting common stock, $0.0001</w:t>
            </w:r>
            <w:r>
              <w:rPr>
                <w:rFonts w:ascii="Times New Roman" w:hAnsi="Times New Roman"/>
                <w:color w:val="000000"/>
                <w:sz w:val="20"/>
              </w:rPr>
              <w:t> </w:t>
            </w:r>
            <w:r>
              <w:rPr>
                <w:rFonts w:ascii="Arial" w:hAnsi="Arial"/>
                <w:color w:val="000000"/>
                <w:sz w:val="19"/>
              </w:rPr>
              <w:t>par value; 2,000,000,000</w:t>
            </w:r>
            <w:r>
              <w:rPr>
                <w:rFonts w:ascii="Times New Roman" w:hAnsi="Times New Roman"/>
                <w:color w:val="000000"/>
                <w:sz w:val="20"/>
              </w:rPr>
              <w:t> </w:t>
            </w:r>
            <w:r>
              <w:rPr>
                <w:rFonts w:ascii="Arial" w:hAnsi="Arial"/>
                <w:color w:val="000000"/>
                <w:sz w:val="19"/>
              </w:rPr>
              <w:t xml:space="preserve">shares </w:t>
              <w:br/>
              <w:t>   authorized as of March 31, 2025 and December 31, 2024; 128,419,082</w:t>
              <w:br/>
              <w:t>   shares issued and 120,204,647</w:t>
            </w:r>
            <w:r>
              <w:rPr>
                <w:rFonts w:ascii="Times New Roman" w:hAnsi="Times New Roman"/>
                <w:color w:val="000000"/>
                <w:sz w:val="20"/>
              </w:rPr>
              <w:t> </w:t>
            </w:r>
            <w:r>
              <w:rPr>
                <w:rFonts w:ascii="Arial" w:hAnsi="Arial"/>
                <w:color w:val="000000"/>
                <w:sz w:val="19"/>
              </w:rPr>
              <w:t xml:space="preserve">shares outstanding as of March 31, 2025; </w:t>
              <w:br/>
              <w:t>   126,853,852</w:t>
            </w:r>
            <w:r>
              <w:rPr>
                <w:rFonts w:ascii="Times New Roman" w:hAnsi="Times New Roman"/>
                <w:color w:val="000000"/>
                <w:sz w:val="20"/>
              </w:rPr>
              <w:t> </w:t>
            </w:r>
            <w:r>
              <w:rPr>
                <w:rFonts w:ascii="Arial" w:hAnsi="Arial"/>
                <w:color w:val="000000"/>
                <w:sz w:val="19"/>
              </w:rPr>
              <w:t>shares issued and 122,182,878</w:t>
            </w:r>
            <w:r>
              <w:rPr>
                <w:rFonts w:ascii="Times New Roman" w:hAnsi="Times New Roman"/>
                <w:color w:val="000000"/>
                <w:sz w:val="20"/>
              </w:rPr>
              <w:t> </w:t>
            </w:r>
            <w:r>
              <w:rPr>
                <w:rFonts w:ascii="Arial" w:hAnsi="Arial"/>
                <w:color w:val="000000"/>
                <w:sz w:val="19"/>
              </w:rPr>
              <w:t xml:space="preserve">shares outstanding as </w:t>
              <w:br/>
              <w:t>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9"/>
              </w:rPr>
              <w:t>Non-voting common stock, $0.0001</w:t>
            </w:r>
            <w:r>
              <w:rPr>
                <w:rFonts w:ascii="Times New Roman" w:hAnsi="Times New Roman"/>
                <w:color w:val="000000"/>
                <w:sz w:val="20"/>
              </w:rPr>
              <w:t> </w:t>
            </w:r>
            <w:r>
              <w:rPr>
                <w:rFonts w:ascii="Arial" w:hAnsi="Arial"/>
                <w:color w:val="000000"/>
                <w:sz w:val="19"/>
              </w:rPr>
              <w:t>par value; 10,000,000</w:t>
            </w:r>
            <w:r>
              <w:rPr>
                <w:rFonts w:ascii="Times New Roman" w:hAnsi="Times New Roman"/>
                <w:color w:val="000000"/>
                <w:sz w:val="20"/>
              </w:rPr>
              <w:t> </w:t>
            </w:r>
            <w:r>
              <w:rPr>
                <w:rFonts w:ascii="Arial" w:hAnsi="Arial"/>
                <w:color w:val="000000"/>
                <w:sz w:val="19"/>
              </w:rPr>
              <w:t xml:space="preserve">shares </w:t>
              <w:br/>
              <w:t>   authorized as of March 31, 2025 and December 31, 2024; 1,873,320</w:t>
            </w:r>
            <w:r>
              <w:rPr>
                <w:rFonts w:ascii="Times New Roman" w:hAnsi="Times New Roman"/>
                <w:color w:val="000000"/>
                <w:sz w:val="20"/>
              </w:rPr>
              <w:t> </w:t>
            </w:r>
            <w:r>
              <w:rPr>
                <w:rFonts w:ascii="Arial" w:hAnsi="Arial"/>
                <w:color w:val="000000"/>
                <w:sz w:val="19"/>
              </w:rPr>
              <w:t xml:space="preserve">shares </w:t>
              <w:br/>
              <w:t>   issued and outstanding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9"/>
              </w:rPr>
              <w:t>Treasury voting common stock, 8,214,435</w:t>
            </w:r>
            <w:r>
              <w:rPr>
                <w:rFonts w:ascii="Times New Roman" w:hAnsi="Times New Roman"/>
                <w:color w:val="000000"/>
                <w:sz w:val="20"/>
              </w:rPr>
              <w:t> </w:t>
            </w:r>
            <w:r>
              <w:rPr>
                <w:rFonts w:ascii="Arial" w:hAnsi="Arial"/>
                <w:color w:val="000000"/>
                <w:sz w:val="19"/>
              </w:rPr>
              <w:t>and 4,670,974</w:t>
            </w:r>
            <w:r>
              <w:rPr>
                <w:rFonts w:ascii="Times New Roman" w:hAnsi="Times New Roman"/>
                <w:color w:val="000000"/>
                <w:sz w:val="20"/>
              </w:rPr>
              <w:t> </w:t>
            </w:r>
            <w:r>
              <w:rPr>
                <w:rFonts w:ascii="Arial" w:hAnsi="Arial"/>
                <w:color w:val="000000"/>
                <w:sz w:val="19"/>
              </w:rPr>
              <w:t xml:space="preserve">shares as of </w:t>
              <w:br/>
              <w:t>   March 31, 2025 and December 31, 2024, respectively, held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(46,268</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1,033,958</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(2,066</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(170,870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814,767</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1,122,446</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8" w:name="fin469729_52"/>
      <w:bookmarkEnd w:id="8"/>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9" w:name="condensed_consolidated_operations"/>
      <w:bookmarkEnd w:id="9"/>
      <w:r>
        <w:rPr>
          <w:rFonts w:ascii="Arial" w:hAnsi="Arial"/>
          <w:b/>
          <w:color w:val="000000"/>
          <w:sz w:val="20"/>
        </w:rPr>
        <w:t>CONDENSED CONSOLIDATED STATEMENTS OF OPERATIONS AND COMPREHENSIVE LOSS</w:t>
      </w:r>
    </w:p>
    <w:p>
      <w:pPr>
        <w:pStyle w:val="TextBody"/>
        <w:bidi w:val="0"/>
        <w:spacing w:before="0" w:after="200"/>
        <w:jc w:val="center"/>
        <w:rPr>
          <w:rFonts w:ascii="Times New Roman" w:hAnsi="Times New Roman"/>
          <w:sz w:val="20"/>
        </w:rPr>
      </w:pPr>
      <w:r>
        <w:rPr>
          <w:rFonts w:ascii="Arial" w:hAnsi="Arial"/>
          <w:color w:val="000000"/>
          <w:sz w:val="20"/>
        </w:rPr>
        <w:t>(Unaudited) (Amounts 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346"/>
        <w:gridCol w:w="146"/>
        <w:gridCol w:w="211"/>
        <w:gridCol w:w="1171"/>
        <w:gridCol w:w="166"/>
        <w:gridCol w:w="146"/>
        <w:gridCol w:w="211"/>
        <w:gridCol w:w="1171"/>
        <w:gridCol w:w="166"/>
        <w:gridCol w:w="47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Payment processing services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Gain (loss)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(benefit from)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Unrealized losses on available-for-sale debt securities,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123,235,263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123,143,343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sz w:val="20"/>
        </w:rPr>
      </w:pPr>
      <w:r>
        <w:rPr>
          <w:rFonts w:ascii="Arial" w:hAnsi="Arial"/>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9"/>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statements_stockholders_deficit"/>
      <w:bookmarkEnd w:id="10"/>
      <w:r>
        <w:rPr>
          <w:rFonts w:ascii="Arial" w:hAnsi="Arial"/>
          <w:b/>
          <w:color w:val="000000"/>
          <w:sz w:val="19"/>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9"/>
        </w:rPr>
        <w:t>(Unaudited) (Amounts in thousands, except share amounts)</w:t>
      </w:r>
      <w:r>
        <w:rPr>
          <w:rFonts w:ascii="Times New Roman" w:hAnsi="Times New Roman"/>
          <w:color w:val="000000"/>
          <w:sz w:val="20"/>
        </w:rPr>
        <w:t xml:space="preserve"> </w:t>
      </w:r>
    </w:p>
    <w:tbl>
      <w:tblPr>
        <w:tblW w:w="11853" w:type="dxa"/>
        <w:jc w:val="left"/>
        <w:tblInd w:w="0" w:type="dxa"/>
        <w:tblLayout w:type="fixed"/>
        <w:tblCellMar>
          <w:top w:w="28" w:type="dxa"/>
          <w:left w:w="28" w:type="dxa"/>
          <w:bottom w:w="28" w:type="dxa"/>
          <w:right w:w="28" w:type="dxa"/>
        </w:tblCellMar>
      </w:tblPr>
      <w:tblGrid>
        <w:gridCol w:w="1006"/>
        <w:gridCol w:w="146"/>
        <w:gridCol w:w="146"/>
        <w:gridCol w:w="146"/>
        <w:gridCol w:w="146"/>
        <w:gridCol w:w="706"/>
        <w:gridCol w:w="146"/>
        <w:gridCol w:w="146"/>
        <w:gridCol w:w="185"/>
        <w:gridCol w:w="386"/>
        <w:gridCol w:w="146"/>
        <w:gridCol w:w="146"/>
        <w:gridCol w:w="146"/>
        <w:gridCol w:w="586"/>
        <w:gridCol w:w="146"/>
        <w:gridCol w:w="146"/>
        <w:gridCol w:w="185"/>
        <w:gridCol w:w="386"/>
        <w:gridCol w:w="146"/>
        <w:gridCol w:w="146"/>
        <w:gridCol w:w="146"/>
        <w:gridCol w:w="631"/>
        <w:gridCol w:w="151"/>
        <w:gridCol w:w="146"/>
        <w:gridCol w:w="166"/>
        <w:gridCol w:w="481"/>
        <w:gridCol w:w="151"/>
        <w:gridCol w:w="146"/>
        <w:gridCol w:w="166"/>
        <w:gridCol w:w="586"/>
        <w:gridCol w:w="151"/>
        <w:gridCol w:w="146"/>
        <w:gridCol w:w="276"/>
        <w:gridCol w:w="700"/>
        <w:gridCol w:w="151"/>
        <w:gridCol w:w="146"/>
        <w:gridCol w:w="197"/>
        <w:gridCol w:w="644"/>
        <w:gridCol w:w="151"/>
        <w:gridCol w:w="146"/>
        <w:gridCol w:w="210"/>
        <w:gridCol w:w="631"/>
        <w:gridCol w:w="19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3"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Three Months Ended March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Treasury Voting 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 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 Other Comprehensive Income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126,853,852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(4,670,974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(46,268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1,033,958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(170,870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814,767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upon exercise of stock options, net of tax withheld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526,388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upon settlement of restricted stock units, net of tax withheld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908,046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88,798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under retention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19,182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Common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(3,562,643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(48,411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Unrealized gains (losses) on available-for-sale debt securities,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18,578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128,419,082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(8,214,435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(94,489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1,053,289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(175,030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784,265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2560" w:type="dxa"/>
        <w:jc w:val="left"/>
        <w:tblInd w:w="0" w:type="dxa"/>
        <w:tblLayout w:type="fixed"/>
        <w:tblCellMar>
          <w:top w:w="28" w:type="dxa"/>
          <w:left w:w="28" w:type="dxa"/>
          <w:bottom w:w="28" w:type="dxa"/>
          <w:right w:w="28" w:type="dxa"/>
        </w:tblCellMar>
      </w:tblPr>
      <w:tblGrid>
        <w:gridCol w:w="826"/>
        <w:gridCol w:w="146"/>
        <w:gridCol w:w="146"/>
        <w:gridCol w:w="146"/>
        <w:gridCol w:w="146"/>
        <w:gridCol w:w="706"/>
        <w:gridCol w:w="146"/>
        <w:gridCol w:w="146"/>
        <w:gridCol w:w="185"/>
        <w:gridCol w:w="386"/>
        <w:gridCol w:w="146"/>
        <w:gridCol w:w="146"/>
        <w:gridCol w:w="146"/>
        <w:gridCol w:w="586"/>
        <w:gridCol w:w="146"/>
        <w:gridCol w:w="146"/>
        <w:gridCol w:w="185"/>
        <w:gridCol w:w="386"/>
        <w:gridCol w:w="146"/>
        <w:gridCol w:w="146"/>
        <w:gridCol w:w="146"/>
        <w:gridCol w:w="631"/>
        <w:gridCol w:w="151"/>
        <w:gridCol w:w="146"/>
        <w:gridCol w:w="197"/>
        <w:gridCol w:w="374"/>
        <w:gridCol w:w="151"/>
        <w:gridCol w:w="146"/>
        <w:gridCol w:w="173"/>
        <w:gridCol w:w="518"/>
        <w:gridCol w:w="151"/>
        <w:gridCol w:w="166"/>
        <w:gridCol w:w="346"/>
        <w:gridCol w:w="146"/>
        <w:gridCol w:w="276"/>
        <w:gridCol w:w="700"/>
        <w:gridCol w:w="151"/>
        <w:gridCol w:w="166"/>
        <w:gridCol w:w="346"/>
        <w:gridCol w:w="146"/>
        <w:gridCol w:w="197"/>
        <w:gridCol w:w="644"/>
        <w:gridCol w:w="151"/>
        <w:gridCol w:w="146"/>
        <w:gridCol w:w="210"/>
        <w:gridCol w:w="631"/>
        <w:gridCol w:w="19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0" w:type="dxa"/>
            <w:gridSpan w:val="4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Three Months Ended March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Treasury Voting 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 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 Other Comprehensive Income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123,010,207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(2,315,045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959,302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(173,770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786,117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710,700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upon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748,622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71,896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 stock for retention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15,090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(6,217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(6,217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124,555,591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(2,300,541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977,743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(179,987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796,985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16"/>
        </w:rPr>
      </w:pPr>
      <w:r>
        <w:rPr>
          <w:rFonts w:ascii="Arial" w:hAnsi="Arial"/>
          <w:color w:val="000000"/>
          <w:sz w:val="16"/>
        </w:rPr>
        <w:t>___________________________</w:t>
      </w:r>
    </w:p>
    <w:p>
      <w:pPr>
        <w:pStyle w:val="TextBody"/>
        <w:bidi w:val="0"/>
        <w:jc w:val="left"/>
        <w:rPr>
          <w:rFonts w:ascii="Times New Roman" w:hAnsi="Times New Roman"/>
          <w:sz w:val="20"/>
        </w:rPr>
      </w:pPr>
      <w:r>
        <w:rPr>
          <w:rFonts w:ascii="Arial" w:hAnsi="Arial"/>
          <w:color w:val="000000"/>
          <w:sz w:val="12"/>
        </w:rPr>
        <w:t xml:space="preserve">* </w:t>
      </w:r>
      <w:r>
        <w:rPr>
          <w:rFonts w:ascii="Arial" w:hAnsi="Arial"/>
          <w:color w:val="1D1C1D"/>
          <w:sz w:val="12"/>
        </w:rPr>
        <w:t>All dollar amounts are rounded and as a result, certain amounts may not recalculate using the rounded amounts provided.</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1" w:name="condensed_cash_flows"/>
      <w:bookmarkEnd w:id="11"/>
      <w:r>
        <w:rPr>
          <w:rFonts w:ascii="Arial" w:hAnsi="Arial"/>
          <w:b/>
          <w:color w:val="000000"/>
          <w:sz w:val="20"/>
        </w:rPr>
        <w:t>CONDENSED CONSOLIDATED STATEMENT OF CASH FLOWS</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Arial" w:hAnsi="Arial"/>
          <w:color w:val="000000"/>
          <w:sz w:val="20"/>
        </w:rPr>
        <w:t>(Unaudited) (Amounts in thousands)</w:t>
      </w:r>
      <w:r>
        <w:rPr>
          <w:rFonts w:ascii="Times New Roman" w:hAnsi="Times New Roman"/>
          <w:color w:val="000000"/>
          <w:sz w:val="20"/>
        </w:rPr>
        <w:t xml:space="preserve"> </w:t>
      </w:r>
    </w:p>
    <w:tbl>
      <w:tblPr>
        <w:tblW w:w="9521" w:type="dxa"/>
        <w:jc w:val="left"/>
        <w:tblInd w:w="0" w:type="dxa"/>
        <w:tblLayout w:type="fixed"/>
        <w:tblCellMar>
          <w:top w:w="28" w:type="dxa"/>
          <w:left w:w="28" w:type="dxa"/>
          <w:bottom w:w="28" w:type="dxa"/>
          <w:right w:w="28" w:type="dxa"/>
        </w:tblCellMar>
      </w:tblPr>
      <w:tblGrid>
        <w:gridCol w:w="6316"/>
        <w:gridCol w:w="146"/>
        <w:gridCol w:w="228"/>
        <w:gridCol w:w="910"/>
        <w:gridCol w:w="179"/>
        <w:gridCol w:w="158"/>
        <w:gridCol w:w="228"/>
        <w:gridCol w:w="845"/>
        <w:gridCol w:w="5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18,218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14,842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uncollectible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Non-cash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Changes in operating assets and liabilities, net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receivable from payment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25,873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37,714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other current assets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(9,151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payable to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(111,175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(86,810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(78,890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(38,093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Acquisitions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(319,835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short-term and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(15,252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maturity and sale of short-term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98,712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Capitalization of internally developed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(237,872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long-term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of tax withholdings for net settled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(49,304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(304,735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495,242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654,608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190,507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619,014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disclosures of cash flow and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property and equipment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upon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19,883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for retention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excise tax related to 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pPr>
      <w:r>
        <w:rPr/>
        <w:t> </w:t>
      </w:r>
    </w:p>
    <w:p>
      <w:pPr>
        <w:pStyle w:val="TextBody"/>
        <w:bidi w:val="0"/>
        <w:spacing w:before="0" w:after="200"/>
        <w:jc w:val="center"/>
        <w:rPr>
          <w:rFonts w:ascii="Times New Roman" w:hAnsi="Times New Roman"/>
          <w:sz w:val="20"/>
        </w:rPr>
      </w:pPr>
      <w:r>
        <w:rPr>
          <w:rFonts w:ascii="Arial" w:hAnsi="Arial"/>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2" w:name="nots_to_condensed"/>
      <w:bookmarkEnd w:id="12"/>
      <w:r>
        <w:rPr>
          <w:rFonts w:ascii="Arial" w:hAnsi="Arial"/>
          <w:b/>
          <w:color w:val="000000"/>
          <w:sz w:val="20"/>
        </w:rPr>
        <w:t>NOTES TO CONDENSED CONSOLID</w:t>
      </w:r>
      <w:bookmarkStart w:id="13" w:name="notes_to_condensed_consolidated_financia"/>
      <w:bookmarkEnd w:id="13"/>
      <w:r>
        <w:rPr>
          <w:rFonts w:ascii="Arial" w:hAnsi="Arial"/>
          <w:b/>
          <w:color w:val="000000"/>
          <w:sz w:val="20"/>
        </w:rPr>
        <w:t>ATED FINANCIAL STATEMENTS</w:t>
      </w:r>
      <w:r>
        <w:rPr>
          <w:rFonts w:ascii="Times New Roman" w:hAnsi="Times New Roman"/>
          <w:color w:val="000000"/>
          <w:sz w:val="20"/>
        </w:rPr>
        <w:t xml:space="preserve"> </w:t>
      </w:r>
    </w:p>
    <w:p>
      <w:pPr>
        <w:pStyle w:val="TextBody"/>
        <w:bidi w:val="0"/>
        <w:spacing w:before="0" w:after="360"/>
        <w:jc w:val="center"/>
        <w:rPr>
          <w:rFonts w:ascii="Times New Roman" w:hAnsi="Times New Roman"/>
          <w:sz w:val="20"/>
        </w:rPr>
      </w:pPr>
      <w:r>
        <w:rPr>
          <w:rFonts w:ascii="Arial" w:hAnsi="Arial"/>
          <w:color w:val="000000"/>
          <w:sz w:val="20"/>
        </w:rPr>
        <w:t>(Unaudited)</w:t>
      </w:r>
      <w:r>
        <w:rPr>
          <w:rFonts w:ascii="Times New Roman" w:hAnsi="Times New Roman"/>
          <w:color w:val="000000"/>
          <w:sz w:val="20"/>
        </w:rPr>
        <w:t xml:space="preserve"> </w:t>
      </w:r>
    </w:p>
    <w:p>
      <w:pPr>
        <w:pStyle w:val="TextBody"/>
        <w:bidi w:val="0"/>
        <w:jc w:val="left"/>
        <w:rPr>
          <w:rFonts w:ascii="Times New Roman" w:hAnsi="Times New Roman"/>
          <w:sz w:val="20"/>
        </w:rPr>
      </w:pPr>
      <w:bookmarkStart w:id="14" w:name="note_1"/>
      <w:bookmarkEnd w:id="14"/>
      <w:r>
        <w:rPr>
          <w:rFonts w:ascii="Arial" w:hAnsi="Arial"/>
          <w:b/>
          <w:color w:val="000000"/>
          <w:sz w:val="20"/>
        </w:rPr>
        <w:t>Note 1. Business Overview and Summary of Significant Accounting Policies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pStyle w:val="TextBody"/>
        <w:bidi w:val="0"/>
        <w:spacing w:before="0" w:after="200"/>
        <w:jc w:val="left"/>
        <w:rPr>
          <w:rFonts w:ascii="Arial" w:hAnsi="Arial"/>
          <w:color w:val="000000"/>
          <w:sz w:val="20"/>
        </w:rPr>
      </w:pPr>
      <w:r>
        <w:rPr>
          <w:rFonts w:ascii="Arial" w:hAnsi="Arial"/>
          <w:color w:val="000000"/>
          <w:sz w:val="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pStyle w:val="TextBody"/>
        <w:bidi w:val="0"/>
        <w:spacing w:before="0" w:after="200"/>
        <w:jc w:val="left"/>
        <w:rPr>
          <w:rFonts w:ascii="Arial" w:hAnsi="Arial"/>
          <w:b/>
          <w:i/>
          <w:color w:val="000000"/>
          <w:sz w:val="20"/>
        </w:rPr>
      </w:pPr>
      <w:r>
        <w:rPr>
          <w:rFonts w:ascii="Arial" w:hAnsi="Arial"/>
          <w:b/>
          <w:i/>
          <w:color w:val="000000"/>
          <w:sz w:val="20"/>
        </w:rPr>
        <w:t>2023 Follow-On Public Offering</w:t>
      </w:r>
    </w:p>
    <w:p>
      <w:pPr>
        <w:pStyle w:val="TextBody"/>
        <w:bidi w:val="0"/>
        <w:spacing w:before="0" w:after="200"/>
        <w:jc w:val="left"/>
        <w:rPr>
          <w:rFonts w:ascii="Times New Roman" w:hAnsi="Times New Roman"/>
          <w:sz w:val="20"/>
        </w:rPr>
      </w:pPr>
      <w:r>
        <w:rPr>
          <w:rFonts w:ascii="Arial" w:hAnsi="Arial"/>
          <w:color w:val="000000"/>
          <w:sz w:val="20"/>
        </w:rPr>
        <w:t>On August 9, 2023, the Company entered into an Underwriting Agreement with Goldman Sachs &amp; Co. LLC, as the representative of the several Underwriters, in connection with the offer and sale of 8,000,000</w:t>
      </w:r>
      <w:r>
        <w:rPr>
          <w:rFonts w:ascii="Times New Roman" w:hAnsi="Times New Roman"/>
          <w:color w:val="000000"/>
          <w:sz w:val="20"/>
        </w:rPr>
        <w:t xml:space="preserve"> </w:t>
      </w:r>
      <w:r>
        <w:rPr>
          <w:rFonts w:ascii="Arial" w:hAnsi="Arial"/>
          <w:color w:val="000000"/>
          <w:sz w:val="20"/>
        </w:rPr>
        <w:t>shares of voting common stock, at a price to the public of $32.00</w:t>
      </w:r>
      <w:r>
        <w:rPr>
          <w:rFonts w:ascii="Times New Roman" w:hAnsi="Times New Roman"/>
          <w:color w:val="000000"/>
          <w:sz w:val="20"/>
        </w:rPr>
        <w:t xml:space="preserve"> </w:t>
      </w:r>
      <w:r>
        <w:rPr>
          <w:rFonts w:ascii="Arial" w:hAnsi="Arial"/>
          <w:color w:val="000000"/>
          <w:sz w:val="20"/>
        </w:rPr>
        <w:t>per share (the Primary Offering). In addition, pursuant to the terms of the Underwriting Agreement, the Company granted the Underwriters an option to purchase up to 1,200,000</w:t>
      </w:r>
      <w:r>
        <w:rPr>
          <w:rFonts w:ascii="Times New Roman" w:hAnsi="Times New Roman"/>
          <w:color w:val="000000"/>
          <w:sz w:val="20"/>
        </w:rPr>
        <w:t xml:space="preserve"> </w:t>
      </w:r>
      <w:r>
        <w:rPr>
          <w:rFonts w:ascii="Arial" w:hAnsi="Arial"/>
          <w:color w:val="000000"/>
          <w:sz w:val="20"/>
        </w:rPr>
        <w:t>additional shares of common stock (the Option).</w:t>
      </w:r>
    </w:p>
    <w:p>
      <w:pPr>
        <w:pStyle w:val="TextBody"/>
        <w:bidi w:val="0"/>
        <w:spacing w:before="0" w:after="200"/>
        <w:jc w:val="left"/>
        <w:rPr>
          <w:rFonts w:ascii="Times New Roman" w:hAnsi="Times New Roman"/>
          <w:sz w:val="20"/>
        </w:rPr>
      </w:pPr>
      <w:r>
        <w:rPr>
          <w:rFonts w:ascii="Arial" w:hAnsi="Arial"/>
          <w:color w:val="000000"/>
          <w:sz w:val="20"/>
        </w:rPr>
        <w:t>The Primary Offering closed on August 14, 2023 and on September 12, 2023, the Underwriters exercised the Option in part and purchased an additional 500,000</w:t>
      </w:r>
      <w:r>
        <w:rPr>
          <w:rFonts w:ascii="Times New Roman" w:hAnsi="Times New Roman"/>
          <w:color w:val="000000"/>
          <w:sz w:val="20"/>
        </w:rPr>
        <w:t xml:space="preserve"> </w:t>
      </w:r>
      <w:r>
        <w:rPr>
          <w:rFonts w:ascii="Arial" w:hAnsi="Arial"/>
          <w:color w:val="000000"/>
          <w:sz w:val="20"/>
        </w:rPr>
        <w:t>shares of voting common stock at a price to the public of $32.00</w:t>
      </w:r>
      <w:r>
        <w:rPr>
          <w:rFonts w:ascii="Times New Roman" w:hAnsi="Times New Roman"/>
          <w:color w:val="000000"/>
          <w:sz w:val="20"/>
        </w:rPr>
        <w:t xml:space="preserve"> </w:t>
      </w:r>
      <w:r>
        <w:rPr>
          <w:rFonts w:ascii="Arial" w:hAnsi="Arial"/>
          <w:color w:val="000000"/>
          <w:sz w:val="20"/>
        </w:rPr>
        <w:t>per share (the Public Offering). The Company received $260.1</w:t>
      </w:r>
      <w:r>
        <w:rPr>
          <w:rFonts w:ascii="Times New Roman" w:hAnsi="Times New Roman"/>
          <w:color w:val="000000"/>
          <w:sz w:val="20"/>
        </w:rPr>
        <w:t xml:space="preserve"> </w:t>
      </w:r>
      <w:r>
        <w:rPr>
          <w:rFonts w:ascii="Arial" w:hAnsi="Arial"/>
          <w:color w:val="000000"/>
          <w:sz w:val="20"/>
        </w:rPr>
        <w:t>million in net proceeds from the Public Offering, after deducting underwriting discounts and commissions of $10.9</w:t>
      </w:r>
      <w:r>
        <w:rPr>
          <w:rFonts w:ascii="Times New Roman" w:hAnsi="Times New Roman"/>
          <w:color w:val="000000"/>
          <w:sz w:val="20"/>
        </w:rPr>
        <w:t xml:space="preserve"> </w:t>
      </w:r>
      <w:r>
        <w:rPr>
          <w:rFonts w:ascii="Arial" w:hAnsi="Arial"/>
          <w:color w:val="000000"/>
          <w:sz w:val="20"/>
        </w:rPr>
        <w:t>million and other offering costs of $1.1</w:t>
      </w:r>
      <w:r>
        <w:rPr>
          <w:rFonts w:ascii="Times New Roman" w:hAnsi="Times New Roman"/>
          <w:color w:val="000000"/>
          <w:sz w:val="20"/>
        </w:rPr>
        <w:t xml:space="preserve"> </w:t>
      </w:r>
      <w:r>
        <w:rPr>
          <w:rFonts w:ascii="Arial" w:hAnsi="Arial"/>
          <w:color w:val="000000"/>
          <w:sz w:val="20"/>
        </w:rPr>
        <w:t>million. The Company has used the net proceeds from the Public Offering for general corporate purposes and to fund acquisitions.</w:t>
      </w:r>
    </w:p>
    <w:p>
      <w:pPr>
        <w:pStyle w:val="TextBody"/>
        <w:bidi w:val="0"/>
        <w:spacing w:before="0" w:after="200"/>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0" w:after="200"/>
        <w:jc w:val="left"/>
        <w:rPr>
          <w:rFonts w:ascii="Arial" w:hAnsi="Arial"/>
          <w:color w:val="000000"/>
          <w:sz w:val="20"/>
        </w:rPr>
      </w:pPr>
      <w:r>
        <w:rPr>
          <w:rFonts w:ascii="Arial" w:hAnsi="Arial"/>
          <w:color w:val="000000"/>
          <w:sz w:val="20"/>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income (loss), changes in stockholders’ equity, and its cash flows for the periods presented.</w:t>
      </w:r>
    </w:p>
    <w:p>
      <w:pPr>
        <w:pStyle w:val="TextBody"/>
        <w:bidi w:val="0"/>
        <w:spacing w:before="0" w:after="200"/>
        <w:jc w:val="left"/>
        <w:rPr>
          <w:rFonts w:ascii="Times New Roman" w:hAnsi="Times New Roman"/>
          <w:sz w:val="20"/>
        </w:rPr>
      </w:pPr>
      <w:r>
        <w:rPr>
          <w:rFonts w:ascii="Arial" w:hAnsi="Arial"/>
          <w:color w:val="000000"/>
          <w:sz w:val="20"/>
        </w:rPr>
        <w:t>The results of operations for the three months ended March 31, 2025, are not necessarily indicative of results to be expected for the year ended December 31, 2025, any other interim periods or any future year or period. The accompanying consolidated balance sheet as of December 31, 2024 was derived from the Company’s audited consolidated financial statements for the year ended December 31, 2024. Certain information and note disclosures normally included in the annual consolidated financial statements prepared in accordance with GAAP have been condensed or omitted from the interim unaudited condensed consolidated financial statements.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These condensed consolidated financial statements should be read in conjunction with the audited consolidated financial statements and notes included in the Company’s Annual Report on Form 10-K for the year ended December 31, 2024.</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condensed consolidated financial statements include the accounts of Flywire and its wholly owned subsidiaries. All intercompany accounts and transactions have been eliminated upon consolidation.</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Segment Information</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Company has a single</w:t>
      </w:r>
      <w:r>
        <w:rPr>
          <w:rFonts w:ascii="Times New Roman" w:hAnsi="Times New Roman"/>
          <w:color w:val="000000"/>
          <w:sz w:val="20"/>
        </w:rPr>
        <w:t xml:space="preserve"> </w:t>
      </w:r>
      <w:r>
        <w:rPr>
          <w:rFonts w:ascii="Arial" w:hAnsi="Arial"/>
          <w:color w:val="000000"/>
          <w:sz w:val="20"/>
        </w:rPr>
        <w:t>operating and reportable segment. See Note 3 – Segment Information for additional details regarding the Company's significant segment expenses.</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unbilled receivables and available-for-sale debt securities, the assessment of other-than-temporary impairment of available-for-sale debt securities,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r>
        <w:rPr>
          <w:rFonts w:ascii="Times New Roman" w:hAnsi="Times New Roman"/>
          <w:color w:val="000000"/>
          <w:sz w:val="20"/>
        </w:rPr>
        <w:t xml:space="preserve"> </w:t>
      </w:r>
    </w:p>
    <w:p>
      <w:pPr>
        <w:pStyle w:val="TextBody"/>
        <w:bidi w:val="0"/>
        <w:spacing w:before="0" w:after="200"/>
        <w:jc w:val="left"/>
        <w:rPr>
          <w:rFonts w:ascii="Arial" w:hAnsi="Arial"/>
          <w:b/>
          <w:i/>
          <w:color w:val="000000"/>
          <w:sz w:val="20"/>
        </w:rPr>
      </w:pPr>
      <w:r>
        <w:rPr>
          <w:rFonts w:ascii="Arial" w:hAnsi="Arial"/>
          <w:b/>
          <w:i/>
          <w:color w:val="000000"/>
          <w:sz w:val="20"/>
        </w:rPr>
        <w:t>Impact of Inflation</w:t>
      </w:r>
    </w:p>
    <w:p>
      <w:pPr>
        <w:pStyle w:val="TextBody"/>
        <w:bidi w:val="0"/>
        <w:spacing w:before="0" w:after="200"/>
        <w:jc w:val="left"/>
        <w:rPr>
          <w:rFonts w:ascii="Arial" w:hAnsi="Arial"/>
          <w:color w:val="000000"/>
          <w:sz w:val="20"/>
        </w:rPr>
      </w:pPr>
      <w:r>
        <w:rPr>
          <w:rFonts w:ascii="Arial" w:hAnsi="Arial"/>
          <w:color w:val="000000"/>
          <w:sz w:val="20"/>
        </w:rPr>
        <w:t>Inflation did not have a material effect on the Company's cash flows and results of operations during the three months ended March 31, 2025.</w:t>
      </w:r>
    </w:p>
    <w:p>
      <w:pPr>
        <w:pStyle w:val="TextBody"/>
        <w:bidi w:val="0"/>
        <w:spacing w:before="0" w:after="200"/>
        <w:jc w:val="left"/>
        <w:rPr>
          <w:rFonts w:ascii="Times New Roman" w:hAnsi="Times New Roman"/>
          <w:sz w:val="20"/>
        </w:rPr>
      </w:pPr>
      <w:r>
        <w:rPr>
          <w:rFonts w:ascii="Arial" w:hAnsi="Arial"/>
          <w:b/>
          <w:i/>
          <w:color w:val="000000"/>
          <w:sz w:val="20"/>
        </w:rPr>
        <w:t>Concentrations of Credit Risk, Financial Instruments and Significant Clients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Financial instruments that potentially subject the Company to concentration of credit risk consists principally of cash, cash equivalents, investments in available-for-sale debt securities, accounts receivable, unbilled receivables and funds receivable from payment partners.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Company maintains its cash and cash equivalents with financial institutions that management believes are of high credit quality. Our cash equivalents include money market funds, which are AAA-rated and comprised of liquid, high 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our concentration in government money market funds.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To manage credit risk associated with investments in available-for-sale debt securities, the Company monitors credit ratings of the issuers of the securities and diversifies its investments by limiting its holding in any one security or issuer.</w:t>
      </w:r>
    </w:p>
    <w:p>
      <w:pPr>
        <w:pStyle w:val="TextBody"/>
        <w:bidi w:val="0"/>
        <w:spacing w:before="0" w:after="200"/>
        <w:jc w:val="left"/>
        <w:rPr>
          <w:rFonts w:ascii="Arial" w:hAnsi="Arial"/>
          <w:color w:val="000000"/>
          <w:sz w:val="20"/>
        </w:rPr>
      </w:pPr>
      <w:r>
        <w:rPr>
          <w:rFonts w:ascii="Arial" w:hAnsi="Arial"/>
          <w:color w:val="000000"/>
          <w:sz w:val="20"/>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months ended March 31, 2025 and 2024.</w:t>
      </w:r>
    </w:p>
    <w:p>
      <w:pPr>
        <w:pStyle w:val="TextBody"/>
        <w:bidi w:val="0"/>
        <w:spacing w:before="0" w:after="200"/>
        <w:jc w:val="left"/>
        <w:rPr>
          <w:rFonts w:ascii="Arial" w:hAnsi="Arial"/>
          <w:color w:val="000000"/>
          <w:sz w:val="20"/>
        </w:rPr>
      </w:pPr>
      <w:r>
        <w:rPr>
          <w:rFonts w:ascii="Arial" w:hAnsi="Arial"/>
          <w:color w:val="000000"/>
          <w:sz w:val="20"/>
        </w:rPr>
        <w:t>Accounts receivable are derived from revenue earned from clients located in the U.S. and internationally. There were no clients that represented 10% or more of the accounts receivable balance at March 31, 2025 or December 31, 2024.</w:t>
      </w:r>
    </w:p>
    <w:p>
      <w:pPr>
        <w:pStyle w:val="TextBody"/>
        <w:bidi w:val="0"/>
        <w:spacing w:before="0" w:after="200"/>
        <w:jc w:val="left"/>
        <w:rPr>
          <w:rFonts w:ascii="Times New Roman" w:hAnsi="Times New Roman"/>
          <w:sz w:val="20"/>
        </w:rPr>
      </w:pPr>
      <w:r>
        <w:rPr>
          <w:rFonts w:ascii="Arial" w:hAnsi="Arial"/>
          <w:color w:val="000000"/>
          <w:sz w:val="20"/>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r>
        <w:rPr>
          <w:rFonts w:ascii="Times New Roman" w:hAnsi="Times New Roman"/>
          <w:color w:val="000000"/>
          <w:sz w:val="20"/>
        </w:rPr>
        <w:t xml:space="preserve"> </w:t>
      </w:r>
    </w:p>
    <w:tbl>
      <w:tblPr>
        <w:tblW w:w="3880" w:type="dxa"/>
        <w:jc w:val="left"/>
        <w:tblInd w:w="0" w:type="dxa"/>
        <w:tblLayout w:type="fixed"/>
        <w:tblCellMar>
          <w:top w:w="28" w:type="dxa"/>
          <w:left w:w="28" w:type="dxa"/>
          <w:bottom w:w="28" w:type="dxa"/>
          <w:right w:w="28" w:type="dxa"/>
        </w:tblCellMar>
      </w:tblPr>
      <w:tblGrid>
        <w:gridCol w:w="946"/>
        <w:gridCol w:w="146"/>
        <w:gridCol w:w="270"/>
        <w:gridCol w:w="585"/>
        <w:gridCol w:w="286"/>
        <w:gridCol w:w="146"/>
        <w:gridCol w:w="369"/>
        <w:gridCol w:w="801"/>
        <w:gridCol w:w="33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rFonts w:ascii="Arial" w:hAnsi="Arial"/>
          <w:color w:val="000000"/>
          <w:sz w:val="16"/>
        </w:rPr>
      </w:pPr>
      <w:r>
        <w:rPr>
          <w:rFonts w:ascii="Arial" w:hAnsi="Arial"/>
          <w:color w:val="000000"/>
          <w:sz w:val="16"/>
        </w:rPr>
        <w:t>______________________</w:t>
      </w:r>
    </w:p>
    <w:p>
      <w:pPr>
        <w:pStyle w:val="TextBody"/>
        <w:bidi w:val="0"/>
        <w:jc w:val="left"/>
        <w:rPr>
          <w:rFonts w:ascii="Times New Roman" w:hAnsi="Times New Roman"/>
          <w:sz w:val="20"/>
        </w:rPr>
      </w:pPr>
      <w:r>
        <w:rPr>
          <w:rFonts w:ascii="Arial" w:hAnsi="Arial"/>
          <w:color w:val="000000"/>
          <w:sz w:val="16"/>
        </w:rPr>
        <w:t>* Less than 10% of total balance.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During the three months ended March 31, 2025 and 2024, no client accounted for 10% or more of total revenue.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Summary of Significant Accounting Policies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 xml:space="preserve">The Company’s significant accounting policies are discussed in </w:t>
      </w:r>
      <w:r>
        <w:rPr>
          <w:rFonts w:ascii="Arial" w:hAnsi="Arial"/>
          <w:i/>
          <w:color w:val="000000"/>
          <w:sz w:val="20"/>
        </w:rPr>
        <w:t>Note 1 - Business Overview and Summary of Significant Accounting Policies</w:t>
      </w:r>
      <w:r>
        <w:rPr>
          <w:rFonts w:ascii="Times New Roman" w:hAnsi="Times New Roman"/>
          <w:color w:val="000000"/>
          <w:sz w:val="20"/>
        </w:rPr>
        <w:t xml:space="preserve"> </w:t>
      </w:r>
      <w:r>
        <w:rPr>
          <w:rFonts w:ascii="Arial" w:hAnsi="Arial"/>
          <w:color w:val="000000"/>
          <w:sz w:val="20"/>
        </w:rPr>
        <w:t>in the notes to the audited consolidated financial statements in the Company’s Annual Report on Form 10-K for the year ended December 31, 2024.</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Advertising Costs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Advertising costs are expensed as incurred and are included in selling and marketing expenses in the condensed consolidated statements of operations and comprehensive loss. Advertising expenses for the three months ended March 31, 2025 and 2024</w:t>
      </w:r>
      <w:r>
        <w:rPr>
          <w:rFonts w:ascii="Times New Roman" w:hAnsi="Times New Roman"/>
          <w:color w:val="000000"/>
          <w:sz w:val="20"/>
        </w:rPr>
        <w:t xml:space="preserve"> </w:t>
      </w:r>
      <w:r>
        <w:rPr>
          <w:rFonts w:ascii="Arial" w:hAnsi="Arial"/>
          <w:color w:val="000000"/>
          <w:sz w:val="20"/>
        </w:rPr>
        <w:t>were $1.8</w:t>
      </w:r>
      <w:r>
        <w:rPr>
          <w:rFonts w:ascii="Times New Roman" w:hAnsi="Times New Roman"/>
          <w:color w:val="000000"/>
          <w:sz w:val="20"/>
        </w:rPr>
        <w:t xml:space="preserve"> </w:t>
      </w:r>
      <w:r>
        <w:rPr>
          <w:rFonts w:ascii="Arial" w:hAnsi="Arial"/>
          <w:color w:val="000000"/>
          <w:sz w:val="20"/>
        </w:rPr>
        <w:t>million and $1.6</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Recently Adopted Accounting Pronouncements</w:t>
      </w:r>
    </w:p>
    <w:p>
      <w:pPr>
        <w:pStyle w:val="TextBody"/>
        <w:bidi w:val="0"/>
        <w:spacing w:before="200" w:after="200"/>
        <w:jc w:val="left"/>
        <w:rPr>
          <w:rFonts w:ascii="Arial" w:hAnsi="Arial"/>
          <w:color w:val="000000"/>
          <w:sz w:val="20"/>
        </w:rPr>
      </w:pPr>
      <w:r>
        <w:rPr>
          <w:rFonts w:ascii="Arial" w:hAnsi="Arial"/>
          <w:color w:val="000000"/>
          <w:sz w:val="20"/>
        </w:rPr>
        <w:t>There were no recent accounting pronouncements adopted by Flywire during the quarter ended March 31, 2025.</w:t>
      </w:r>
    </w:p>
    <w:p>
      <w:pPr>
        <w:pStyle w:val="TextBody"/>
        <w:bidi w:val="0"/>
        <w:spacing w:before="0" w:after="200"/>
        <w:jc w:val="left"/>
        <w:rPr>
          <w:rFonts w:ascii="Arial" w:hAnsi="Arial"/>
          <w:b/>
          <w:i/>
          <w:color w:val="000000"/>
          <w:sz w:val="20"/>
        </w:rPr>
      </w:pPr>
      <w:r>
        <w:rPr>
          <w:rFonts w:ascii="Arial" w:hAnsi="Arial"/>
          <w:b/>
          <w:i/>
          <w:color w:val="000000"/>
          <w:sz w:val="20"/>
        </w:rPr>
        <w:t>Accounting Pronouncements Not Yet Adopted</w:t>
      </w:r>
    </w:p>
    <w:p>
      <w:pPr>
        <w:pStyle w:val="TextBody"/>
        <w:bidi w:val="0"/>
        <w:spacing w:before="0" w:after="200"/>
        <w:jc w:val="left"/>
        <w:rPr>
          <w:rFonts w:ascii="Times New Roman" w:hAnsi="Times New Roman"/>
          <w:sz w:val="20"/>
        </w:rPr>
      </w:pPr>
      <w:r>
        <w:rPr>
          <w:rFonts w:ascii="Arial" w:hAnsi="Arial"/>
          <w:color w:val="000000"/>
          <w:sz w:val="20"/>
        </w:rPr>
        <w:t>The following Accounting Standards Updates (ASUs)</w:t>
      </w:r>
      <w:r>
        <w:rPr>
          <w:rFonts w:ascii="Times New Roman" w:hAnsi="Times New Roman"/>
          <w:color w:val="000000"/>
          <w:sz w:val="20"/>
        </w:rPr>
        <w:t xml:space="preserve"> </w:t>
      </w:r>
      <w:r>
        <w:rPr>
          <w:rFonts w:ascii="Arial" w:hAnsi="Arial"/>
          <w:color w:val="000000"/>
          <w:sz w:val="20"/>
        </w:rPr>
        <w:t>were issued by the Financial Accounting Standards Board but not yet adopted by Flywire as of March 31, 2025:</w:t>
      </w:r>
    </w:p>
    <w:p>
      <w:pPr>
        <w:pStyle w:val="TextBody"/>
        <w:bidi w:val="0"/>
        <w:spacing w:before="0" w:after="200"/>
        <w:jc w:val="left"/>
        <w:rPr>
          <w:rFonts w:ascii="Times New Roman" w:hAnsi="Times New Roman"/>
          <w:sz w:val="20"/>
        </w:rPr>
      </w:pPr>
      <w:r>
        <w:rPr>
          <w:rFonts w:ascii="Arial" w:hAnsi="Arial"/>
          <w:color w:val="000000"/>
          <w:sz w:val="20"/>
        </w:rPr>
        <w:t xml:space="preserve">ASU 2023-09, </w:t>
      </w:r>
      <w:r>
        <w:rPr>
          <w:rFonts w:ascii="Arial" w:hAnsi="Arial"/>
          <w:i/>
          <w:color w:val="000000"/>
          <w:sz w:val="20"/>
        </w:rPr>
        <w:t>Income Taxes (Topic 740): Improvements to Income Tax Disclosures:</w:t>
      </w:r>
      <w:r>
        <w:rPr>
          <w:rFonts w:ascii="Times New Roman" w:hAnsi="Times New Roman"/>
          <w:color w:val="000000"/>
          <w:sz w:val="20"/>
        </w:rPr>
        <w:t xml:space="preserve"> </w:t>
      </w:r>
      <w:r>
        <w:rPr>
          <w:rFonts w:ascii="Arial" w:hAnsi="Arial"/>
          <w:color w:val="000000"/>
          <w:sz w:val="20"/>
        </w:rPr>
        <w:t>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ASU 2023-09 should be applied on a prospective basis. However, companies have the option to apply the standard retrospectively. The Company is currently evaluating the impact of this standard on its consolidated financial statements and disclosures.</w:t>
      </w:r>
    </w:p>
    <w:p>
      <w:pPr>
        <w:pStyle w:val="TextBody"/>
        <w:bidi w:val="0"/>
        <w:spacing w:before="0" w:after="200"/>
        <w:jc w:val="left"/>
        <w:rPr>
          <w:rFonts w:ascii="Times New Roman" w:hAnsi="Times New Roman"/>
          <w:sz w:val="20"/>
        </w:rPr>
      </w:pPr>
      <w:r>
        <w:rPr>
          <w:rFonts w:ascii="Arial" w:hAnsi="Arial"/>
          <w:color w:val="000000"/>
          <w:sz w:val="20"/>
        </w:rPr>
        <w:t xml:space="preserve">ASU 2024-03, </w:t>
      </w:r>
      <w:r>
        <w:rPr>
          <w:rFonts w:ascii="Arial" w:hAnsi="Arial"/>
          <w:i/>
          <w:color w:val="000000"/>
          <w:sz w:val="20"/>
        </w:rPr>
        <w:t xml:space="preserve">Income Statement - Reporting Comprehensive Income - Expense Disaggregation Disclosures (Subtopic 220-40): Disaggregation of Income Statement Expenses: </w:t>
      </w:r>
      <w:r>
        <w:rPr>
          <w:rFonts w:ascii="Arial" w:hAnsi="Arial"/>
          <w:color w:val="000000"/>
          <w:sz w:val="20"/>
        </w:rPr>
        <w:t>ASU 2024-03 is intended to improve the disclosures of expenses by providing more detailed 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2024-03 is effective for the Company for the annual period beginning on January 1, 2027, and interim reporting periods within annual reporting periods beginning January 1, 2028. The Company is currently evaluating the impact of this standard on its consolidated financial statements and disclosures.</w:t>
      </w:r>
    </w:p>
    <w:p>
      <w:pPr>
        <w:pStyle w:val="TextBody"/>
        <w:bidi w:val="0"/>
        <w:spacing w:before="160" w:after="283"/>
        <w:jc w:val="left"/>
        <w:rPr>
          <w:rFonts w:ascii="Times New Roman" w:hAnsi="Times New Roman"/>
          <w:sz w:val="20"/>
        </w:rPr>
      </w:pPr>
      <w:bookmarkStart w:id="15" w:name="note_2"/>
      <w:bookmarkEnd w:id="15"/>
      <w:r>
        <w:rPr>
          <w:rFonts w:ascii="Arial" w:hAnsi="Arial"/>
          <w:b/>
          <w:color w:val="000000"/>
          <w:sz w:val="20"/>
        </w:rPr>
        <w:t>Note 2. Revenue and Recognition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following table presents revenue disaggregated by geographical area and major solutions. The categorization of revenue by geographical location is determined based on the location of where the client resides.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091" w:type="dxa"/>
        <w:jc w:val="left"/>
        <w:tblInd w:w="0" w:type="dxa"/>
        <w:tblLayout w:type="fixed"/>
        <w:tblCellMar>
          <w:top w:w="28" w:type="dxa"/>
          <w:left w:w="28" w:type="dxa"/>
          <w:bottom w:w="28" w:type="dxa"/>
          <w:right w:w="28" w:type="dxa"/>
        </w:tblCellMar>
      </w:tblPr>
      <w:tblGrid>
        <w:gridCol w:w="2926"/>
        <w:gridCol w:w="146"/>
        <w:gridCol w:w="233"/>
        <w:gridCol w:w="880"/>
        <w:gridCol w:w="161"/>
        <w:gridCol w:w="161"/>
        <w:gridCol w:w="233"/>
        <w:gridCol w:w="880"/>
        <w:gridCol w:w="47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Primary geographical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63,382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57,866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47,448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36,160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22,622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20,077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133,452</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114,103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Major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108,490</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95,200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Platform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24,962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133,452</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114,103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b/>
          <w:i/>
          <w:color w:val="000000"/>
          <w:sz w:val="20"/>
        </w:rPr>
      </w:pPr>
      <w:r>
        <w:rPr>
          <w:rFonts w:ascii="Arial" w:hAnsi="Arial"/>
          <w:b/>
          <w:i/>
          <w:color w:val="000000"/>
          <w:sz w:val="20"/>
        </w:rPr>
        <w:t>Contract Balances from Contracts with Clients</w:t>
      </w:r>
    </w:p>
    <w:p>
      <w:pPr>
        <w:pStyle w:val="TextBody"/>
        <w:bidi w:val="0"/>
        <w:spacing w:before="0" w:after="200"/>
        <w:jc w:val="left"/>
        <w:rPr>
          <w:rFonts w:ascii="Times New Roman" w:hAnsi="Times New Roman"/>
          <w:sz w:val="20"/>
        </w:rPr>
      </w:pPr>
      <w:r>
        <w:rPr>
          <w:rFonts w:ascii="Arial" w:hAnsi="Arial"/>
          <w:color w:val="000000"/>
          <w:sz w:val="20"/>
        </w:rPr>
        <w:t>The following table provides information about accounts receivable, unbilled receivables and deferred revenue from contracts with clients (in thousands):</w:t>
      </w:r>
      <w:r>
        <w:rPr>
          <w:rFonts w:ascii="Times New Roman" w:hAnsi="Times New Roman"/>
          <w:color w:val="000000"/>
          <w:sz w:val="20"/>
        </w:rPr>
        <w:t xml:space="preserve"> </w:t>
      </w:r>
    </w:p>
    <w:tbl>
      <w:tblPr>
        <w:tblW w:w="5507" w:type="dxa"/>
        <w:jc w:val="left"/>
        <w:tblInd w:w="0" w:type="dxa"/>
        <w:tblLayout w:type="fixed"/>
        <w:tblCellMar>
          <w:top w:w="28" w:type="dxa"/>
          <w:left w:w="28" w:type="dxa"/>
          <w:bottom w:w="28" w:type="dxa"/>
          <w:right w:w="28" w:type="dxa"/>
        </w:tblCellMar>
      </w:tblPr>
      <w:tblGrid>
        <w:gridCol w:w="2806"/>
        <w:gridCol w:w="146"/>
        <w:gridCol w:w="211"/>
        <w:gridCol w:w="691"/>
        <w:gridCol w:w="146"/>
        <w:gridCol w:w="146"/>
        <w:gridCol w:w="273"/>
        <w:gridCol w:w="897"/>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Unbilled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For the three months ended March 31, 2025 and 2024, the Company recognized $3.2</w:t>
      </w:r>
      <w:r>
        <w:rPr>
          <w:rFonts w:ascii="Times New Roman" w:hAnsi="Times New Roman"/>
          <w:color w:val="000000"/>
          <w:sz w:val="20"/>
        </w:rPr>
        <w:t xml:space="preserve"> </w:t>
      </w:r>
      <w:r>
        <w:rPr>
          <w:rFonts w:ascii="Arial" w:hAnsi="Arial"/>
          <w:color w:val="000000"/>
          <w:sz w:val="20"/>
        </w:rPr>
        <w:t>million and $3.1</w:t>
      </w:r>
      <w:r>
        <w:rPr>
          <w:rFonts w:ascii="Times New Roman" w:hAnsi="Times New Roman"/>
          <w:color w:val="000000"/>
          <w:sz w:val="20"/>
        </w:rPr>
        <w:t xml:space="preserve"> </w:t>
      </w:r>
      <w:r>
        <w:rPr>
          <w:rFonts w:ascii="Arial" w:hAnsi="Arial"/>
          <w:color w:val="000000"/>
          <w:sz w:val="20"/>
        </w:rPr>
        <w:t>million in revenue from amounts that were included in deferred revenue as of December 31, 2024 and 2023, respectively.</w:t>
      </w:r>
      <w:r>
        <w:rPr>
          <w:rFonts w:ascii="Times New Roman" w:hAnsi="Times New Roman"/>
          <w:color w:val="000000"/>
          <w:sz w:val="20"/>
        </w:rPr>
        <w:t xml:space="preserve"> </w:t>
      </w:r>
    </w:p>
    <w:p>
      <w:pPr>
        <w:pStyle w:val="TextBody"/>
        <w:bidi w:val="0"/>
        <w:spacing w:before="0" w:after="200"/>
        <w:jc w:val="left"/>
        <w:rPr>
          <w:rFonts w:ascii="Arial" w:hAnsi="Arial"/>
          <w:b/>
          <w:i/>
          <w:color w:val="000000"/>
          <w:sz w:val="20"/>
        </w:rPr>
      </w:pPr>
      <w:r>
        <w:rPr>
          <w:rFonts w:ascii="Arial" w:hAnsi="Arial"/>
          <w:b/>
          <w:i/>
          <w:color w:val="000000"/>
          <w:sz w:val="20"/>
        </w:rPr>
        <w:t>Remaining Performance Obligations</w:t>
      </w:r>
    </w:p>
    <w:p>
      <w:pPr>
        <w:pStyle w:val="TextBody"/>
        <w:bidi w:val="0"/>
        <w:spacing w:before="0" w:after="200"/>
        <w:jc w:val="left"/>
        <w:rPr>
          <w:rFonts w:ascii="Times New Roman" w:hAnsi="Times New Roman"/>
          <w:sz w:val="20"/>
        </w:rPr>
      </w:pPr>
      <w:r>
        <w:rPr>
          <w:rFonts w:ascii="Arial" w:hAnsi="Arial"/>
          <w:color w:val="000000"/>
          <w:sz w:val="20"/>
        </w:rPr>
        <w:t>The Company has performance obligations associated with certain clients' contracts for future services that have not yet been recognized as revenue. As of March 31, 2025, the aggregate amount of transaction price allocated to performance obligations that are unsatisfied or partially unsatisfied, including deferred revenue, was approximately $16.5</w:t>
      </w:r>
      <w:r>
        <w:rPr>
          <w:rFonts w:ascii="Times New Roman" w:hAnsi="Times New Roman"/>
          <w:color w:val="000000"/>
          <w:sz w:val="20"/>
        </w:rPr>
        <w:t xml:space="preserve"> </w:t>
      </w:r>
      <w:r>
        <w:rPr>
          <w:rFonts w:ascii="Arial" w:hAnsi="Arial"/>
          <w:color w:val="000000"/>
          <w:sz w:val="20"/>
        </w:rPr>
        <w:t>million. Of the total remaining performance obligations, the Company expects to recognize approximately 51.0% within the next year, 26.3% after one year through year two and 22.7% over the next three to five years thereafter. Actual amounts and timing of revenue recognized may differ due to subsequent contract modifications, renewals and/or terminations.</w:t>
      </w:r>
    </w:p>
    <w:p>
      <w:pPr>
        <w:pStyle w:val="TextBody"/>
        <w:bidi w:val="0"/>
        <w:spacing w:before="160" w:after="283"/>
        <w:jc w:val="left"/>
        <w:rPr>
          <w:rFonts w:ascii="Arial" w:hAnsi="Arial"/>
          <w:b/>
          <w:color w:val="000000"/>
          <w:sz w:val="20"/>
        </w:rPr>
      </w:pPr>
      <w:bookmarkStart w:id="16" w:name="note_3_segmentinformation"/>
      <w:bookmarkEnd w:id="16"/>
      <w:r>
        <w:rPr>
          <w:rFonts w:ascii="Arial" w:hAnsi="Arial"/>
          <w:b/>
          <w:color w:val="000000"/>
          <w:sz w:val="20"/>
        </w:rPr>
        <w:t>Note 3. Segment Information</w:t>
      </w:r>
    </w:p>
    <w:p>
      <w:pPr>
        <w:pStyle w:val="TextBody"/>
        <w:bidi w:val="0"/>
        <w:spacing w:before="200" w:after="200"/>
        <w:jc w:val="left"/>
        <w:rPr>
          <w:rFonts w:ascii="Arial" w:hAnsi="Arial"/>
          <w:color w:val="000000"/>
          <w:sz w:val="20"/>
        </w:rPr>
      </w:pPr>
      <w:r>
        <w:rPr>
          <w:rFonts w:ascii="Arial" w:hAnsi="Arial"/>
          <w:color w:val="000000"/>
          <w:sz w:val="20"/>
        </w:rPr>
        <w:t>The Company has a single operating and reportable segment. Operating segments are defined as components of an enterprise for which separate financial information is regularly evaluated by the Company’s chief operating decision maker (CODM). The Company’s CODM is its Chief Executive Officer, who reviews financial information presented on a consolidated basis for purposes of making operating decisions, assessing financial performance and allocating resources. The Company's CODM evaluates company-wide performance based on multiple performance measures, including, but not limited to net income (loss).</w:t>
      </w:r>
    </w:p>
    <w:p>
      <w:pPr>
        <w:pStyle w:val="TextBody"/>
        <w:bidi w:val="0"/>
        <w:spacing w:before="0" w:after="200"/>
        <w:jc w:val="left"/>
        <w:rPr>
          <w:rFonts w:ascii="Times New Roman" w:hAnsi="Times New Roman"/>
          <w:sz w:val="20"/>
        </w:rPr>
      </w:pPr>
      <w:r>
        <w:rPr>
          <w:rFonts w:ascii="Arial" w:hAnsi="Arial"/>
          <w:color w:val="000000"/>
          <w:sz w:val="20"/>
        </w:rPr>
        <w:t>The following table presents the Company's significant segment expenses and other segment items for the three months ended March 31, 2025 and 2024. The CODM does not regularly review segment asset information for the purpose of assessing performance and making resource allocation decisions; therefore, such information is not presented.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71" w:type="dxa"/>
        <w:jc w:val="left"/>
        <w:tblInd w:w="0" w:type="dxa"/>
        <w:tblLayout w:type="fixed"/>
        <w:tblCellMar>
          <w:top w:w="28" w:type="dxa"/>
          <w:left w:w="28" w:type="dxa"/>
          <w:bottom w:w="28" w:type="dxa"/>
          <w:right w:w="28" w:type="dxa"/>
        </w:tblCellMar>
      </w:tblPr>
      <w:tblGrid>
        <w:gridCol w:w="5026"/>
        <w:gridCol w:w="146"/>
        <w:gridCol w:w="231"/>
        <w:gridCol w:w="872"/>
        <w:gridCol w:w="182"/>
        <w:gridCol w:w="160"/>
        <w:gridCol w:w="231"/>
        <w:gridCol w:w="872"/>
        <w:gridCol w:w="75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Revenue Less Ancillary Services </w:t>
            </w:r>
            <w:r>
              <w:rPr>
                <w:rFonts w:ascii="Arial" w:hAnsi="Arial"/>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128,674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110,171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Payment processing services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46,142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38,170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Times New Roman" w:hAnsi="Times New Roman"/>
                <w:sz w:val="20"/>
              </w:rPr>
            </w:pPr>
            <w:r>
              <w:rPr>
                <w:rFonts w:ascii="Arial" w:hAnsi="Arial"/>
                <w:color w:val="000000"/>
                <w:sz w:val="20"/>
              </w:rPr>
              <w:t xml:space="preserve">Personnel expense </w:t>
            </w:r>
            <w:r>
              <w:rPr>
                <w:rFonts w:ascii="Arial" w:hAnsi="Arial"/>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41,125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40,053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Times New Roman" w:hAnsi="Times New Roman"/>
                <w:sz w:val="20"/>
              </w:rPr>
            </w:pPr>
            <w:r>
              <w:rPr>
                <w:rFonts w:ascii="Arial" w:hAnsi="Arial"/>
                <w:color w:val="000000"/>
                <w:sz w:val="20"/>
              </w:rPr>
              <w:t xml:space="preserve">Other segment items </w:t>
            </w:r>
            <w:r>
              <w:rPr>
                <w:rFonts w:ascii="Arial" w:hAnsi="Arial"/>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Times New Roman" w:hAnsi="Times New Roman"/>
                <w:sz w:val="20"/>
              </w:rPr>
            </w:pPr>
            <w:r>
              <w:rPr>
                <w:rFonts w:ascii="Arial" w:hAnsi="Arial"/>
                <w:color w:val="000000"/>
                <w:sz w:val="20"/>
              </w:rPr>
              <w:t xml:space="preserve">Stock-based compensation expense </w:t>
            </w:r>
            <w:r>
              <w:rPr>
                <w:rFonts w:ascii="Arial" w:hAnsi="Arial"/>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15,923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15,182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(Gain) loss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Segment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(6,217</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rFonts w:ascii="Arial" w:hAnsi="Arial"/>
          <w:color w:val="000000"/>
          <w:sz w:val="16"/>
        </w:rPr>
      </w:pPr>
      <w:r>
        <w:rPr>
          <w:rFonts w:ascii="Arial" w:hAnsi="Arial"/>
          <w:color w:val="000000"/>
          <w:sz w:val="16"/>
        </w:rPr>
        <w:t>____________________________</w:t>
      </w:r>
    </w:p>
    <w:p>
      <w:pPr>
        <w:pStyle w:val="TextBody"/>
        <w:bidi w:val="0"/>
        <w:spacing w:before="0" w:after="60"/>
        <w:jc w:val="left"/>
        <w:rPr>
          <w:rFonts w:ascii="Times New Roman" w:hAnsi="Times New Roman"/>
          <w:sz w:val="20"/>
        </w:rPr>
      </w:pPr>
      <w:r>
        <w:rPr>
          <w:rFonts w:ascii="Arial" w:hAnsi="Arial"/>
          <w:color w:val="1F1F1F"/>
          <w:sz w:val="11"/>
        </w:rPr>
        <w:t xml:space="preserve">(a) </w:t>
      </w:r>
      <w:r>
        <w:rPr>
          <w:rFonts w:ascii="Arial" w:hAnsi="Arial"/>
          <w:color w:val="1F1F1F"/>
          <w:sz w:val="16"/>
        </w:rPr>
        <w:t>Revenue Less Ancillary Services represents segment revenue.</w:t>
      </w:r>
    </w:p>
    <w:p>
      <w:pPr>
        <w:pStyle w:val="TextBody"/>
        <w:bidi w:val="0"/>
        <w:spacing w:before="0" w:after="60"/>
        <w:jc w:val="left"/>
        <w:rPr>
          <w:rFonts w:ascii="Times New Roman" w:hAnsi="Times New Roman"/>
          <w:sz w:val="20"/>
        </w:rPr>
      </w:pPr>
      <w:r>
        <w:rPr>
          <w:rFonts w:ascii="Arial" w:hAnsi="Arial"/>
          <w:color w:val="1F1F1F"/>
          <w:sz w:val="11"/>
        </w:rPr>
        <w:t>(b)</w:t>
      </w:r>
      <w:r>
        <w:rPr>
          <w:rFonts w:ascii="Times New Roman" w:hAnsi="Times New Roman"/>
          <w:color w:val="1F1F1F"/>
          <w:sz w:val="20"/>
        </w:rPr>
        <w:t xml:space="preserve"> </w:t>
      </w:r>
      <w:r>
        <w:rPr>
          <w:rFonts w:ascii="Arial" w:hAnsi="Arial"/>
          <w:color w:val="1F1F1F"/>
          <w:sz w:val="16"/>
        </w:rPr>
        <w:t>Personnel expense includes employees' and contractors' compensation in Technology and development, Selling and marketing and General and administrative operating expenses.</w:t>
      </w:r>
    </w:p>
    <w:p>
      <w:pPr>
        <w:pStyle w:val="TextBody"/>
        <w:bidi w:val="0"/>
        <w:spacing w:before="0" w:after="60"/>
        <w:jc w:val="left"/>
        <w:rPr>
          <w:rFonts w:ascii="Times New Roman" w:hAnsi="Times New Roman"/>
          <w:sz w:val="20"/>
        </w:rPr>
      </w:pPr>
      <w:r>
        <w:rPr>
          <w:rFonts w:ascii="Arial" w:hAnsi="Arial"/>
          <w:color w:val="1F1F1F"/>
          <w:sz w:val="11"/>
        </w:rPr>
        <w:t xml:space="preserve">(c) </w:t>
      </w:r>
      <w:r>
        <w:rPr>
          <w:rFonts w:ascii="Arial" w:hAnsi="Arial"/>
          <w:color w:val="1F1F1F"/>
          <w:sz w:val="16"/>
        </w:rPr>
        <w:t>Other segment items included in segment income (loss) includes the following expenses: professional fees, marketing, travel, facilities, software, acquisition and other general and administrative.</w:t>
      </w:r>
    </w:p>
    <w:p>
      <w:pPr>
        <w:pStyle w:val="TextBody"/>
        <w:bidi w:val="0"/>
        <w:spacing w:before="0" w:after="60"/>
        <w:jc w:val="left"/>
        <w:rPr>
          <w:rFonts w:ascii="Times New Roman" w:hAnsi="Times New Roman"/>
          <w:sz w:val="20"/>
        </w:rPr>
      </w:pPr>
      <w:r>
        <w:rPr>
          <w:rFonts w:ascii="Arial" w:hAnsi="Arial"/>
          <w:color w:val="1F1F1F"/>
          <w:sz w:val="11"/>
        </w:rPr>
        <w:t>(d)</w:t>
      </w:r>
      <w:r>
        <w:rPr>
          <w:rFonts w:ascii="Arial" w:hAnsi="Arial"/>
          <w:color w:val="1F1F1F"/>
          <w:sz w:val="16"/>
        </w:rPr>
        <w:t>Stock-based compensation expense includes employer payroll taxes.</w:t>
      </w:r>
    </w:p>
    <w:p>
      <w:pPr>
        <w:pStyle w:val="TextBody"/>
        <w:bidi w:val="0"/>
        <w:spacing w:before="140" w:after="200"/>
        <w:jc w:val="left"/>
        <w:rPr>
          <w:rFonts w:ascii="Arial" w:hAnsi="Arial"/>
          <w:color w:val="1F1F1F"/>
          <w:sz w:val="19"/>
        </w:rPr>
      </w:pPr>
      <w:r>
        <w:rPr>
          <w:rFonts w:ascii="Arial" w:hAnsi="Arial"/>
          <w:color w:val="1F1F1F"/>
          <w:sz w:val="19"/>
        </w:rPr>
        <w:t>See Note 2 - Revenue and Recognition for information regarding the Company's revenue by geographic area.</w:t>
      </w:r>
    </w:p>
    <w:p>
      <w:pPr>
        <w:pStyle w:val="TextBody"/>
        <w:bidi w:val="0"/>
        <w:spacing w:before="40" w:after="283"/>
        <w:jc w:val="left"/>
        <w:rPr>
          <w:rFonts w:ascii="Arial" w:hAnsi="Arial"/>
          <w:b/>
          <w:color w:val="000000"/>
          <w:sz w:val="20"/>
        </w:rPr>
      </w:pPr>
      <w:bookmarkStart w:id="17" w:name="note3_investments"/>
      <w:bookmarkEnd w:id="17"/>
      <w:r>
        <w:rPr>
          <w:rFonts w:ascii="Arial" w:hAnsi="Arial"/>
          <w:b/>
          <w:color w:val="000000"/>
          <w:sz w:val="20"/>
        </w:rPr>
        <w:t>Note 4. Investments</w:t>
      </w:r>
    </w:p>
    <w:p>
      <w:pPr>
        <w:pStyle w:val="TextBody"/>
        <w:bidi w:val="0"/>
        <w:spacing w:before="200" w:after="200"/>
        <w:jc w:val="left"/>
        <w:rPr>
          <w:rFonts w:ascii="Times New Roman" w:hAnsi="Times New Roman"/>
          <w:sz w:val="20"/>
        </w:rPr>
      </w:pPr>
      <w:r>
        <w:rPr>
          <w:rFonts w:ascii="Arial" w:hAnsi="Arial"/>
          <w:color w:val="000000"/>
          <w:sz w:val="20"/>
        </w:rPr>
        <w:t>During 2024, the Company began investing in a diversified portfolio of highly rated marketable debt securities, all of which are classified as available-for-sale. Available-for-sale debt securities with remaining maturities of greater than three months but less than one year and those identified by management at the time of purchase to be used to fund operations within one year are classified as short-term. All other available-for-sale securities are classified as long-term. Available-for-sale debt securities with readily determinable market values are recorded at fair value, and unrealized holding gains and temporary losses are recorded as a component of accumulated other comprehensive income, net of related estimated tax.</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Company evaluates its available-for-sale debt securities for other-than-temporary impairment on a quarterly basis. When a decline in fair value is determined to be other-than-temporary, the cost of the investment is adjusted to fair value by recording a loss on investments in the condensed consolidated statements of operations and comprehensive loss. Gains and losses on investments are calculated on the basis of specific identification. The Company reviews several factors to determine whether a loss is other-than-temporary, such as the length and extent of the fair value decline, the financial condition and near-term prospects of the issuer, market conditions and trends and whether the Company has the intent to sell or will more likely than not be required to sell before the securities' anticipated recovery, which may be at maturity.</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following table summarizes the estimated fair value of available-for-sale debt securities included within short-term and long-term investments as of March 31, 2025 (in thousands):</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5"/>
        <w:gridCol w:w="146"/>
        <w:gridCol w:w="246"/>
        <w:gridCol w:w="809"/>
        <w:gridCol w:w="146"/>
        <w:gridCol w:w="146"/>
        <w:gridCol w:w="409"/>
        <w:gridCol w:w="672"/>
        <w:gridCol w:w="146"/>
        <w:gridCol w:w="146"/>
        <w:gridCol w:w="414"/>
        <w:gridCol w:w="681"/>
        <w:gridCol w:w="166"/>
        <w:gridCol w:w="181"/>
        <w:gridCol w:w="422"/>
        <w:gridCol w:w="694"/>
        <w:gridCol w:w="146"/>
        <w:gridCol w:w="146"/>
        <w:gridCol w:w="341"/>
        <w:gridCol w:w="684"/>
        <w:gridCol w:w="146"/>
        <w:gridCol w:w="146"/>
        <w:gridCol w:w="242"/>
        <w:gridCol w:w="797"/>
        <w:gridCol w:w="478"/>
      </w:tblGrid>
      <w:tr>
        <w:trPr/>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Accrued Interest </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Fair Value</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35,044</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24,412</w:t>
            </w:r>
          </w:p>
        </w:tc>
        <w:tc>
          <w:tcPr>
            <w:tcW w:w="47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2,620</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w:t>
            </w:r>
          </w:p>
        </w:tc>
        <w:tc>
          <w:tcPr>
            <w:tcW w:w="4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64,345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64,823</w:t>
            </w:r>
          </w:p>
        </w:tc>
        <w:tc>
          <w:tcPr>
            <w:tcW w:w="4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6,415</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11,004</w:t>
            </w:r>
          </w:p>
        </w:tc>
        <w:tc>
          <w:tcPr>
            <w:tcW w:w="47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18,069</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16"/>
        </w:rPr>
      </w:pPr>
      <w:r>
        <w:rPr>
          <w:rFonts w:ascii="Arial" w:hAnsi="Arial"/>
          <w:color w:val="000000"/>
          <w:sz w:val="16"/>
        </w:rPr>
        <w:t>______________________</w:t>
      </w:r>
    </w:p>
    <w:p>
      <w:pPr>
        <w:pStyle w:val="TextBody"/>
        <w:bidi w:val="0"/>
        <w:jc w:val="left"/>
        <w:rPr>
          <w:rFonts w:ascii="Times New Roman" w:hAnsi="Times New Roman"/>
          <w:sz w:val="20"/>
        </w:rPr>
      </w:pPr>
      <w:r>
        <w:rPr>
          <w:rFonts w:ascii="Arial" w:hAnsi="Arial"/>
          <w:color w:val="000000"/>
          <w:sz w:val="16"/>
        </w:rPr>
        <w:t>* Less than $1.</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estimated fair value of available-for-sale debt securities included within short-term and long-term investments as of December 31, 2024 (in thousands):</w:t>
      </w:r>
    </w:p>
    <w:tbl>
      <w:tblPr>
        <w:tblW w:w="10205" w:type="dxa"/>
        <w:jc w:val="left"/>
        <w:tblInd w:w="0" w:type="dxa"/>
        <w:tblLayout w:type="fixed"/>
        <w:tblCellMar>
          <w:top w:w="28" w:type="dxa"/>
          <w:left w:w="28" w:type="dxa"/>
          <w:bottom w:w="28" w:type="dxa"/>
          <w:right w:w="28" w:type="dxa"/>
        </w:tblCellMar>
      </w:tblPr>
      <w:tblGrid>
        <w:gridCol w:w="1636"/>
        <w:gridCol w:w="146"/>
        <w:gridCol w:w="232"/>
        <w:gridCol w:w="877"/>
        <w:gridCol w:w="146"/>
        <w:gridCol w:w="146"/>
        <w:gridCol w:w="355"/>
        <w:gridCol w:w="712"/>
        <w:gridCol w:w="146"/>
        <w:gridCol w:w="146"/>
        <w:gridCol w:w="388"/>
        <w:gridCol w:w="692"/>
        <w:gridCol w:w="166"/>
        <w:gridCol w:w="146"/>
        <w:gridCol w:w="415"/>
        <w:gridCol w:w="682"/>
        <w:gridCol w:w="146"/>
        <w:gridCol w:w="146"/>
        <w:gridCol w:w="339"/>
        <w:gridCol w:w="680"/>
        <w:gridCol w:w="146"/>
        <w:gridCol w:w="146"/>
        <w:gridCol w:w="229"/>
        <w:gridCol w:w="866"/>
        <w:gridCol w:w="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Accrued Interest </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Fair Value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62,625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36,755</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Treasury Bill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6,983</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6,878</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115,848</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23,100</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21,384</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2,469</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50,125</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color w:val="000000"/>
          <w:sz w:val="20"/>
        </w:rPr>
      </w:pPr>
      <w:r>
        <w:rPr>
          <w:rFonts w:ascii="Arial" w:hAnsi="Arial"/>
          <w:color w:val="000000"/>
          <w:sz w:val="20"/>
        </w:rPr>
        <w:t>The following table summarizes the fair value of the Company's available-for-sale debt securities by remaining contractual maturity as of March 31, 2025 (in thousands):</w:t>
      </w:r>
    </w:p>
    <w:tbl>
      <w:tblPr>
        <w:tblW w:w="5005" w:type="dxa"/>
        <w:jc w:val="left"/>
        <w:tblInd w:w="0" w:type="dxa"/>
        <w:tblLayout w:type="fixed"/>
        <w:tblCellMar>
          <w:top w:w="28" w:type="dxa"/>
          <w:left w:w="28" w:type="dxa"/>
          <w:bottom w:w="28" w:type="dxa"/>
          <w:right w:w="28" w:type="dxa"/>
        </w:tblCellMar>
      </w:tblPr>
      <w:tblGrid>
        <w:gridCol w:w="3486"/>
        <w:gridCol w:w="146"/>
        <w:gridCol w:w="211"/>
        <w:gridCol w:w="691"/>
        <w:gridCol w:w="471"/>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Due after one year through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82,892</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As of March 31, 2025, approximately 15</w:t>
      </w:r>
      <w:r>
        <w:rPr>
          <w:rFonts w:ascii="Times New Roman" w:hAnsi="Times New Roman"/>
          <w:color w:val="000000"/>
          <w:sz w:val="20"/>
        </w:rPr>
        <w:t xml:space="preserve"> </w:t>
      </w:r>
      <w:r>
        <w:rPr>
          <w:rFonts w:ascii="Arial" w:hAnsi="Arial"/>
          <w:color w:val="000000"/>
          <w:sz w:val="20"/>
        </w:rPr>
        <w:t>out of approximately 91</w:t>
      </w:r>
      <w:r>
        <w:rPr>
          <w:rFonts w:ascii="Times New Roman" w:hAnsi="Times New Roman"/>
          <w:color w:val="000000"/>
          <w:sz w:val="20"/>
        </w:rPr>
        <w:t xml:space="preserve"> </w:t>
      </w:r>
      <w:r>
        <w:rPr>
          <w:rFonts w:ascii="Arial" w:hAnsi="Arial"/>
          <w:color w:val="000000"/>
          <w:sz w:val="20"/>
        </w:rPr>
        <w:t>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as of March 31, 2025 (in thousands):</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0"/>
        <w:gridCol w:w="146"/>
        <w:gridCol w:w="216"/>
        <w:gridCol w:w="602"/>
        <w:gridCol w:w="148"/>
        <w:gridCol w:w="148"/>
        <w:gridCol w:w="470"/>
        <w:gridCol w:w="772"/>
        <w:gridCol w:w="166"/>
        <w:gridCol w:w="181"/>
        <w:gridCol w:w="243"/>
        <w:gridCol w:w="399"/>
        <w:gridCol w:w="155"/>
        <w:gridCol w:w="155"/>
        <w:gridCol w:w="470"/>
        <w:gridCol w:w="772"/>
        <w:gridCol w:w="146"/>
        <w:gridCol w:w="146"/>
        <w:gridCol w:w="216"/>
        <w:gridCol w:w="602"/>
        <w:gridCol w:w="146"/>
        <w:gridCol w:w="146"/>
        <w:gridCol w:w="470"/>
        <w:gridCol w:w="772"/>
        <w:gridCol w:w="166"/>
        <w:gridCol w:w="512"/>
      </w:tblGrid>
      <w:tr>
        <w:trPr/>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7,936</w:t>
            </w:r>
          </w:p>
        </w:tc>
        <w:tc>
          <w:tcPr>
            <w:tcW w:w="1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6,321</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16"/>
        </w:rPr>
      </w:pPr>
      <w:r>
        <w:rPr>
          <w:rFonts w:ascii="Arial" w:hAnsi="Arial"/>
          <w:color w:val="000000"/>
          <w:sz w:val="16"/>
        </w:rPr>
        <w:t>______________________</w:t>
      </w:r>
    </w:p>
    <w:p>
      <w:pPr>
        <w:pStyle w:val="TextBody"/>
        <w:bidi w:val="0"/>
        <w:jc w:val="left"/>
        <w:rPr>
          <w:rFonts w:ascii="Times New Roman" w:hAnsi="Times New Roman"/>
          <w:sz w:val="20"/>
        </w:rPr>
      </w:pPr>
      <w:r>
        <w:rPr>
          <w:rFonts w:ascii="Arial" w:hAnsi="Arial"/>
          <w:color w:val="000000"/>
          <w:sz w:val="16"/>
        </w:rPr>
        <w:t>*</w:t>
      </w:r>
      <w:r>
        <w:rPr>
          <w:rFonts w:ascii="Times New Roman" w:hAnsi="Times New Roman"/>
          <w:color w:val="000000"/>
          <w:sz w:val="20"/>
        </w:rPr>
        <w:t xml:space="preserve"> </w:t>
      </w:r>
      <w:r>
        <w:rPr>
          <w:rFonts w:ascii="Arial" w:hAnsi="Arial"/>
          <w:color w:val="000000"/>
          <w:sz w:val="16"/>
        </w:rPr>
        <w:t>Less than 1.</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Unrealized losses have not been recognized into income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other than temporary impairments.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During the three months ended March 31, 2025, the Company received proceeds of $98.7</w:t>
      </w:r>
      <w:r>
        <w:rPr>
          <w:rFonts w:ascii="Times New Roman" w:hAnsi="Times New Roman"/>
          <w:color w:val="000000"/>
          <w:sz w:val="20"/>
        </w:rPr>
        <w:t xml:space="preserve"> </w:t>
      </w:r>
      <w:r>
        <w:rPr>
          <w:rFonts w:ascii="Arial" w:hAnsi="Arial"/>
          <w:color w:val="000000"/>
          <w:sz w:val="20"/>
        </w:rPr>
        <w:t>million from the sale of short-term and long-term investments, primarily used to partially pay down the outstanding debt under the Company's revolving credit facility used for the Sertifi acquisition, There have been no</w:t>
      </w:r>
      <w:r>
        <w:rPr>
          <w:rFonts w:ascii="Times New Roman" w:hAnsi="Times New Roman"/>
          <w:color w:val="000000"/>
          <w:sz w:val="20"/>
        </w:rPr>
        <w:t xml:space="preserve"> </w:t>
      </w:r>
      <w:r>
        <w:rPr>
          <w:rFonts w:ascii="Arial" w:hAnsi="Arial"/>
          <w:color w:val="000000"/>
          <w:sz w:val="20"/>
        </w:rPr>
        <w:t>significant realized gains or losses on the sale of short-term and long-term investments during the three months ended March 31, 2025.</w:t>
      </w:r>
    </w:p>
    <w:p>
      <w:pPr>
        <w:pStyle w:val="TextBody"/>
        <w:bidi w:val="0"/>
        <w:spacing w:before="160" w:after="283"/>
        <w:jc w:val="left"/>
        <w:rPr>
          <w:rFonts w:ascii="Times New Roman" w:hAnsi="Times New Roman"/>
          <w:sz w:val="20"/>
        </w:rPr>
      </w:pPr>
      <w:bookmarkStart w:id="18" w:name="note_4"/>
      <w:bookmarkEnd w:id="18"/>
      <w:r>
        <w:rPr>
          <w:rFonts w:ascii="Arial" w:hAnsi="Arial"/>
          <w:b/>
          <w:color w:val="000000"/>
          <w:sz w:val="20"/>
        </w:rPr>
        <w:t>Note 5. Fair Value Measurements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spacing w:before="0" w:after="200"/>
        <w:jc w:val="left"/>
        <w:rPr>
          <w:rFonts w:ascii="Arial" w:hAnsi="Arial"/>
          <w:color w:val="000000"/>
          <w:sz w:val="20"/>
        </w:rPr>
      </w:pPr>
      <w:r>
        <w:rPr>
          <w:rFonts w:ascii="Arial" w:hAnsi="Arial"/>
          <w:color w:val="000000"/>
          <w:sz w:val="20"/>
        </w:rPr>
        <w:t>Level 1 - Quoted prices in active markets for identical assets or liabilities.</w:t>
      </w:r>
    </w:p>
    <w:p>
      <w:pPr>
        <w:pStyle w:val="TextBody"/>
        <w:bidi w:val="0"/>
        <w:spacing w:before="0" w:after="200"/>
        <w:jc w:val="left"/>
        <w:rPr>
          <w:rFonts w:ascii="Arial" w:hAnsi="Arial"/>
          <w:color w:val="000000"/>
          <w:sz w:val="20"/>
        </w:rPr>
      </w:pPr>
      <w:r>
        <w:rPr>
          <w:rFonts w:ascii="Arial" w:hAnsi="Arial"/>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200"/>
        <w:jc w:val="left"/>
        <w:rPr>
          <w:rFonts w:ascii="Arial" w:hAnsi="Arial"/>
          <w:color w:val="000000"/>
          <w:sz w:val="20"/>
        </w:rPr>
      </w:pPr>
      <w:r>
        <w:rPr>
          <w:rFonts w:ascii="Arial" w:hAnsi="Arial"/>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0" w:after="200"/>
        <w:jc w:val="left"/>
        <w:rPr>
          <w:rFonts w:ascii="Times New Roman" w:hAnsi="Times New Roman"/>
          <w:sz w:val="20"/>
        </w:rPr>
      </w:pPr>
      <w:r>
        <w:rPr>
          <w:rFonts w:ascii="Arial" w:hAnsi="Arial"/>
          <w:color w:val="000000"/>
          <w:sz w:val="20"/>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Company's investments in available-for-sale debt securities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approximate their respective fair values due to the short-term nature of these assets and liabilities. The Company’s contingent consideration is carried at fair value, determined using Level 3 inputs in the fair value hierarchy.</w:t>
      </w:r>
    </w:p>
    <w:p>
      <w:pPr>
        <w:pStyle w:val="TextBody"/>
        <w:bidi w:val="0"/>
        <w:spacing w:before="0" w:after="200"/>
        <w:jc w:val="left"/>
        <w:rPr>
          <w:rFonts w:ascii="Times New Roman" w:hAnsi="Times New Roman"/>
          <w:sz w:val="20"/>
        </w:rPr>
      </w:pPr>
      <w:r>
        <w:rPr>
          <w:rFonts w:ascii="Arial" w:hAnsi="Arial"/>
          <w:color w:val="000000"/>
          <w:sz w:val="20"/>
        </w:rPr>
        <w:t>The following tables present the Company’s fair value hierarchy for its financial assets and liabilities that are measured at fair value on a recurring basis as of March 31, 2025 and December 31, 2024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696"/>
        <w:gridCol w:w="146"/>
        <w:gridCol w:w="683"/>
        <w:gridCol w:w="1904"/>
        <w:gridCol w:w="146"/>
        <w:gridCol w:w="146"/>
        <w:gridCol w:w="247"/>
        <w:gridCol w:w="406"/>
        <w:gridCol w:w="146"/>
        <w:gridCol w:w="146"/>
        <w:gridCol w:w="211"/>
        <w:gridCol w:w="691"/>
        <w:gridCol w:w="146"/>
        <w:gridCol w:w="146"/>
        <w:gridCol w:w="211"/>
        <w:gridCol w:w="586"/>
        <w:gridCol w:w="166"/>
        <w:gridCol w:w="146"/>
        <w:gridCol w:w="211"/>
        <w:gridCol w:w="691"/>
        <w:gridCol w:w="334"/>
      </w:tblGrid>
      <w:tr>
        <w:trPr/>
        <w:tc>
          <w:tcPr>
            <w:tcW w:w="2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NAV 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Fair Value as of March 31, 2025:</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2,889</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35,044</w:t>
            </w:r>
          </w:p>
        </w:tc>
        <w:tc>
          <w:tcPr>
            <w:tcW w:w="3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24,412</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2,620</w:t>
            </w:r>
          </w:p>
        </w:tc>
        <w:tc>
          <w:tcPr>
            <w:tcW w:w="3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9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64,823</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6,415</w:t>
            </w:r>
          </w:p>
        </w:tc>
        <w:tc>
          <w:tcPr>
            <w:tcW w:w="3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11,004</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18,069</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85,781</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8,192</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8,173</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60"/>
        <w:jc w:val="left"/>
        <w:rPr/>
      </w:pPr>
      <w:r>
        <w:rPr/>
        <w:t> </w:t>
      </w:r>
    </w:p>
    <w:tbl>
      <w:tblPr>
        <w:tblW w:w="10205" w:type="dxa"/>
        <w:jc w:val="left"/>
        <w:tblInd w:w="0" w:type="dxa"/>
        <w:tblLayout w:type="fixed"/>
        <w:tblCellMar>
          <w:top w:w="28" w:type="dxa"/>
          <w:left w:w="28" w:type="dxa"/>
          <w:bottom w:w="28" w:type="dxa"/>
          <w:right w:w="28" w:type="dxa"/>
        </w:tblCellMar>
      </w:tblPr>
      <w:tblGrid>
        <w:gridCol w:w="2506"/>
        <w:gridCol w:w="146"/>
        <w:gridCol w:w="544"/>
        <w:gridCol w:w="2058"/>
        <w:gridCol w:w="146"/>
        <w:gridCol w:w="146"/>
        <w:gridCol w:w="242"/>
        <w:gridCol w:w="397"/>
        <w:gridCol w:w="146"/>
        <w:gridCol w:w="146"/>
        <w:gridCol w:w="211"/>
        <w:gridCol w:w="796"/>
        <w:gridCol w:w="146"/>
        <w:gridCol w:w="146"/>
        <w:gridCol w:w="211"/>
        <w:gridCol w:w="586"/>
        <w:gridCol w:w="146"/>
        <w:gridCol w:w="146"/>
        <w:gridCol w:w="211"/>
        <w:gridCol w:w="796"/>
        <w:gridCol w:w="333"/>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NAV as of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Fair Value as of December 31, 2024: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139,545</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62,625</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36,755</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Treasury Bill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6,983</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6,878</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115,848</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23,100</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U.S. Government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21,384</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Agency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2,469</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50,125</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305,567</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5,094</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5,094</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160"/>
        <w:jc w:val="left"/>
        <w:rPr>
          <w:rFonts w:ascii="Times New Roman" w:hAnsi="Times New Roman"/>
          <w:sz w:val="20"/>
        </w:rPr>
      </w:pPr>
      <w:r>
        <w:rPr>
          <w:rFonts w:ascii="Arial" w:hAnsi="Arial"/>
          <w:color w:val="000000"/>
          <w:sz w:val="20"/>
        </w:rPr>
        <w:t>During the three months ended March 31, 2025 and year ended December 31, 2024, there were no transfers between Level 1, Level 2 or Level 3.</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Arial" w:hAnsi="Arial"/>
          <w:b/>
          <w:i/>
          <w:color w:val="000000"/>
          <w:sz w:val="20"/>
        </w:rPr>
        <w:t>Contingent consideration</w:t>
      </w:r>
      <w:r>
        <w:rPr>
          <w:rFonts w:ascii="Times New Roman" w:hAnsi="Times New Roman"/>
          <w:color w:val="000000"/>
          <w:sz w:val="20"/>
        </w:rPr>
        <w:t xml:space="preserve"> </w:t>
      </w:r>
    </w:p>
    <w:p>
      <w:pPr>
        <w:pStyle w:val="TextBody"/>
        <w:bidi w:val="0"/>
        <w:spacing w:before="0" w:after="200"/>
        <w:jc w:val="left"/>
        <w:rPr>
          <w:rFonts w:ascii="Arial" w:hAnsi="Arial"/>
          <w:b/>
          <w:i/>
          <w:color w:val="000000"/>
          <w:sz w:val="20"/>
        </w:rPr>
      </w:pPr>
      <w:r>
        <w:rPr>
          <w:rFonts w:ascii="Arial" w:hAnsi="Arial"/>
          <w:b/>
          <w:i/>
          <w:color w:val="000000"/>
          <w:sz w:val="20"/>
        </w:rPr>
        <w:t>Sertifi LLC (Sertifi)</w:t>
      </w:r>
    </w:p>
    <w:p>
      <w:pPr>
        <w:pStyle w:val="TextBody"/>
        <w:bidi w:val="0"/>
        <w:spacing w:before="0" w:after="160"/>
        <w:jc w:val="left"/>
        <w:rPr>
          <w:rFonts w:ascii="Times New Roman" w:hAnsi="Times New Roman"/>
          <w:sz w:val="20"/>
        </w:rPr>
      </w:pPr>
      <w:r>
        <w:rPr>
          <w:rFonts w:ascii="Arial" w:hAnsi="Arial"/>
          <w:color w:val="000000"/>
          <w:sz w:val="20"/>
        </w:rPr>
        <w:t>The fair value of the contingent consideration related to the gross profit milestones from the Company’s acquisition of Sertifi in February 2025 was determined using an option pricing model and the fair value of the contingent consideration related to the technology and security milestones was determined using a scenario-based method. Refer to</w:t>
      </w:r>
      <w:r>
        <w:rPr>
          <w:rFonts w:ascii="Times New Roman" w:hAnsi="Times New Roman"/>
          <w:color w:val="000000"/>
          <w:sz w:val="20"/>
        </w:rPr>
        <w:t xml:space="preserve"> </w:t>
      </w:r>
      <w:r>
        <w:rPr>
          <w:rFonts w:ascii="Arial" w:hAnsi="Arial"/>
          <w:i/>
          <w:color w:val="000000"/>
          <w:sz w:val="20"/>
        </w:rPr>
        <w:t>Note 10 - Business Combinations</w:t>
      </w:r>
      <w:r>
        <w:rPr>
          <w:rFonts w:ascii="Times New Roman" w:hAnsi="Times New Roman"/>
          <w:color w:val="000000"/>
          <w:sz w:val="20"/>
        </w:rPr>
        <w:t xml:space="preserve"> </w:t>
      </w:r>
      <w:r>
        <w:rPr>
          <w:rFonts w:ascii="Arial" w:hAnsi="Arial"/>
          <w:color w:val="000000"/>
          <w:sz w:val="20"/>
        </w:rPr>
        <w:t>for additional details on the Sertifi acquisition. The following table presents the unobservable inputs incorporated into the valuation of contingent consideration as of March 31, 2025.</w:t>
      </w:r>
    </w:p>
    <w:tbl>
      <w:tblPr>
        <w:tblW w:w="5308" w:type="dxa"/>
        <w:jc w:val="left"/>
        <w:tblInd w:w="0" w:type="dxa"/>
        <w:tblLayout w:type="fixed"/>
        <w:tblCellMar>
          <w:top w:w="28" w:type="dxa"/>
          <w:left w:w="28" w:type="dxa"/>
          <w:bottom w:w="28" w:type="dxa"/>
          <w:right w:w="28" w:type="dxa"/>
        </w:tblCellMar>
      </w:tblPr>
      <w:tblGrid>
        <w:gridCol w:w="3571"/>
        <w:gridCol w:w="146"/>
        <w:gridCol w:w="350"/>
        <w:gridCol w:w="910"/>
        <w:gridCol w:w="33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successful achievement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 - 50%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60"/>
        <w:jc w:val="left"/>
        <w:rPr>
          <w:rFonts w:ascii="Arial" w:hAnsi="Arial"/>
          <w:color w:val="000000"/>
          <w:sz w:val="16"/>
        </w:rPr>
      </w:pPr>
      <w:r>
        <w:rPr>
          <w:rFonts w:ascii="Arial" w:hAnsi="Arial"/>
          <w:color w:val="000000"/>
          <w:sz w:val="16"/>
        </w:rPr>
        <w:t>_____________________________</w:t>
      </w:r>
    </w:p>
    <w:p>
      <w:pPr>
        <w:pStyle w:val="TextBody"/>
        <w:bidi w:val="0"/>
        <w:jc w:val="left"/>
        <w:rPr>
          <w:rFonts w:ascii="Arial" w:hAnsi="Arial"/>
          <w:color w:val="000000"/>
          <w:sz w:val="16"/>
        </w:rPr>
      </w:pPr>
      <w:r>
        <w:rPr>
          <w:rFonts w:ascii="Arial" w:hAnsi="Arial"/>
          <w:color w:val="000000"/>
          <w:sz w:val="16"/>
        </w:rPr>
        <w:t>* Probability of successful achievement was set at different targets based on the Company’s estimates on achieving them. The weighted average probability of successful achievement as of March 31, 2025 was 40.9%.</w:t>
      </w:r>
    </w:p>
    <w:p>
      <w:pPr>
        <w:pStyle w:val="TextBody"/>
        <w:bidi w:val="0"/>
        <w:spacing w:before="200" w:after="200"/>
        <w:jc w:val="left"/>
        <w:rPr>
          <w:rFonts w:ascii="Arial" w:hAnsi="Arial"/>
          <w:color w:val="000000"/>
          <w:sz w:val="20"/>
        </w:rPr>
      </w:pPr>
      <w:r>
        <w:rPr>
          <w:rFonts w:ascii="Arial" w:hAnsi="Arial"/>
          <w:color w:val="000000"/>
          <w:sz w:val="20"/>
        </w:rPr>
        <w:t>Increases or decreases in the discount rate would result in a lower or higher fair value measurement, respectively. Increases or decreases in any of the probabilities of success in which the revenue, top customers, product and IT milestones are expected to be achieved would result in higher or lower fair value measurement, respectively.</w:t>
      </w:r>
    </w:p>
    <w:p>
      <w:pPr>
        <w:pStyle w:val="TextBody"/>
        <w:bidi w:val="0"/>
        <w:spacing w:before="0" w:after="200"/>
        <w:jc w:val="left"/>
        <w:rPr>
          <w:rFonts w:ascii="Arial" w:hAnsi="Arial"/>
          <w:b/>
          <w:i/>
          <w:color w:val="000000"/>
          <w:sz w:val="20"/>
        </w:rPr>
      </w:pPr>
      <w:r>
        <w:rPr>
          <w:rFonts w:ascii="Arial" w:hAnsi="Arial"/>
          <w:b/>
          <w:i/>
          <w:color w:val="000000"/>
          <w:sz w:val="20"/>
        </w:rPr>
        <w:t>Invoiced Inc. (Invoiced)</w:t>
      </w:r>
    </w:p>
    <w:p>
      <w:pPr>
        <w:pStyle w:val="TextBody"/>
        <w:bidi w:val="0"/>
        <w:spacing w:before="0" w:after="160"/>
        <w:jc w:val="left"/>
        <w:rPr>
          <w:rFonts w:ascii="Times New Roman" w:hAnsi="Times New Roman"/>
          <w:sz w:val="20"/>
        </w:rPr>
      </w:pPr>
      <w:r>
        <w:rPr>
          <w:rFonts w:ascii="Arial" w:hAnsi="Arial"/>
          <w:color w:val="000000"/>
          <w:sz w:val="20"/>
        </w:rPr>
        <w:t>The fair value of the contingent consideration related to the revenue milestones from the Company’s acquisition of Invoiced in August 2024 was determined using an option pricing model and the fair value of the contingent consideration related to the cross-selling, product and security and information technology (IT) milestones was determined using a scenario-based method. Refer to</w:t>
      </w:r>
      <w:r>
        <w:rPr>
          <w:rFonts w:ascii="Times New Roman" w:hAnsi="Times New Roman"/>
          <w:color w:val="000000"/>
          <w:sz w:val="20"/>
        </w:rPr>
        <w:t xml:space="preserve"> </w:t>
      </w:r>
      <w:r>
        <w:rPr>
          <w:rFonts w:ascii="Arial" w:hAnsi="Arial"/>
          <w:i/>
          <w:color w:val="000000"/>
          <w:sz w:val="20"/>
        </w:rPr>
        <w:t>Note 10 - Business Combinations</w:t>
      </w:r>
      <w:r>
        <w:rPr>
          <w:rFonts w:ascii="Times New Roman" w:hAnsi="Times New Roman"/>
          <w:color w:val="000000"/>
          <w:sz w:val="20"/>
        </w:rPr>
        <w:t xml:space="preserve"> </w:t>
      </w:r>
      <w:r>
        <w:rPr>
          <w:rFonts w:ascii="Arial" w:hAnsi="Arial"/>
          <w:color w:val="000000"/>
          <w:sz w:val="20"/>
        </w:rPr>
        <w:t>for additional details on the Invoiced acquisition. The following table presents the unobservable inputs incorporated into the valuation of contingent consideration as of March 31, 2025 and December 31, 2024.</w:t>
      </w:r>
    </w:p>
    <w:tbl>
      <w:tblPr>
        <w:tblW w:w="6880" w:type="dxa"/>
        <w:jc w:val="left"/>
        <w:tblInd w:w="0" w:type="dxa"/>
        <w:tblLayout w:type="fixed"/>
        <w:tblCellMar>
          <w:top w:w="28" w:type="dxa"/>
          <w:left w:w="28" w:type="dxa"/>
          <w:bottom w:w="28" w:type="dxa"/>
          <w:right w:w="28" w:type="dxa"/>
        </w:tblCellMar>
      </w:tblPr>
      <w:tblGrid>
        <w:gridCol w:w="3571"/>
        <w:gridCol w:w="146"/>
        <w:gridCol w:w="1396"/>
        <w:gridCol w:w="146"/>
        <w:gridCol w:w="162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 - 6.59%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 - 6.59%</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successful achievement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 - 100%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 - 100%</w:t>
            </w:r>
          </w:p>
        </w:tc>
      </w:tr>
    </w:tbl>
    <w:p>
      <w:pPr>
        <w:pStyle w:val="TextBody"/>
        <w:bidi w:val="0"/>
        <w:spacing w:before="0" w:after="60"/>
        <w:jc w:val="left"/>
        <w:rPr>
          <w:rFonts w:ascii="Arial" w:hAnsi="Arial"/>
          <w:color w:val="000000"/>
          <w:sz w:val="16"/>
        </w:rPr>
      </w:pPr>
      <w:r>
        <w:rPr>
          <w:rFonts w:ascii="Arial" w:hAnsi="Arial"/>
          <w:color w:val="000000"/>
          <w:sz w:val="16"/>
        </w:rPr>
        <w:t>_____________________________</w:t>
      </w:r>
    </w:p>
    <w:p>
      <w:pPr>
        <w:pStyle w:val="TextBody"/>
        <w:bidi w:val="0"/>
        <w:jc w:val="left"/>
        <w:rPr>
          <w:rFonts w:ascii="Arial" w:hAnsi="Arial"/>
          <w:color w:val="000000"/>
          <w:sz w:val="16"/>
        </w:rPr>
      </w:pPr>
      <w:r>
        <w:rPr>
          <w:rFonts w:ascii="Arial" w:hAnsi="Arial"/>
          <w:color w:val="000000"/>
          <w:sz w:val="16"/>
        </w:rPr>
        <w:t>* Probability of successful achievement was set at different targets based on the Company’s estimates on achieving them. The weighted average probability of successful achievement as of March 31, 2025 was 59.8%.</w:t>
      </w:r>
    </w:p>
    <w:p>
      <w:pPr>
        <w:pStyle w:val="TextBody"/>
        <w:bidi w:val="0"/>
        <w:spacing w:before="200" w:after="200"/>
        <w:jc w:val="left"/>
        <w:rPr>
          <w:rFonts w:ascii="Arial" w:hAnsi="Arial"/>
          <w:color w:val="000000"/>
          <w:sz w:val="20"/>
        </w:rPr>
      </w:pPr>
      <w:r>
        <w:rPr>
          <w:rFonts w:ascii="Arial" w:hAnsi="Arial"/>
          <w:color w:val="000000"/>
          <w:sz w:val="20"/>
        </w:rPr>
        <w:t>Increases or decreases in the discount rate would result in a lower or higher fair value measurement, respectively. Increases or decreases in any of the probabilities of success in which the revenue, top customers, product and IT milestones are expected to be achieved would result in higher or lower fair value measurement, respectively.</w:t>
      </w:r>
    </w:p>
    <w:p>
      <w:pPr>
        <w:pStyle w:val="TextBody"/>
        <w:bidi w:val="0"/>
        <w:spacing w:before="0" w:after="200"/>
        <w:jc w:val="left"/>
        <w:rPr>
          <w:rFonts w:ascii="Arial" w:hAnsi="Arial"/>
          <w:b/>
          <w:i/>
          <w:color w:val="000000"/>
          <w:sz w:val="20"/>
        </w:rPr>
      </w:pPr>
      <w:r>
        <w:rPr>
          <w:rFonts w:ascii="Arial" w:hAnsi="Arial"/>
          <w:b/>
          <w:i/>
          <w:color w:val="000000"/>
          <w:sz w:val="20"/>
        </w:rPr>
        <w:t>Learning Information Systems Pty Ltd. (StudyLink)</w:t>
      </w:r>
    </w:p>
    <w:p>
      <w:pPr>
        <w:pStyle w:val="TextBody"/>
        <w:bidi w:val="0"/>
        <w:spacing w:before="0" w:after="200"/>
        <w:jc w:val="left"/>
        <w:rPr>
          <w:rFonts w:ascii="Times New Roman" w:hAnsi="Times New Roman"/>
          <w:sz w:val="20"/>
        </w:rPr>
      </w:pPr>
      <w:r>
        <w:rPr>
          <w:rFonts w:ascii="Arial" w:hAnsi="Arial"/>
          <w:color w:val="000000"/>
          <w:sz w:val="20"/>
        </w:rPr>
        <w:t>The fair value of the contingent consideration related to the revenue milestone from the Company’s acquisition of StudyLink in November 2023 was determined using an option pricing model and the fair value of the contingent consideration related to the volume of money movement, cross-selling and engineering implementation milestones was determined using a scenario-based method. Refer to</w:t>
      </w:r>
      <w:r>
        <w:rPr>
          <w:rFonts w:ascii="Times New Roman" w:hAnsi="Times New Roman"/>
          <w:color w:val="000000"/>
          <w:sz w:val="20"/>
        </w:rPr>
        <w:t xml:space="preserve"> </w:t>
      </w:r>
      <w:r>
        <w:rPr>
          <w:rFonts w:ascii="Arial" w:hAnsi="Arial"/>
          <w:i/>
          <w:color w:val="000000"/>
          <w:sz w:val="20"/>
        </w:rPr>
        <w:t>Note 10 - Business Combinations</w:t>
      </w:r>
      <w:r>
        <w:rPr>
          <w:rFonts w:ascii="Times New Roman" w:hAnsi="Times New Roman"/>
          <w:color w:val="000000"/>
          <w:sz w:val="20"/>
        </w:rPr>
        <w:t xml:space="preserve"> </w:t>
      </w:r>
      <w:r>
        <w:rPr>
          <w:rFonts w:ascii="Arial" w:hAnsi="Arial"/>
          <w:color w:val="000000"/>
          <w:sz w:val="20"/>
        </w:rPr>
        <w:t>for additional details on the StudyLink acquisition. The following table presents the unobservable inputs incorporated into the valuation of contingent consideration as of March 31, 2025 and December 31, 2024.</w:t>
      </w:r>
    </w:p>
    <w:tbl>
      <w:tblPr>
        <w:tblW w:w="6745" w:type="dxa"/>
        <w:jc w:val="left"/>
        <w:tblInd w:w="0" w:type="dxa"/>
        <w:tblLayout w:type="fixed"/>
        <w:tblCellMar>
          <w:top w:w="28" w:type="dxa"/>
          <w:left w:w="28" w:type="dxa"/>
          <w:bottom w:w="28" w:type="dxa"/>
          <w:right w:w="28" w:type="dxa"/>
        </w:tblCellMar>
      </w:tblPr>
      <w:tblGrid>
        <w:gridCol w:w="3571"/>
        <w:gridCol w:w="146"/>
        <w:gridCol w:w="1261"/>
        <w:gridCol w:w="146"/>
        <w:gridCol w:w="162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 - 8.2%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 - 8.2%</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successful achievement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 -100%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 -100%</w:t>
            </w:r>
          </w:p>
        </w:tc>
      </w:tr>
    </w:tbl>
    <w:p>
      <w:pPr>
        <w:pStyle w:val="TextBody"/>
        <w:bidi w:val="0"/>
        <w:spacing w:before="0" w:after="60"/>
        <w:jc w:val="left"/>
        <w:rPr>
          <w:rFonts w:ascii="Arial" w:hAnsi="Arial"/>
          <w:color w:val="000000"/>
          <w:sz w:val="16"/>
        </w:rPr>
      </w:pPr>
      <w:r>
        <w:rPr>
          <w:rFonts w:ascii="Arial" w:hAnsi="Arial"/>
          <w:color w:val="000000"/>
          <w:sz w:val="16"/>
        </w:rPr>
        <w:t>_____________________________</w:t>
      </w:r>
    </w:p>
    <w:p>
      <w:pPr>
        <w:pStyle w:val="TextBody"/>
        <w:bidi w:val="0"/>
        <w:jc w:val="left"/>
        <w:rPr>
          <w:rFonts w:ascii="Arial" w:hAnsi="Arial"/>
          <w:color w:val="000000"/>
          <w:sz w:val="16"/>
        </w:rPr>
      </w:pPr>
      <w:r>
        <w:rPr>
          <w:rFonts w:ascii="Arial" w:hAnsi="Arial"/>
          <w:color w:val="000000"/>
          <w:sz w:val="16"/>
        </w:rPr>
        <w:t>* Probability of successful achievement was set at different targets based on the Company’s estimates on achieving them. The weighted average probability of successful achievement as of March 31, 2025 was 42.3%.</w:t>
      </w:r>
    </w:p>
    <w:p>
      <w:pPr>
        <w:pStyle w:val="TextBody"/>
        <w:bidi w:val="0"/>
        <w:spacing w:before="200" w:after="200"/>
        <w:jc w:val="left"/>
        <w:rPr>
          <w:rFonts w:ascii="Times New Roman" w:hAnsi="Times New Roman"/>
          <w:sz w:val="20"/>
        </w:rPr>
      </w:pPr>
      <w:r>
        <w:rPr>
          <w:rFonts w:ascii="Arial" w:hAnsi="Arial"/>
          <w:color w:val="000000"/>
          <w:sz w:val="20"/>
        </w:rPr>
        <w:t>Increases or decreases in the discount rate would result in a lower or higher fair value measurement, respectively. Increases or decreases in any of the probabilities of success in which the revenue, volume, cross-selling and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engineering implementation milestones are expected to be achieved would result in higher or lower fair value measurement, respectively.</w:t>
      </w:r>
    </w:p>
    <w:p>
      <w:pPr>
        <w:pStyle w:val="TextBody"/>
        <w:bidi w:val="0"/>
        <w:spacing w:before="0" w:after="200"/>
        <w:jc w:val="left"/>
        <w:rPr>
          <w:rFonts w:ascii="Arial" w:hAnsi="Arial"/>
          <w:color w:val="000000"/>
          <w:sz w:val="20"/>
        </w:rPr>
      </w:pPr>
      <w:r>
        <w:rPr>
          <w:rFonts w:ascii="Arial" w:hAnsi="Arial"/>
          <w:color w:val="000000"/>
          <w:sz w:val="20"/>
        </w:rPr>
        <w:t xml:space="preserve">Changes in the fair value of contingent consideration are included as a component of general and administrative expense within the condensed consolidated statements of operations and comprehensive loss. The following table summarizes the changes in the carrying value of the contingent consideration for the periods presented (in thousands): </w:t>
      </w:r>
    </w:p>
    <w:tbl>
      <w:tblPr>
        <w:tblW w:w="6461" w:type="dxa"/>
        <w:jc w:val="left"/>
        <w:tblInd w:w="0" w:type="dxa"/>
        <w:tblLayout w:type="fixed"/>
        <w:tblCellMar>
          <w:top w:w="28" w:type="dxa"/>
          <w:left w:w="28" w:type="dxa"/>
          <w:bottom w:w="28" w:type="dxa"/>
          <w:right w:w="28" w:type="dxa"/>
        </w:tblCellMar>
      </w:tblPr>
      <w:tblGrid>
        <w:gridCol w:w="3556"/>
        <w:gridCol w:w="146"/>
        <w:gridCol w:w="285"/>
        <w:gridCol w:w="792"/>
        <w:gridCol w:w="197"/>
        <w:gridCol w:w="197"/>
        <w:gridCol w:w="285"/>
        <w:gridCol w:w="792"/>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rFonts w:ascii="Arial" w:hAnsi="Arial"/>
          <w:color w:val="000000"/>
          <w:sz w:val="16"/>
        </w:rPr>
      </w:pPr>
      <w:r>
        <w:rPr>
          <w:rFonts w:ascii="Arial" w:hAnsi="Arial"/>
          <w:color w:val="000000"/>
          <w:sz w:val="16"/>
        </w:rPr>
        <w:t>* Contingent consideration when paid is bifurcated between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pStyle w:val="TextBody"/>
        <w:bidi w:val="0"/>
        <w:spacing w:before="160" w:after="283"/>
        <w:jc w:val="left"/>
        <w:rPr>
          <w:rFonts w:ascii="Times New Roman" w:hAnsi="Times New Roman"/>
          <w:sz w:val="20"/>
        </w:rPr>
      </w:pPr>
      <w:bookmarkStart w:id="19" w:name="note_5"/>
      <w:bookmarkEnd w:id="19"/>
      <w:r>
        <w:rPr>
          <w:rFonts w:ascii="Arial" w:hAnsi="Arial"/>
          <w:b/>
          <w:color w:val="000000"/>
          <w:sz w:val="20"/>
        </w:rPr>
        <w:t>Note 6. Derivative Instruments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condensed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March 31, 2025 and December 31, 2024, the Company had 10,508</w:t>
      </w:r>
      <w:r>
        <w:rPr>
          <w:rFonts w:ascii="Times New Roman" w:hAnsi="Times New Roman"/>
          <w:color w:val="000000"/>
          <w:sz w:val="20"/>
        </w:rPr>
        <w:t xml:space="preserve"> </w:t>
      </w:r>
      <w:r>
        <w:rPr>
          <w:rFonts w:ascii="Arial" w:hAnsi="Arial"/>
          <w:color w:val="000000"/>
          <w:sz w:val="20"/>
        </w:rPr>
        <w:t>and 18,858</w:t>
      </w:r>
      <w:r>
        <w:rPr>
          <w:rFonts w:ascii="Times New Roman" w:hAnsi="Times New Roman"/>
          <w:color w:val="000000"/>
          <w:sz w:val="20"/>
        </w:rPr>
        <w:t xml:space="preserve"> </w:t>
      </w:r>
      <w:r>
        <w:rPr>
          <w:rFonts w:ascii="Arial" w:hAnsi="Arial"/>
          <w:color w:val="000000"/>
          <w:sz w:val="20"/>
        </w:rPr>
        <w:t>open foreign exchange contracts, respectively. As of March 31, 2025 and December 31, 2024, the Company had foreign currency forward contracts outstanding with a notional amount of $28.4</w:t>
      </w:r>
      <w:r>
        <w:rPr>
          <w:rFonts w:ascii="Times New Roman" w:hAnsi="Times New Roman"/>
          <w:color w:val="000000"/>
          <w:sz w:val="20"/>
        </w:rPr>
        <w:t xml:space="preserve"> </w:t>
      </w:r>
      <w:r>
        <w:rPr>
          <w:rFonts w:ascii="Arial" w:hAnsi="Arial"/>
          <w:color w:val="000000"/>
          <w:sz w:val="20"/>
        </w:rPr>
        <w:t>million and $43.3</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Company records all derivative instruments</w:t>
      </w:r>
      <w:r>
        <w:rPr>
          <w:rFonts w:ascii="Times New Roman" w:hAnsi="Times New Roman"/>
          <w:color w:val="000000"/>
          <w:sz w:val="20"/>
        </w:rPr>
        <w:t xml:space="preserve"> </w:t>
      </w:r>
      <w:r>
        <w:rPr>
          <w:rFonts w:ascii="Arial" w:hAnsi="Arial"/>
          <w:color w:val="000000"/>
          <w:sz w:val="20"/>
        </w:rPr>
        <w:t>in the condensed consolidated balance sheets at their fair values. The Company recorded a liability of less than $0.1</w:t>
      </w:r>
      <w:r>
        <w:rPr>
          <w:rFonts w:ascii="Times New Roman" w:hAnsi="Times New Roman"/>
          <w:color w:val="000000"/>
          <w:sz w:val="20"/>
        </w:rPr>
        <w:t xml:space="preserve"> </w:t>
      </w:r>
      <w:r>
        <w:rPr>
          <w:rFonts w:ascii="Arial" w:hAnsi="Arial"/>
          <w:color w:val="000000"/>
          <w:sz w:val="20"/>
        </w:rPr>
        <w:t>million related to outstanding foreign exchange contracts at March 31, 2025 and for the year ended December 31, 2024</w:t>
      </w:r>
      <w:r>
        <w:rPr>
          <w:rFonts w:ascii="Times New Roman" w:hAnsi="Times New Roman"/>
          <w:color w:val="000000"/>
          <w:sz w:val="20"/>
        </w:rPr>
        <w:t xml:space="preserve"> </w:t>
      </w:r>
      <w:r>
        <w:rPr>
          <w:rFonts w:ascii="Arial" w:hAnsi="Arial"/>
          <w:color w:val="000000"/>
          <w:sz w:val="20"/>
        </w:rPr>
        <w:t>the Company recorded an asset of less than $0.1</w:t>
      </w:r>
      <w:r>
        <w:rPr>
          <w:rFonts w:ascii="Times New Roman" w:hAnsi="Times New Roman"/>
          <w:color w:val="000000"/>
          <w:sz w:val="20"/>
        </w:rPr>
        <w:t xml:space="preserve"> </w:t>
      </w:r>
      <w:r>
        <w:rPr>
          <w:rFonts w:ascii="Arial" w:hAnsi="Arial"/>
          <w:color w:val="000000"/>
          <w:sz w:val="20"/>
        </w:rPr>
        <w:t>million. The Company recognized gains of less than $0.1</w:t>
      </w:r>
      <w:r>
        <w:rPr>
          <w:rFonts w:ascii="Times New Roman" w:hAnsi="Times New Roman"/>
          <w:color w:val="000000"/>
          <w:sz w:val="20"/>
        </w:rPr>
        <w:t xml:space="preserve"> </w:t>
      </w:r>
      <w:r>
        <w:rPr>
          <w:rFonts w:ascii="Arial" w:hAnsi="Arial"/>
          <w:color w:val="000000"/>
          <w:sz w:val="20"/>
        </w:rPr>
        <w:t>million during the three months ended March 31, 2025</w:t>
      </w:r>
      <w:r>
        <w:rPr>
          <w:rFonts w:ascii="Times New Roman" w:hAnsi="Times New Roman"/>
          <w:color w:val="000000"/>
          <w:sz w:val="20"/>
        </w:rPr>
        <w:t xml:space="preserve"> </w:t>
      </w:r>
      <w:r>
        <w:rPr>
          <w:rFonts w:ascii="Arial" w:hAnsi="Arial"/>
          <w:color w:val="000000"/>
          <w:sz w:val="20"/>
        </w:rPr>
        <w:t>and 2024, respectively. Gains and losses are included as a component of general and administrative expense within the condensed consolidated statements of operations and comprehensive loss.</w:t>
      </w:r>
    </w:p>
    <w:p>
      <w:pPr>
        <w:pStyle w:val="TextBody"/>
        <w:bidi w:val="0"/>
        <w:spacing w:before="160" w:after="283"/>
        <w:jc w:val="left"/>
        <w:rPr>
          <w:rFonts w:ascii="Times New Roman" w:hAnsi="Times New Roman"/>
          <w:sz w:val="20"/>
        </w:rPr>
      </w:pPr>
      <w:bookmarkStart w:id="20" w:name="note_6"/>
      <w:bookmarkEnd w:id="20"/>
      <w:r>
        <w:rPr>
          <w:rFonts w:ascii="Arial" w:hAnsi="Arial"/>
          <w:b/>
          <w:color w:val="000000"/>
          <w:sz w:val="20"/>
        </w:rPr>
        <w:t>Note 7. Accrued Expenses and Other Current Liabilities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Accrued expenses and other current liabilities consisted of the following as of the dates presented (in thousands):</w:t>
      </w:r>
      <w:r>
        <w:rPr>
          <w:rFonts w:ascii="Times New Roman" w:hAnsi="Times New Roman"/>
          <w:color w:val="000000"/>
          <w:sz w:val="20"/>
        </w:rPr>
        <w:t xml:space="preserve"> </w:t>
      </w:r>
    </w:p>
    <w:tbl>
      <w:tblPr>
        <w:tblW w:w="7562" w:type="dxa"/>
        <w:jc w:val="left"/>
        <w:tblInd w:w="0" w:type="dxa"/>
        <w:tblLayout w:type="fixed"/>
        <w:tblCellMar>
          <w:top w:w="28" w:type="dxa"/>
          <w:left w:w="28" w:type="dxa"/>
          <w:bottom w:w="28" w:type="dxa"/>
          <w:right w:w="28" w:type="dxa"/>
        </w:tblCellMar>
      </w:tblPr>
      <w:tblGrid>
        <w:gridCol w:w="4861"/>
        <w:gridCol w:w="146"/>
        <w:gridCol w:w="211"/>
        <w:gridCol w:w="691"/>
        <w:gridCol w:w="146"/>
        <w:gridCol w:w="146"/>
        <w:gridCol w:w="273"/>
        <w:gridCol w:w="897"/>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compensation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vendor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income and other non-employee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portion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Consideration payable for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expenses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21" w:name="note_7"/>
      <w:bookmarkEnd w:id="21"/>
      <w:r>
        <w:rPr>
          <w:rFonts w:ascii="Arial" w:hAnsi="Arial"/>
          <w:b/>
          <w:color w:val="000000"/>
          <w:sz w:val="20"/>
        </w:rPr>
        <w:t>Note 8. Property and Equipment, net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Property and equipment, net consisted of the following as of the dates presented (in thousands):</w:t>
      </w:r>
      <w:r>
        <w:rPr>
          <w:rFonts w:ascii="Times New Roman" w:hAnsi="Times New Roman"/>
          <w:color w:val="000000"/>
          <w:sz w:val="20"/>
        </w:rPr>
        <w:t xml:space="preserve"> </w:t>
      </w:r>
    </w:p>
    <w:tbl>
      <w:tblPr>
        <w:tblW w:w="7287" w:type="dxa"/>
        <w:jc w:val="left"/>
        <w:tblInd w:w="0" w:type="dxa"/>
        <w:tblLayout w:type="fixed"/>
        <w:tblCellMar>
          <w:top w:w="28" w:type="dxa"/>
          <w:left w:w="28" w:type="dxa"/>
          <w:bottom w:w="28" w:type="dxa"/>
          <w:right w:w="28" w:type="dxa"/>
        </w:tblCellMar>
      </w:tblPr>
      <w:tblGrid>
        <w:gridCol w:w="4486"/>
        <w:gridCol w:w="146"/>
        <w:gridCol w:w="211"/>
        <w:gridCol w:w="751"/>
        <w:gridCol w:w="166"/>
        <w:gridCol w:w="146"/>
        <w:gridCol w:w="256"/>
        <w:gridCol w:w="914"/>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rFonts w:ascii="Arial" w:hAnsi="Arial"/>
          <w:color w:val="000000"/>
          <w:sz w:val="16"/>
        </w:rPr>
      </w:pPr>
      <w:r>
        <w:rPr>
          <w:rFonts w:ascii="Arial" w:hAnsi="Arial"/>
          <w:color w:val="000000"/>
          <w:sz w:val="16"/>
        </w:rPr>
        <w:t>* For the three months ended March 31, 2025, accumulated depreciation and amortization expense included $(1,415) thousand of computer disposals and $(85) thousand of foreign currency translation adjustments. For the three months ended March 31, 2024, accumulated depreciation and amortization expense included $(140) thousand of computer disposals and $(117) thousand of foreign currency translation adjustments.</w:t>
      </w:r>
    </w:p>
    <w:p>
      <w:pPr>
        <w:pStyle w:val="TextBody"/>
        <w:bidi w:val="0"/>
        <w:spacing w:before="0" w:after="200"/>
        <w:jc w:val="left"/>
        <w:rPr>
          <w:rFonts w:ascii="Times New Roman" w:hAnsi="Times New Roman"/>
          <w:sz w:val="20"/>
        </w:rPr>
      </w:pPr>
      <w:r>
        <w:rPr>
          <w:rFonts w:ascii="Arial" w:hAnsi="Arial"/>
          <w:color w:val="000000"/>
          <w:sz w:val="20"/>
        </w:rPr>
        <w:t>Depreciation of property and equipment and amortization of internal-use software for the three months ended March 31, 2025 and 2024</w:t>
      </w:r>
      <w:r>
        <w:rPr>
          <w:rFonts w:ascii="Times New Roman" w:hAnsi="Times New Roman"/>
          <w:color w:val="000000"/>
          <w:sz w:val="20"/>
        </w:rPr>
        <w:t xml:space="preserve"> </w:t>
      </w:r>
      <w:r>
        <w:rPr>
          <w:rFonts w:ascii="Arial" w:hAnsi="Arial"/>
          <w:color w:val="000000"/>
          <w:sz w:val="20"/>
        </w:rPr>
        <w:t>was $1.5</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Company capitalized $1.2</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in costs related to internal-use software during the three months ended March 31, 2025 and 2024, respectively. Software developed for internal use is amortized on a straight-line basis over its estimated useful life of five years.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As of March 31, 2025 and December 31, 2024, the carrying value of internal-use software was</w:t>
      </w:r>
      <w:r>
        <w:rPr>
          <w:rFonts w:ascii="Times New Roman" w:hAnsi="Times New Roman"/>
          <w:color w:val="000000"/>
          <w:sz w:val="20"/>
        </w:rPr>
        <w:t xml:space="preserve"> </w:t>
      </w:r>
      <w:r>
        <w:rPr>
          <w:rFonts w:ascii="Arial" w:hAnsi="Arial"/>
          <w:color w:val="000000"/>
          <w:sz w:val="20"/>
        </w:rPr>
        <w:t>$15.8</w:t>
      </w:r>
      <w:r>
        <w:rPr>
          <w:rFonts w:ascii="Times New Roman" w:hAnsi="Times New Roman"/>
          <w:color w:val="000000"/>
          <w:sz w:val="20"/>
        </w:rPr>
        <w:t xml:space="preserve"> </w:t>
      </w:r>
      <w:r>
        <w:rPr>
          <w:rFonts w:ascii="Arial" w:hAnsi="Arial"/>
          <w:color w:val="000000"/>
          <w:sz w:val="20"/>
        </w:rPr>
        <w:t>million and $15.4</w:t>
      </w:r>
      <w:r>
        <w:rPr>
          <w:rFonts w:ascii="Times New Roman" w:hAnsi="Times New Roman"/>
          <w:color w:val="000000"/>
          <w:sz w:val="20"/>
        </w:rPr>
        <w:t xml:space="preserve"> </w:t>
      </w:r>
      <w:r>
        <w:rPr>
          <w:rFonts w:ascii="Arial" w:hAnsi="Arial"/>
          <w:color w:val="000000"/>
          <w:sz w:val="20"/>
        </w:rPr>
        <w:t>million, respectively. Amortization expense related to internal-use software for the three months ended March 31, 2025 and 2024</w:t>
      </w:r>
      <w:r>
        <w:rPr>
          <w:rFonts w:ascii="Times New Roman" w:hAnsi="Times New Roman"/>
          <w:color w:val="000000"/>
          <w:sz w:val="20"/>
        </w:rPr>
        <w:t xml:space="preserve"> </w:t>
      </w:r>
      <w:r>
        <w:rPr>
          <w:rFonts w:ascii="Arial" w:hAnsi="Arial"/>
          <w:color w:val="000000"/>
          <w:sz w:val="20"/>
        </w:rPr>
        <w:t>was $1.1</w:t>
      </w:r>
      <w:r>
        <w:rPr>
          <w:rFonts w:ascii="Times New Roman" w:hAnsi="Times New Roman"/>
          <w:color w:val="000000"/>
          <w:sz w:val="20"/>
        </w:rPr>
        <w:t xml:space="preserve"> </w:t>
      </w:r>
      <w:r>
        <w:rPr>
          <w:rFonts w:ascii="Arial" w:hAnsi="Arial"/>
          <w:color w:val="000000"/>
          <w:sz w:val="20"/>
        </w:rPr>
        <w:t>million and $0.9</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rFonts w:ascii="Arial" w:hAnsi="Arial"/>
          <w:b/>
          <w:color w:val="000000"/>
          <w:sz w:val="20"/>
        </w:rPr>
      </w:pPr>
      <w:bookmarkStart w:id="22" w:name="note9_restructuring"/>
      <w:bookmarkEnd w:id="22"/>
      <w:r>
        <w:rPr>
          <w:rFonts w:ascii="Arial" w:hAnsi="Arial"/>
          <w:b/>
          <w:color w:val="000000"/>
          <w:sz w:val="20"/>
        </w:rPr>
        <w:t>Note 9. Restructuring</w:t>
      </w:r>
    </w:p>
    <w:p>
      <w:pPr>
        <w:pStyle w:val="TextBody"/>
        <w:bidi w:val="0"/>
        <w:spacing w:before="200" w:after="200"/>
        <w:jc w:val="left"/>
        <w:rPr>
          <w:rFonts w:ascii="Times New Roman" w:hAnsi="Times New Roman"/>
          <w:sz w:val="20"/>
        </w:rPr>
      </w:pPr>
      <w:r>
        <w:rPr>
          <w:rFonts w:ascii="Arial" w:hAnsi="Arial"/>
          <w:color w:val="000000"/>
          <w:sz w:val="20"/>
        </w:rPr>
        <w:t>In February 2025, the Company announced a restructuring plan that is designed to improve operational efficiencies, reduce operating costs and better align the Company’s workforce with current business needs, top strategic priorities and key growth opportunities (collectively, the Restructuring Plan). In connection with the Restructuring Plan, the Company incurred restructuring and restructuring-related charges of $7.3</w:t>
      </w:r>
      <w:r>
        <w:rPr>
          <w:rFonts w:ascii="Times New Roman" w:hAnsi="Times New Roman"/>
          <w:color w:val="000000"/>
          <w:sz w:val="20"/>
        </w:rPr>
        <w:t xml:space="preserve"> </w:t>
      </w:r>
      <w:r>
        <w:rPr>
          <w:rFonts w:ascii="Arial" w:hAnsi="Arial"/>
          <w:color w:val="000000"/>
          <w:sz w:val="20"/>
        </w:rPr>
        <w:t>million during the three months ended March 31, 2025, recorded within restructuring expenses on the condensed consolidated statements of operations and comprehensive loss, primarily consisting of cash expenditures for severance payments</w:t>
      </w:r>
      <w:r>
        <w:rPr>
          <w:rFonts w:ascii="Times New Roman" w:hAnsi="Times New Roman"/>
          <w:color w:val="000000"/>
          <w:sz w:val="20"/>
        </w:rPr>
        <w:t xml:space="preserve"> </w:t>
      </w:r>
      <w:r>
        <w:rPr>
          <w:rFonts w:ascii="Arial" w:hAnsi="Arial"/>
          <w:color w:val="000000"/>
          <w:sz w:val="20"/>
        </w:rPr>
        <w:t>and related expenses</w:t>
      </w:r>
      <w:r>
        <w:rPr>
          <w:rFonts w:ascii="Times New Roman" w:hAnsi="Times New Roman"/>
          <w:color w:val="000000"/>
          <w:sz w:val="20"/>
        </w:rPr>
        <w:t xml:space="preserve"> </w:t>
      </w:r>
      <w:r>
        <w:rPr>
          <w:rFonts w:ascii="Arial" w:hAnsi="Arial"/>
          <w:color w:val="000000"/>
          <w:sz w:val="20"/>
        </w:rPr>
        <w:t>of $5.1</w:t>
      </w:r>
      <w:r>
        <w:rPr>
          <w:rFonts w:ascii="Times New Roman" w:hAnsi="Times New Roman"/>
          <w:color w:val="000000"/>
          <w:sz w:val="20"/>
        </w:rPr>
        <w:t xml:space="preserve"> </w:t>
      </w:r>
      <w:r>
        <w:rPr>
          <w:rFonts w:ascii="Arial" w:hAnsi="Arial"/>
          <w:color w:val="000000"/>
          <w:sz w:val="20"/>
        </w:rPr>
        <w:t>million, as well as non-cash expenditures related to acceleration of vesting of share-based awards of $2.2</w:t>
      </w:r>
      <w:r>
        <w:rPr>
          <w:rFonts w:ascii="Times New Roman" w:hAnsi="Times New Roman"/>
          <w:color w:val="000000"/>
          <w:sz w:val="20"/>
        </w:rPr>
        <w:t xml:space="preserve"> </w:t>
      </w:r>
      <w:r>
        <w:rPr>
          <w:rFonts w:ascii="Arial" w:hAnsi="Arial"/>
          <w:color w:val="000000"/>
          <w:sz w:val="20"/>
        </w:rPr>
        <w:t>million. As of March 31, 2025, the accrued restructuring liability was $1.9</w:t>
      </w:r>
      <w:r>
        <w:rPr>
          <w:rFonts w:ascii="Times New Roman" w:hAnsi="Times New Roman"/>
          <w:color w:val="000000"/>
          <w:sz w:val="20"/>
        </w:rPr>
        <w:t xml:space="preserve"> </w:t>
      </w:r>
      <w:r>
        <w:rPr>
          <w:rFonts w:ascii="Arial" w:hAnsi="Arial"/>
          <w:color w:val="000000"/>
          <w:sz w:val="20"/>
        </w:rPr>
        <w:t>million, which is included within accounts payable and accrued expenses and other current liabilities in the condensed consolidated balance sheets. The Company estimates total costs of approximately $7.3</w:t>
      </w:r>
      <w:r>
        <w:rPr>
          <w:rFonts w:ascii="Times New Roman" w:hAnsi="Times New Roman"/>
          <w:color w:val="000000"/>
          <w:sz w:val="20"/>
        </w:rPr>
        <w:t xml:space="preserve"> </w:t>
      </w:r>
      <w:r>
        <w:rPr>
          <w:rFonts w:ascii="Arial" w:hAnsi="Arial"/>
          <w:color w:val="000000"/>
          <w:sz w:val="20"/>
        </w:rPr>
        <w:t>million to $9.0</w:t>
      </w:r>
      <w:r>
        <w:rPr>
          <w:rFonts w:ascii="Times New Roman" w:hAnsi="Times New Roman"/>
          <w:color w:val="000000"/>
          <w:sz w:val="20"/>
        </w:rPr>
        <w:t xml:space="preserve"> </w:t>
      </w:r>
      <w:r>
        <w:rPr>
          <w:rFonts w:ascii="Arial" w:hAnsi="Arial"/>
          <w:color w:val="000000"/>
          <w:sz w:val="20"/>
        </w:rPr>
        <w:t>million to be incurred in connection with the Restructuring Plan and for the costs to be substantially complete by the end of the second quarter of 2025.</w:t>
      </w:r>
    </w:p>
    <w:p>
      <w:pPr>
        <w:pStyle w:val="TextBody"/>
        <w:bidi w:val="0"/>
        <w:spacing w:before="40" w:after="283"/>
        <w:jc w:val="left"/>
        <w:rPr>
          <w:rFonts w:ascii="Times New Roman" w:hAnsi="Times New Roman"/>
          <w:sz w:val="20"/>
        </w:rPr>
      </w:pPr>
      <w:bookmarkStart w:id="23" w:name="note_8"/>
      <w:bookmarkEnd w:id="23"/>
      <w:r>
        <w:rPr>
          <w:rFonts w:ascii="Arial" w:hAnsi="Arial"/>
          <w:b/>
          <w:color w:val="000000"/>
          <w:sz w:val="20"/>
        </w:rPr>
        <w:t>Note 10. Business Combinations</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Sertifi</w:t>
      </w:r>
    </w:p>
    <w:p>
      <w:pPr>
        <w:pStyle w:val="TextBody"/>
        <w:bidi w:val="0"/>
        <w:spacing w:before="200" w:after="200"/>
        <w:jc w:val="left"/>
        <w:rPr>
          <w:rFonts w:ascii="Times New Roman" w:hAnsi="Times New Roman"/>
          <w:sz w:val="20"/>
        </w:rPr>
      </w:pPr>
      <w:r>
        <w:rPr>
          <w:rFonts w:ascii="Arial" w:hAnsi="Arial"/>
          <w:color w:val="000000"/>
          <w:sz w:val="20"/>
        </w:rPr>
        <w:t>On February 24, 2025, Flywire acquired all of the issued and outstanding membership interests of Sertifi LLC (Sertifi) for upfront cash consideration of $330.0</w:t>
      </w:r>
      <w:r>
        <w:rPr>
          <w:rFonts w:ascii="Times New Roman" w:hAnsi="Times New Roman"/>
          <w:color w:val="000000"/>
          <w:sz w:val="20"/>
        </w:rPr>
        <w:t xml:space="preserve"> </w:t>
      </w:r>
      <w:r>
        <w:rPr>
          <w:rFonts w:ascii="Arial" w:hAnsi="Arial"/>
          <w:color w:val="000000"/>
          <w:sz w:val="20"/>
        </w:rPr>
        <w:t>million, subject to certain post-closing adjustments set forth in the Purchase and Sale Agreement (the Agreement), and contingent consideration of up to $10</w:t>
      </w:r>
      <w:r>
        <w:rPr>
          <w:rFonts w:ascii="Times New Roman" w:hAnsi="Times New Roman"/>
          <w:color w:val="000000"/>
          <w:sz w:val="20"/>
        </w:rPr>
        <w:t xml:space="preserve"> </w:t>
      </w:r>
      <w:r>
        <w:rPr>
          <w:rFonts w:ascii="Arial" w:hAnsi="Arial"/>
          <w:color w:val="000000"/>
          <w:sz w:val="20"/>
        </w:rPr>
        <w:t>million upon the completion or satisfaction of certain technical and commercial milestones by Sertifi. Sertifi is a vertical software and payments platform digitizing hospitality-specific workflows and associated payments. The acquisition of Sertifi was intended to accelerate the Company’s travel business and expand Flywire’s offerings to support over 20,000 hotel locations globally.</w:t>
      </w:r>
    </w:p>
    <w:p>
      <w:pPr>
        <w:pStyle w:val="TextBody"/>
        <w:bidi w:val="0"/>
        <w:spacing w:before="0" w:after="200"/>
        <w:jc w:val="left"/>
        <w:rPr>
          <w:rFonts w:ascii="Times New Roman" w:hAnsi="Times New Roman"/>
          <w:sz w:val="20"/>
        </w:rPr>
      </w:pPr>
      <w:r>
        <w:rPr>
          <w:rFonts w:ascii="Arial" w:hAnsi="Arial"/>
          <w:color w:val="000000"/>
          <w:sz w:val="20"/>
        </w:rPr>
        <w:t>The Company paid the upfront cash consideration through a combination of cash on hand and $125.0</w:t>
      </w:r>
      <w:r>
        <w:rPr>
          <w:rFonts w:ascii="Times New Roman" w:hAnsi="Times New Roman"/>
          <w:color w:val="000000"/>
          <w:sz w:val="20"/>
        </w:rPr>
        <w:t xml:space="preserve"> </w:t>
      </w:r>
      <w:r>
        <w:rPr>
          <w:rFonts w:ascii="Arial" w:hAnsi="Arial"/>
          <w:color w:val="000000"/>
          <w:sz w:val="20"/>
        </w:rPr>
        <w:t>million borrowed from its existing 2024 Revolving Credit Facility.</w:t>
      </w:r>
    </w:p>
    <w:p>
      <w:pPr>
        <w:pStyle w:val="TextBody"/>
        <w:bidi w:val="0"/>
        <w:spacing w:before="0" w:after="200"/>
        <w:jc w:val="left"/>
        <w:rPr>
          <w:rFonts w:ascii="Times New Roman" w:hAnsi="Times New Roman"/>
          <w:sz w:val="20"/>
        </w:rPr>
      </w:pPr>
      <w:r>
        <w:rPr>
          <w:rFonts w:ascii="Arial" w:hAnsi="Arial"/>
          <w:color w:val="000000"/>
          <w:sz w:val="20"/>
        </w:rPr>
        <w:t>The Company has performed initial valuation analyses necessary to assess the fair values of the assets acquired and liabilities assumed and the amount of goodwill to be recognized as of the acquisition date. These fair values were based on management’s estimates and assumptions; however, the amounts indicated are preliminary in nature and are subject to adjustment as additional information is obtained about the facts and circumstances that existed as of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acquisition date. Accordingly, there may be adjustments to the assigned values of acquired assets and liabilities assumed. Areas that remain preliminary primarily relate to net working capital adjustments, fair values of deferred revenue and the key underlying judgments and assumptions used in the acquired intangible assets, asset lives, as well as any changes to residual goodwill resulting from measurement period adjustments. The final determination of acquisition date fair values and residual goodwill will be completed as soon as practicable, and within the measurement period of up to one year from the acquisition date as permitted under GAAP. Any adjustments to provisional amounts that are identified during the measurement period will be recorded in the reporting period in which the adjustment is determined.</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Pursuant to the terms of the Agreement, the Company acquired Sertifi for estimated total purchase consideration of approximately $335.9</w:t>
      </w:r>
      <w:r>
        <w:rPr>
          <w:rFonts w:ascii="Times New Roman" w:hAnsi="Times New Roman"/>
          <w:color w:val="000000"/>
          <w:sz w:val="20"/>
        </w:rPr>
        <w:t xml:space="preserve"> </w:t>
      </w:r>
      <w:r>
        <w:rPr>
          <w:rFonts w:ascii="Arial" w:hAnsi="Arial"/>
          <w:color w:val="000000"/>
          <w:sz w:val="20"/>
        </w:rPr>
        <w:t>million or $327.8</w:t>
      </w:r>
      <w:r>
        <w:rPr>
          <w:rFonts w:ascii="Times New Roman" w:hAnsi="Times New Roman"/>
          <w:color w:val="000000"/>
          <w:sz w:val="20"/>
        </w:rPr>
        <w:t xml:space="preserve"> </w:t>
      </w:r>
      <w:r>
        <w:rPr>
          <w:rFonts w:ascii="Arial" w:hAnsi="Arial"/>
          <w:color w:val="000000"/>
          <w:sz w:val="20"/>
        </w:rPr>
        <w:t>million, net of cash acquired, which consisted of (in thousands):</w:t>
      </w:r>
    </w:p>
    <w:tbl>
      <w:tblPr>
        <w:tblW w:w="5860" w:type="dxa"/>
        <w:jc w:val="left"/>
        <w:tblInd w:w="0" w:type="dxa"/>
        <w:tblLayout w:type="fixed"/>
        <w:tblCellMar>
          <w:top w:w="28" w:type="dxa"/>
          <w:left w:w="28" w:type="dxa"/>
          <w:bottom w:w="28" w:type="dxa"/>
          <w:right w:w="28" w:type="dxa"/>
        </w:tblCellMar>
      </w:tblPr>
      <w:tblGrid>
        <w:gridCol w:w="4516"/>
        <w:gridCol w:w="146"/>
        <w:gridCol w:w="211"/>
        <w:gridCol w:w="79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324,852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Estimated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purchase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327,776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The estimated cash consideration, net of cash acquired, of approximately $324.9</w:t>
      </w:r>
      <w:r>
        <w:rPr>
          <w:rFonts w:ascii="Times New Roman" w:hAnsi="Times New Roman"/>
          <w:color w:val="000000"/>
          <w:sz w:val="20"/>
        </w:rPr>
        <w:t xml:space="preserve"> </w:t>
      </w:r>
      <w:r>
        <w:rPr>
          <w:rFonts w:ascii="Arial" w:hAnsi="Arial"/>
          <w:color w:val="000000"/>
          <w:sz w:val="20"/>
        </w:rPr>
        <w:t>million consists of $319.9</w:t>
      </w:r>
      <w:r>
        <w:rPr>
          <w:rFonts w:ascii="Times New Roman" w:hAnsi="Times New Roman"/>
          <w:color w:val="000000"/>
          <w:sz w:val="20"/>
        </w:rPr>
        <w:t xml:space="preserve"> </w:t>
      </w:r>
      <w:r>
        <w:rPr>
          <w:rFonts w:ascii="Arial" w:hAnsi="Arial"/>
          <w:color w:val="000000"/>
          <w:sz w:val="20"/>
        </w:rPr>
        <w:t>million of cash paid upon closing, net of cash acquired and $5.0</w:t>
      </w:r>
      <w:r>
        <w:rPr>
          <w:rFonts w:ascii="Times New Roman" w:hAnsi="Times New Roman"/>
          <w:color w:val="000000"/>
          <w:sz w:val="20"/>
        </w:rPr>
        <w:t xml:space="preserve"> </w:t>
      </w:r>
      <w:r>
        <w:rPr>
          <w:rFonts w:ascii="Arial" w:hAnsi="Arial"/>
          <w:color w:val="000000"/>
          <w:sz w:val="20"/>
        </w:rPr>
        <w:t>million of estimated consideration payable for post-closing adjustments within 120 days of the closing date and has been recorded to other current liabilities in the condensed consolidated balance sheets. The Agreement provides for contingent consideration of up to $10.0</w:t>
      </w:r>
      <w:r>
        <w:rPr>
          <w:rFonts w:ascii="Times New Roman" w:hAnsi="Times New Roman"/>
          <w:color w:val="000000"/>
          <w:sz w:val="20"/>
        </w:rPr>
        <w:t xml:space="preserve"> </w:t>
      </w:r>
      <w:r>
        <w:rPr>
          <w:rFonts w:ascii="Arial" w:hAnsi="Arial"/>
          <w:color w:val="000000"/>
          <w:sz w:val="20"/>
        </w:rPr>
        <w:t>million, with an estimated fair value of $2.9</w:t>
      </w:r>
      <w:r>
        <w:rPr>
          <w:rFonts w:ascii="Times New Roman" w:hAnsi="Times New Roman"/>
          <w:color w:val="000000"/>
          <w:sz w:val="20"/>
        </w:rPr>
        <w:t xml:space="preserve"> </w:t>
      </w:r>
      <w:r>
        <w:rPr>
          <w:rFonts w:ascii="Arial" w:hAnsi="Arial"/>
          <w:color w:val="000000"/>
          <w:sz w:val="20"/>
        </w:rPr>
        <w:t>million on the date of acquisition, and represents additional payments that Flywire may be required to make in the future which are dependent upon the successful achievement of certain targets related to revenue and cross-selling of the Sertifi software as well as milestones related to the Sertifi software product and security and IT integration.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During the three months ended March 31, 2025, the Company incurred $2.5</w:t>
      </w:r>
      <w:r>
        <w:rPr>
          <w:rFonts w:ascii="Times New Roman" w:hAnsi="Times New Roman"/>
          <w:color w:val="000000"/>
          <w:sz w:val="20"/>
        </w:rPr>
        <w:t xml:space="preserve"> </w:t>
      </w:r>
      <w:r>
        <w:rPr>
          <w:rFonts w:ascii="Arial" w:hAnsi="Arial"/>
          <w:color w:val="000000"/>
          <w:sz w:val="20"/>
        </w:rPr>
        <w:t>million in transaction costs in connection with the Sertifi acquisition, which are included in general and administrative expenses in the condensed consolidated statements of operations and comprehensive income (loss).</w:t>
      </w:r>
    </w:p>
    <w:p>
      <w:pPr>
        <w:pStyle w:val="TextBody"/>
        <w:bidi w:val="0"/>
        <w:spacing w:before="200" w:after="200"/>
        <w:jc w:val="left"/>
        <w:rPr>
          <w:rFonts w:ascii="Arial" w:hAnsi="Arial"/>
          <w:color w:val="000000"/>
          <w:sz w:val="20"/>
        </w:rPr>
      </w:pPr>
      <w:r>
        <w:rPr>
          <w:rFonts w:ascii="Arial" w:hAnsi="Arial"/>
          <w:color w:val="000000"/>
          <w:sz w:val="20"/>
        </w:rPr>
        <w:t>The table summarizes the preliminary allocation of the purchase consideration to the assets acquired and liabilities assumed (in thousands):</w:t>
      </w:r>
    </w:p>
    <w:tbl>
      <w:tblPr>
        <w:tblW w:w="5480" w:type="dxa"/>
        <w:jc w:val="left"/>
        <w:tblInd w:w="0" w:type="dxa"/>
        <w:tblLayout w:type="fixed"/>
        <w:tblCellMar>
          <w:top w:w="28" w:type="dxa"/>
          <w:left w:w="28" w:type="dxa"/>
          <w:bottom w:w="28" w:type="dxa"/>
          <w:right w:w="28" w:type="dxa"/>
        </w:tblCellMar>
      </w:tblPr>
      <w:tblGrid>
        <w:gridCol w:w="3856"/>
        <w:gridCol w:w="146"/>
        <w:gridCol w:w="211"/>
        <w:gridCol w:w="796"/>
        <w:gridCol w:w="47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251,517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86,500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353,847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17,962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335,885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assets, less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327,776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The goodwill of $251.5</w:t>
      </w:r>
      <w:r>
        <w:rPr>
          <w:rFonts w:ascii="Times New Roman" w:hAnsi="Times New Roman"/>
          <w:color w:val="000000"/>
          <w:sz w:val="20"/>
        </w:rPr>
        <w:t xml:space="preserve"> </w:t>
      </w:r>
      <w:r>
        <w:rPr>
          <w:rFonts w:ascii="Arial" w:hAnsi="Arial"/>
          <w:color w:val="000000"/>
          <w:sz w:val="20"/>
        </w:rPr>
        <w:t>million arising from the acquisition of Sertifi can be attributed to a number of business factors, including an assembled workforce, and revenue and cost synergies expected to be realized. Goodwill from this acquisition is deductible for income tax purposes.</w:t>
      </w:r>
    </w:p>
    <w:p>
      <w:pPr>
        <w:pStyle w:val="TextBody"/>
        <w:bidi w:val="0"/>
        <w:spacing w:before="0" w:after="200"/>
        <w:jc w:val="left"/>
        <w:rPr>
          <w:rFonts w:ascii="Arial" w:hAnsi="Arial"/>
          <w:color w:val="000000"/>
          <w:sz w:val="20"/>
        </w:rPr>
      </w:pPr>
      <w:r>
        <w:rPr>
          <w:rFonts w:ascii="Arial" w:hAnsi="Arial"/>
          <w:color w:val="000000"/>
          <w:sz w:val="20"/>
        </w:rPr>
        <w:t>The following table reflects the estimated fair values of the identified intangible assets of Sertifi and their respective weighted-average amortization periods.</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91" w:type="dxa"/>
        <w:jc w:val="left"/>
        <w:tblInd w:w="0" w:type="dxa"/>
        <w:tblLayout w:type="fixed"/>
        <w:tblCellMar>
          <w:top w:w="28" w:type="dxa"/>
          <w:left w:w="28" w:type="dxa"/>
          <w:bottom w:w="28" w:type="dxa"/>
          <w:right w:w="28" w:type="dxa"/>
        </w:tblCellMar>
      </w:tblPr>
      <w:tblGrid>
        <w:gridCol w:w="2146"/>
        <w:gridCol w:w="146"/>
        <w:gridCol w:w="298"/>
        <w:gridCol w:w="977"/>
        <w:gridCol w:w="146"/>
        <w:gridCol w:w="146"/>
        <w:gridCol w:w="360"/>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br/>
              <w:t>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Estimated</w:t>
              <w:br/>
              <w:t>Amortization</w:t>
              <w:br/>
              <w:t>Periods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The results of Sertifi have been included in the condensed consolidated financial statements since the date of the acquisition. Sertifi contributed $3.0</w:t>
      </w:r>
      <w:r>
        <w:rPr>
          <w:rFonts w:ascii="Times New Roman" w:hAnsi="Times New Roman"/>
          <w:color w:val="000000"/>
          <w:sz w:val="20"/>
        </w:rPr>
        <w:t xml:space="preserve"> </w:t>
      </w:r>
      <w:r>
        <w:rPr>
          <w:rFonts w:ascii="Arial" w:hAnsi="Arial"/>
          <w:color w:val="000000"/>
          <w:sz w:val="20"/>
        </w:rPr>
        <w:t>million in platform revenue and $1.7</w:t>
      </w:r>
      <w:r>
        <w:rPr>
          <w:rFonts w:ascii="Times New Roman" w:hAnsi="Times New Roman"/>
          <w:color w:val="000000"/>
          <w:sz w:val="20"/>
        </w:rPr>
        <w:t xml:space="preserve"> </w:t>
      </w:r>
      <w:r>
        <w:rPr>
          <w:rFonts w:ascii="Arial" w:hAnsi="Arial"/>
          <w:color w:val="000000"/>
          <w:sz w:val="20"/>
        </w:rPr>
        <w:t>million in transactional revenue during the three months ended March 31, 2025. During the three months ended March 31, 2025, Sertifi’s contribution of net income was immaterial.</w:t>
      </w:r>
    </w:p>
    <w:p>
      <w:pPr>
        <w:pStyle w:val="TextBody"/>
        <w:bidi w:val="0"/>
        <w:jc w:val="left"/>
        <w:rPr>
          <w:rFonts w:ascii="Arial" w:hAnsi="Arial"/>
          <w:color w:val="000000"/>
          <w:sz w:val="20"/>
        </w:rPr>
      </w:pPr>
      <w:r>
        <w:rPr>
          <w:rFonts w:ascii="Arial" w:hAnsi="Arial"/>
          <w:color w:val="000000"/>
          <w:sz w:val="20"/>
        </w:rPr>
        <w:t>Unaudited Pro Forma Financial Information</w:t>
      </w:r>
    </w:p>
    <w:p>
      <w:pPr>
        <w:pStyle w:val="TextBody"/>
        <w:bidi w:val="0"/>
        <w:spacing w:before="200" w:after="120"/>
        <w:jc w:val="left"/>
        <w:rPr>
          <w:rFonts w:ascii="Arial" w:hAnsi="Arial"/>
          <w:color w:val="000000"/>
          <w:sz w:val="20"/>
        </w:rPr>
      </w:pPr>
      <w:r>
        <w:rPr>
          <w:rFonts w:ascii="Arial" w:hAnsi="Arial"/>
          <w:color w:val="000000"/>
          <w:sz w:val="20"/>
        </w:rPr>
        <w:t>The following unaudited pro forma financial information shows the results of the Company’s operations for the three months ended March 31, 2025 and 2024 as if the acquisition had occurred on January 1, 2024.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Sertifi. The unaudited pro forma information reflects the effects of applying the Company’s accounting policies and certain pro forma adjustments to the combined historical financial information of the Company and Sertifi. The pro forma adjustments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incremental amortization expense associated with the estimated fair value of identified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incremental employee compensation expense for Sertifi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Interest expense for borrowings related to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transaction costs; and</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the estimated tax impact of the above items.</w:t>
      </w:r>
    </w:p>
    <w:tbl>
      <w:tblPr>
        <w:tblW w:w="5708" w:type="dxa"/>
        <w:jc w:val="left"/>
        <w:tblInd w:w="0" w:type="dxa"/>
        <w:tblLayout w:type="fixed"/>
        <w:tblCellMar>
          <w:top w:w="28" w:type="dxa"/>
          <w:left w:w="28" w:type="dxa"/>
          <w:bottom w:w="28" w:type="dxa"/>
          <w:right w:w="28" w:type="dxa"/>
        </w:tblCellMar>
      </w:tblPr>
      <w:tblGrid>
        <w:gridCol w:w="781"/>
        <w:gridCol w:w="146"/>
        <w:gridCol w:w="196"/>
        <w:gridCol w:w="691"/>
        <w:gridCol w:w="166"/>
        <w:gridCol w:w="146"/>
        <w:gridCol w:w="205"/>
        <w:gridCol w:w="725"/>
        <w:gridCol w:w="166"/>
        <w:gridCol w:w="146"/>
        <w:gridCol w:w="196"/>
        <w:gridCol w:w="691"/>
        <w:gridCol w:w="166"/>
        <w:gridCol w:w="146"/>
        <w:gridCol w:w="205"/>
        <w:gridCol w:w="725"/>
        <w:gridCol w:w="21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00" w:after="283"/>
        <w:jc w:val="left"/>
        <w:rPr>
          <w:rFonts w:ascii="Arial" w:hAnsi="Arial"/>
          <w:b/>
          <w:i/>
          <w:color w:val="000000"/>
          <w:sz w:val="20"/>
        </w:rPr>
      </w:pPr>
      <w:r>
        <w:rPr>
          <w:rFonts w:ascii="Arial" w:hAnsi="Arial"/>
          <w:b/>
          <w:i/>
          <w:color w:val="000000"/>
          <w:sz w:val="20"/>
        </w:rPr>
        <w:t>Invoiced</w:t>
      </w:r>
    </w:p>
    <w:p>
      <w:pPr>
        <w:pStyle w:val="TextBody"/>
        <w:bidi w:val="0"/>
        <w:spacing w:before="200" w:after="283"/>
        <w:jc w:val="left"/>
        <w:rPr>
          <w:rFonts w:ascii="Arial" w:hAnsi="Arial"/>
          <w:color w:val="000000"/>
          <w:sz w:val="20"/>
        </w:rPr>
      </w:pPr>
      <w:r>
        <w:rPr>
          <w:rFonts w:ascii="Arial" w:hAnsi="Arial"/>
          <w:color w:val="000000"/>
          <w:sz w:val="20"/>
        </w:rPr>
        <w:t>On August 2, 2024, Flywire acquired all of the issued and outstanding shares of Invoiced, a U.S.-based software as a service (SaaS) B2B company that provides accounts receivable software that automates all aspects of billing, collections, payments, reporting and forecasting within a single online platform. The acquisition of Invoiced was intended to accelerate the Company's global expansion in its B2B vertical. The acquisition of Invoiced has been accounted for as a business combination.</w:t>
      </w:r>
    </w:p>
    <w:p>
      <w:pPr>
        <w:pStyle w:val="TextBody"/>
        <w:bidi w:val="0"/>
        <w:spacing w:before="200" w:after="200"/>
        <w:jc w:val="left"/>
        <w:rPr>
          <w:rFonts w:ascii="Times New Roman" w:hAnsi="Times New Roman"/>
          <w:sz w:val="20"/>
        </w:rPr>
      </w:pPr>
      <w:r>
        <w:rPr>
          <w:rFonts w:ascii="Arial" w:hAnsi="Arial"/>
          <w:color w:val="000000"/>
          <w:sz w:val="20"/>
        </w:rPr>
        <w:t>Pursuant to the terms of the business combination agreement, the Company acquired Invoiced for estimated total purchase consideration of approximately $53.2</w:t>
      </w:r>
      <w:r>
        <w:rPr>
          <w:rFonts w:ascii="Times New Roman" w:hAnsi="Times New Roman"/>
          <w:color w:val="000000"/>
          <w:sz w:val="20"/>
        </w:rPr>
        <w:t xml:space="preserve"> </w:t>
      </w:r>
      <w:r>
        <w:rPr>
          <w:rFonts w:ascii="Arial" w:hAnsi="Arial"/>
          <w:color w:val="000000"/>
          <w:sz w:val="20"/>
        </w:rPr>
        <w:t>million or $51.7</w:t>
      </w:r>
      <w:r>
        <w:rPr>
          <w:rFonts w:ascii="Times New Roman" w:hAnsi="Times New Roman"/>
          <w:color w:val="000000"/>
          <w:sz w:val="20"/>
        </w:rPr>
        <w:t xml:space="preserve"> </w:t>
      </w:r>
      <w:r>
        <w:rPr>
          <w:rFonts w:ascii="Arial" w:hAnsi="Arial"/>
          <w:color w:val="000000"/>
          <w:sz w:val="20"/>
        </w:rPr>
        <w:t>million, net of cash acquired, which consisted of (in thousands):</w:t>
      </w:r>
    </w:p>
    <w:tbl>
      <w:tblPr>
        <w:tblW w:w="5755" w:type="dxa"/>
        <w:jc w:val="left"/>
        <w:tblInd w:w="0" w:type="dxa"/>
        <w:tblLayout w:type="fixed"/>
        <w:tblCellMar>
          <w:top w:w="28" w:type="dxa"/>
          <w:left w:w="28" w:type="dxa"/>
          <w:bottom w:w="28" w:type="dxa"/>
          <w:right w:w="28" w:type="dxa"/>
        </w:tblCellMar>
      </w:tblPr>
      <w:tblGrid>
        <w:gridCol w:w="4516"/>
        <w:gridCol w:w="146"/>
        <w:gridCol w:w="211"/>
        <w:gridCol w:w="691"/>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Estimated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purchase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The purchase consideration includes $2.0</w:t>
      </w:r>
      <w:r>
        <w:rPr>
          <w:rFonts w:ascii="Times New Roman" w:hAnsi="Times New Roman"/>
          <w:color w:val="000000"/>
          <w:sz w:val="20"/>
        </w:rPr>
        <w:t xml:space="preserve"> </w:t>
      </w:r>
      <w:r>
        <w:rPr>
          <w:rFonts w:ascii="Arial" w:hAnsi="Arial"/>
          <w:color w:val="000000"/>
          <w:sz w:val="20"/>
        </w:rPr>
        <w:t>million of acquisition holdback payments payable on the first and second anniversary dates of the acquisition.</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The business combination agreement provides for contingent consideration of up to $7.5</w:t>
      </w:r>
      <w:r>
        <w:rPr>
          <w:rFonts w:ascii="Times New Roman" w:hAnsi="Times New Roman"/>
          <w:color w:val="000000"/>
          <w:sz w:val="20"/>
        </w:rPr>
        <w:t xml:space="preserve"> </w:t>
      </w:r>
      <w:r>
        <w:rPr>
          <w:rFonts w:ascii="Arial" w:hAnsi="Arial"/>
          <w:color w:val="000000"/>
          <w:sz w:val="20"/>
        </w:rPr>
        <w:t>million, with an estimated fair value of $4.5</w:t>
      </w:r>
      <w:r>
        <w:rPr>
          <w:rFonts w:ascii="Times New Roman" w:hAnsi="Times New Roman"/>
          <w:color w:val="000000"/>
          <w:sz w:val="20"/>
        </w:rPr>
        <w:t xml:space="preserve"> </w:t>
      </w:r>
      <w:r>
        <w:rPr>
          <w:rFonts w:ascii="Arial" w:hAnsi="Arial"/>
          <w:color w:val="000000"/>
          <w:sz w:val="20"/>
        </w:rPr>
        <w:t>million on the date of acquisition, and represents additional payments that Flywire may be required to make in the future which are dependent upon the successful achievement of certain targets related to revenue and cross-selling of the Invoiced software as well as milestones related to the Invoiced software product and security and IT integration. As of March 31, 2025, the fair value of contingent consideration was $3.7</w:t>
      </w:r>
      <w:r>
        <w:rPr>
          <w:rFonts w:ascii="Times New Roman" w:hAnsi="Times New Roman"/>
          <w:color w:val="000000"/>
          <w:sz w:val="20"/>
        </w:rPr>
        <w:t xml:space="preserve"> </w:t>
      </w:r>
      <w:r>
        <w:rPr>
          <w:rFonts w:ascii="Arial" w:hAnsi="Arial"/>
          <w:color w:val="000000"/>
          <w:sz w:val="20"/>
        </w:rPr>
        <w:t>million, which includes $1.1</w:t>
      </w:r>
      <w:r>
        <w:rPr>
          <w:rFonts w:ascii="Times New Roman" w:hAnsi="Times New Roman"/>
          <w:color w:val="000000"/>
          <w:sz w:val="20"/>
        </w:rPr>
        <w:t xml:space="preserve"> </w:t>
      </w:r>
      <w:r>
        <w:rPr>
          <w:rFonts w:ascii="Arial" w:hAnsi="Arial"/>
          <w:color w:val="000000"/>
          <w:sz w:val="20"/>
        </w:rPr>
        <w:t>million related to a product integration milestone achieved during the three months ended March 31, 2025. During the year end December 31, 2024, the Company paid $1.1</w:t>
      </w:r>
      <w:r>
        <w:rPr>
          <w:rFonts w:ascii="Times New Roman" w:hAnsi="Times New Roman"/>
          <w:color w:val="000000"/>
          <w:sz w:val="20"/>
        </w:rPr>
        <w:t xml:space="preserve"> </w:t>
      </w:r>
      <w:r>
        <w:rPr>
          <w:rFonts w:ascii="Arial" w:hAnsi="Arial"/>
          <w:color w:val="000000"/>
          <w:sz w:val="20"/>
        </w:rPr>
        <w:t>million related to a product integration milestone achieved.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During the year ended December 31, 2024, the Company incurred $0.6</w:t>
      </w:r>
      <w:r>
        <w:rPr>
          <w:rFonts w:ascii="Times New Roman" w:hAnsi="Times New Roman"/>
          <w:color w:val="000000"/>
          <w:sz w:val="20"/>
        </w:rPr>
        <w:t xml:space="preserve"> </w:t>
      </w:r>
      <w:r>
        <w:rPr>
          <w:rFonts w:ascii="Arial" w:hAnsi="Arial"/>
          <w:color w:val="000000"/>
          <w:sz w:val="20"/>
        </w:rPr>
        <w:t>million in transaction costs in connection with the Invoiced acquisition, which are included in general and administrative expenses in the consolidated statements of operations and comprehensive income (loss).</w:t>
      </w:r>
    </w:p>
    <w:p>
      <w:pPr>
        <w:pStyle w:val="TextBody"/>
        <w:bidi w:val="0"/>
        <w:spacing w:before="200" w:after="200"/>
        <w:jc w:val="left"/>
        <w:rPr>
          <w:rFonts w:ascii="Arial" w:hAnsi="Arial"/>
          <w:color w:val="000000"/>
          <w:sz w:val="20"/>
        </w:rPr>
      </w:pPr>
      <w:r>
        <w:rPr>
          <w:rFonts w:ascii="Arial" w:hAnsi="Arial"/>
          <w:color w:val="000000"/>
          <w:sz w:val="20"/>
        </w:rPr>
        <w:t>The table summarizes the allocation of the purchase consideration to the assets acquired and liabilities assumed (in thousands):</w:t>
      </w:r>
    </w:p>
    <w:tbl>
      <w:tblPr>
        <w:tblW w:w="5375" w:type="dxa"/>
        <w:jc w:val="left"/>
        <w:tblInd w:w="0" w:type="dxa"/>
        <w:tblLayout w:type="fixed"/>
        <w:tblCellMar>
          <w:top w:w="28" w:type="dxa"/>
          <w:left w:w="28" w:type="dxa"/>
          <w:bottom w:w="28" w:type="dxa"/>
          <w:right w:w="28" w:type="dxa"/>
        </w:tblCellMar>
      </w:tblPr>
      <w:tblGrid>
        <w:gridCol w:w="3856"/>
        <w:gridCol w:w="146"/>
        <w:gridCol w:w="211"/>
        <w:gridCol w:w="691"/>
        <w:gridCol w:w="47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31,818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59,566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53,155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assets, less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The goodwill of $31.8</w:t>
      </w:r>
      <w:r>
        <w:rPr>
          <w:rFonts w:ascii="Times New Roman" w:hAnsi="Times New Roman"/>
          <w:color w:val="000000"/>
          <w:sz w:val="20"/>
        </w:rPr>
        <w:t xml:space="preserve"> </w:t>
      </w:r>
      <w:r>
        <w:rPr>
          <w:rFonts w:ascii="Arial" w:hAnsi="Arial"/>
          <w:color w:val="000000"/>
          <w:sz w:val="20"/>
        </w:rPr>
        <w:t>million arising from the acquisition of Invoiced can be attributed to a number of business factors, including an assembled workforce, and revenue and cost synergies expected to be realized.</w:t>
      </w:r>
      <w:r>
        <w:rPr>
          <w:rFonts w:ascii="Times New Roman" w:hAnsi="Times New Roman"/>
          <w:color w:val="000000"/>
          <w:sz w:val="20"/>
        </w:rPr>
        <w:t xml:space="preserve"> </w:t>
      </w:r>
      <w:r>
        <w:rPr>
          <w:rFonts w:ascii="Arial" w:hAnsi="Arial"/>
          <w:color w:val="000000"/>
          <w:sz w:val="20"/>
        </w:rPr>
        <w:t>No goodwill from this acquisition will be deductible for income tax purposes.</w:t>
      </w:r>
    </w:p>
    <w:p>
      <w:pPr>
        <w:pStyle w:val="TextBody"/>
        <w:bidi w:val="0"/>
        <w:spacing w:before="0" w:after="200"/>
        <w:jc w:val="left"/>
        <w:rPr>
          <w:rFonts w:ascii="Arial" w:hAnsi="Arial"/>
          <w:color w:val="000000"/>
          <w:sz w:val="20"/>
        </w:rPr>
      </w:pPr>
      <w:r>
        <w:rPr>
          <w:rFonts w:ascii="Arial" w:hAnsi="Arial"/>
          <w:color w:val="000000"/>
          <w:sz w:val="20"/>
        </w:rPr>
        <w:t>The following table reflects the estimated fair values of the identified intangible assets of Invoiced and their respective weighted-average amortization periods.</w:t>
      </w:r>
    </w:p>
    <w:tbl>
      <w:tblPr>
        <w:tblW w:w="5191" w:type="dxa"/>
        <w:jc w:val="left"/>
        <w:tblInd w:w="0" w:type="dxa"/>
        <w:tblLayout w:type="fixed"/>
        <w:tblCellMar>
          <w:top w:w="28" w:type="dxa"/>
          <w:left w:w="28" w:type="dxa"/>
          <w:bottom w:w="28" w:type="dxa"/>
          <w:right w:w="28" w:type="dxa"/>
        </w:tblCellMar>
      </w:tblPr>
      <w:tblGrid>
        <w:gridCol w:w="2146"/>
        <w:gridCol w:w="146"/>
        <w:gridCol w:w="298"/>
        <w:gridCol w:w="977"/>
        <w:gridCol w:w="146"/>
        <w:gridCol w:w="146"/>
        <w:gridCol w:w="360"/>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Amortization</w:t>
              <w:br/>
              <w:t>Periods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The results of Invoiced have been included in the condensed consolidated financial statements since the date of the acquisition. Invoiced contributed $1.5</w:t>
      </w:r>
      <w:r>
        <w:rPr>
          <w:rFonts w:ascii="Times New Roman" w:hAnsi="Times New Roman"/>
          <w:color w:val="000000"/>
          <w:sz w:val="20"/>
        </w:rPr>
        <w:t xml:space="preserve"> </w:t>
      </w:r>
      <w:r>
        <w:rPr>
          <w:rFonts w:ascii="Arial" w:hAnsi="Arial"/>
          <w:color w:val="000000"/>
          <w:sz w:val="20"/>
        </w:rPr>
        <w:t>million in platform revenue during the three months ended March 31, 2025. The Company has not disclosed net income or loss since the acquisition date as the business was fully integrated into the consolidated Company's operations and therefore it was impracticable to determine this amount.</w:t>
      </w:r>
    </w:p>
    <w:p>
      <w:pPr>
        <w:pStyle w:val="TextBody"/>
        <w:bidi w:val="0"/>
        <w:spacing w:before="200" w:after="283"/>
        <w:jc w:val="left"/>
        <w:rPr>
          <w:rFonts w:ascii="Arial" w:hAnsi="Arial"/>
          <w:color w:val="000000"/>
          <w:sz w:val="20"/>
        </w:rPr>
      </w:pPr>
      <w:r>
        <w:rPr>
          <w:rFonts w:ascii="Arial" w:hAnsi="Arial"/>
          <w:color w:val="000000"/>
          <w:sz w:val="20"/>
        </w:rPr>
        <w:t>Unaudited Pro Forma Financial Information</w:t>
      </w:r>
    </w:p>
    <w:p>
      <w:pPr>
        <w:pStyle w:val="TextBody"/>
        <w:bidi w:val="0"/>
        <w:spacing w:before="200" w:after="120"/>
        <w:jc w:val="left"/>
        <w:rPr>
          <w:rFonts w:ascii="Arial" w:hAnsi="Arial"/>
          <w:color w:val="000000"/>
          <w:sz w:val="20"/>
        </w:rPr>
      </w:pPr>
      <w:r>
        <w:rPr>
          <w:rFonts w:ascii="Arial" w:hAnsi="Arial"/>
          <w:color w:val="000000"/>
          <w:sz w:val="20"/>
        </w:rPr>
        <w:t>The following unaudited pro forma financial information shows the results of the Company’s operations for the three months ended March 31, 2024 as if the acquisition had occurred on January 1, 2023.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Invoiced. The unaudited pro forma information reflects the effects of applying the Company’s accounting policies and certain pro forma adjustments to the combined historical financial information of the Company and Invoiced. The pro forma adjustments include:</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incremental amortization expense associated with the estimated fair value of identified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incremental employee compensation expense for Invoiced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transaction costs; and</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the estimated tax impact of the above items.</w:t>
      </w:r>
    </w:p>
    <w:tbl>
      <w:tblPr>
        <w:tblW w:w="3972" w:type="dxa"/>
        <w:jc w:val="left"/>
        <w:tblInd w:w="0" w:type="dxa"/>
        <w:tblLayout w:type="fixed"/>
        <w:tblCellMar>
          <w:top w:w="28" w:type="dxa"/>
          <w:left w:w="28" w:type="dxa"/>
          <w:bottom w:w="28" w:type="dxa"/>
          <w:right w:w="28" w:type="dxa"/>
        </w:tblCellMar>
      </w:tblPr>
      <w:tblGrid>
        <w:gridCol w:w="1486"/>
        <w:gridCol w:w="146"/>
        <w:gridCol w:w="196"/>
        <w:gridCol w:w="691"/>
        <w:gridCol w:w="166"/>
        <w:gridCol w:w="146"/>
        <w:gridCol w:w="205"/>
        <w:gridCol w:w="725"/>
        <w:gridCol w:w="21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115,518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120" w:after="20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24" w:name="note_9"/>
      <w:bookmarkEnd w:id="24"/>
      <w:r>
        <w:rPr>
          <w:rFonts w:ascii="Arial" w:hAnsi="Arial"/>
          <w:b/>
          <w:color w:val="000000"/>
          <w:sz w:val="20"/>
        </w:rPr>
        <w:t>Note 11. Goodwill and Acquired Intangible Assets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Goodwill</w:t>
      </w:r>
    </w:p>
    <w:p>
      <w:pPr>
        <w:pStyle w:val="TextBody"/>
        <w:bidi w:val="0"/>
        <w:spacing w:before="0" w:after="200"/>
        <w:jc w:val="left"/>
        <w:rPr>
          <w:rFonts w:ascii="Times New Roman" w:hAnsi="Times New Roman"/>
          <w:sz w:val="20"/>
        </w:rPr>
      </w:pPr>
      <w:r>
        <w:rPr>
          <w:rFonts w:ascii="Arial" w:hAnsi="Arial"/>
          <w:color w:val="000000"/>
          <w:sz w:val="20"/>
        </w:rPr>
        <w:t>The following table summarizes the changes in the carrying amount of goodwill as of the dates presented (in thousands):</w:t>
      </w:r>
      <w:r>
        <w:rPr>
          <w:rFonts w:ascii="Times New Roman" w:hAnsi="Times New Roman"/>
          <w:color w:val="000000"/>
          <w:sz w:val="20"/>
        </w:rPr>
        <w:t xml:space="preserve"> </w:t>
      </w:r>
    </w:p>
    <w:tbl>
      <w:tblPr>
        <w:tblW w:w="6382" w:type="dxa"/>
        <w:jc w:val="left"/>
        <w:tblInd w:w="0" w:type="dxa"/>
        <w:tblLayout w:type="fixed"/>
        <w:tblCellMar>
          <w:top w:w="28" w:type="dxa"/>
          <w:left w:w="28" w:type="dxa"/>
          <w:bottom w:w="28" w:type="dxa"/>
          <w:right w:w="28" w:type="dxa"/>
        </w:tblCellMar>
      </w:tblPr>
      <w:tblGrid>
        <w:gridCol w:w="3556"/>
        <w:gridCol w:w="146"/>
        <w:gridCol w:w="211"/>
        <w:gridCol w:w="796"/>
        <w:gridCol w:w="146"/>
        <w:gridCol w:w="146"/>
        <w:gridCol w:w="245"/>
        <w:gridCol w:w="925"/>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b/>
          <w:i/>
          <w:color w:val="000000"/>
          <w:sz w:val="20"/>
        </w:rPr>
      </w:pPr>
      <w:r>
        <w:rPr>
          <w:rFonts w:ascii="Arial" w:hAnsi="Arial"/>
          <w:b/>
          <w:i/>
          <w:color w:val="000000"/>
          <w:sz w:val="20"/>
        </w:rPr>
        <w:t>Acquired Intangible Assets</w:t>
      </w:r>
    </w:p>
    <w:p>
      <w:pPr>
        <w:pStyle w:val="TextBody"/>
        <w:bidi w:val="0"/>
        <w:spacing w:before="0" w:after="200"/>
        <w:jc w:val="left"/>
        <w:rPr>
          <w:rFonts w:ascii="Times New Roman" w:hAnsi="Times New Roman"/>
          <w:sz w:val="20"/>
        </w:rPr>
      </w:pPr>
      <w:r>
        <w:rPr>
          <w:rFonts w:ascii="Arial" w:hAnsi="Arial"/>
          <w:color w:val="000000"/>
          <w:sz w:val="20"/>
        </w:rPr>
        <w:t>Acquired intangible assets subject to amortization consisted of the following (dollars in thousands):</w:t>
      </w:r>
      <w:r>
        <w:rPr>
          <w:rFonts w:ascii="Times New Roman" w:hAnsi="Times New Roman"/>
          <w:color w:val="000000"/>
          <w:sz w:val="20"/>
        </w:rPr>
        <w:t xml:space="preserve"> </w:t>
      </w:r>
    </w:p>
    <w:tbl>
      <w:tblPr>
        <w:tblW w:w="7732" w:type="dxa"/>
        <w:jc w:val="left"/>
        <w:tblInd w:w="0" w:type="dxa"/>
        <w:tblLayout w:type="fixed"/>
        <w:tblCellMar>
          <w:top w:w="28" w:type="dxa"/>
          <w:left w:w="28" w:type="dxa"/>
          <w:bottom w:w="28" w:type="dxa"/>
          <w:right w:w="28" w:type="dxa"/>
        </w:tblCellMar>
      </w:tblPr>
      <w:tblGrid>
        <w:gridCol w:w="2176"/>
        <w:gridCol w:w="146"/>
        <w:gridCol w:w="211"/>
        <w:gridCol w:w="796"/>
        <w:gridCol w:w="146"/>
        <w:gridCol w:w="146"/>
        <w:gridCol w:w="275"/>
        <w:gridCol w:w="985"/>
        <w:gridCol w:w="166"/>
        <w:gridCol w:w="146"/>
        <w:gridCol w:w="229"/>
        <w:gridCol w:w="866"/>
        <w:gridCol w:w="146"/>
        <w:gridCol w:w="146"/>
        <w:gridCol w:w="191"/>
        <w:gridCol w:w="770"/>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6"/>
        </w:rPr>
      </w:pPr>
      <w:r>
        <w:rPr>
          <w:rFonts w:ascii="Arial" w:hAnsi="Arial"/>
          <w:color w:val="000000"/>
          <w:sz w:val="16"/>
        </w:rPr>
        <w:t>* Includes $(3,253) thousand of foreign currency translation adjustments.</w:t>
      </w:r>
    </w:p>
    <w:p>
      <w:pPr>
        <w:pStyle w:val="TextBody"/>
        <w:bidi w:val="0"/>
        <w:spacing w:before="40" w:after="200"/>
        <w:jc w:val="left"/>
        <w:rPr>
          <w:rFonts w:ascii="Times New Roman" w:hAnsi="Times New Roman"/>
          <w:sz w:val="20"/>
        </w:rPr>
      </w:pPr>
      <w:r>
        <w:rPr>
          <w:rFonts w:ascii="Arial" w:hAnsi="Arial"/>
          <w:color w:val="000000"/>
          <w:sz w:val="16"/>
        </w:rPr>
        <w:t>** Includes $9</w:t>
      </w:r>
      <w:r>
        <w:rPr>
          <w:rFonts w:ascii="Times New Roman" w:hAnsi="Times New Roman"/>
          <w:color w:val="000000"/>
          <w:sz w:val="20"/>
        </w:rPr>
        <w:t xml:space="preserve"> </w:t>
      </w:r>
      <w:r>
        <w:rPr>
          <w:rFonts w:ascii="Arial" w:hAnsi="Arial"/>
          <w:color w:val="000000"/>
          <w:sz w:val="16"/>
        </w:rPr>
        <w:t>thousand of foreign currency translation adjustments.</w:t>
      </w:r>
    </w:p>
    <w:tbl>
      <w:tblPr>
        <w:tblW w:w="7644" w:type="dxa"/>
        <w:jc w:val="left"/>
        <w:tblInd w:w="0" w:type="dxa"/>
        <w:tblLayout w:type="fixed"/>
        <w:tblCellMar>
          <w:top w:w="28" w:type="dxa"/>
          <w:left w:w="28" w:type="dxa"/>
          <w:bottom w:w="28" w:type="dxa"/>
          <w:right w:w="28" w:type="dxa"/>
        </w:tblCellMar>
      </w:tblPr>
      <w:tblGrid>
        <w:gridCol w:w="2176"/>
        <w:gridCol w:w="146"/>
        <w:gridCol w:w="211"/>
        <w:gridCol w:w="796"/>
        <w:gridCol w:w="146"/>
        <w:gridCol w:w="146"/>
        <w:gridCol w:w="275"/>
        <w:gridCol w:w="985"/>
        <w:gridCol w:w="166"/>
        <w:gridCol w:w="146"/>
        <w:gridCol w:w="211"/>
        <w:gridCol w:w="796"/>
        <w:gridCol w:w="146"/>
        <w:gridCol w:w="146"/>
        <w:gridCol w:w="191"/>
        <w:gridCol w:w="770"/>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6"/>
        </w:rPr>
      </w:pPr>
      <w:r>
        <w:rPr>
          <w:rFonts w:ascii="Arial" w:hAnsi="Arial"/>
          <w:color w:val="000000"/>
          <w:sz w:val="16"/>
        </w:rPr>
        <w:t>* Includes $(4,394) thousand of foreign currency translation adjustments.</w:t>
      </w:r>
    </w:p>
    <w:p>
      <w:pPr>
        <w:pStyle w:val="TextBody"/>
        <w:bidi w:val="0"/>
        <w:spacing w:before="40" w:after="283"/>
        <w:jc w:val="left"/>
        <w:rPr>
          <w:rFonts w:ascii="Times New Roman" w:hAnsi="Times New Roman"/>
          <w:sz w:val="20"/>
        </w:rPr>
      </w:pPr>
      <w:r>
        <w:rPr>
          <w:rFonts w:ascii="Arial" w:hAnsi="Arial"/>
          <w:color w:val="000000"/>
          <w:sz w:val="16"/>
        </w:rPr>
        <w:t>** Includes $410</w:t>
      </w:r>
      <w:r>
        <w:rPr>
          <w:rFonts w:ascii="Times New Roman" w:hAnsi="Times New Roman"/>
          <w:color w:val="000000"/>
          <w:sz w:val="20"/>
        </w:rPr>
        <w:t xml:space="preserve"> </w:t>
      </w:r>
      <w:r>
        <w:rPr>
          <w:rFonts w:ascii="Arial" w:hAnsi="Arial"/>
          <w:color w:val="000000"/>
          <w:sz w:val="16"/>
        </w:rPr>
        <w:t>thousand of foreign currency translation adjustments.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Amortization expense for the three months ended March 31, 2025 and 2024</w:t>
      </w:r>
      <w:r>
        <w:rPr>
          <w:rFonts w:ascii="Times New Roman" w:hAnsi="Times New Roman"/>
          <w:color w:val="000000"/>
          <w:sz w:val="20"/>
        </w:rPr>
        <w:t xml:space="preserve"> </w:t>
      </w:r>
      <w:r>
        <w:rPr>
          <w:rFonts w:ascii="Arial" w:hAnsi="Arial"/>
          <w:color w:val="000000"/>
          <w:sz w:val="20"/>
        </w:rPr>
        <w:t>was $4.1</w:t>
      </w:r>
      <w:r>
        <w:rPr>
          <w:rFonts w:ascii="Times New Roman" w:hAnsi="Times New Roman"/>
          <w:color w:val="000000"/>
          <w:sz w:val="20"/>
        </w:rPr>
        <w:t xml:space="preserve"> </w:t>
      </w:r>
      <w:r>
        <w:rPr>
          <w:rFonts w:ascii="Arial" w:hAnsi="Arial"/>
          <w:color w:val="000000"/>
          <w:sz w:val="20"/>
        </w:rPr>
        <w:t>million and $2.9</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0" w:after="200"/>
        <w:jc w:val="left"/>
        <w:rPr>
          <w:rFonts w:ascii="Times New Roman" w:hAnsi="Times New Roman"/>
          <w:sz w:val="20"/>
        </w:rPr>
      </w:pPr>
      <w:r>
        <w:rPr>
          <w:rFonts w:ascii="Arial" w:hAnsi="Arial"/>
          <w:color w:val="000000"/>
          <w:sz w:val="20"/>
        </w:rPr>
        <w:t>As of March 31, 2025, the estimated annual amortization expense of intangible assets for each of the next five years and thereafter is expected to be as follows (in thousands):</w:t>
      </w:r>
      <w:r>
        <w:rPr>
          <w:rFonts w:ascii="Times New Roman" w:hAnsi="Times New Roman"/>
          <w:color w:val="000000"/>
          <w:sz w:val="20"/>
        </w:rPr>
        <w:t xml:space="preserve"> </w:t>
      </w:r>
    </w:p>
    <w:tbl>
      <w:tblPr>
        <w:tblW w:w="4179" w:type="dxa"/>
        <w:jc w:val="left"/>
        <w:tblInd w:w="0" w:type="dxa"/>
        <w:tblLayout w:type="fixed"/>
        <w:tblCellMar>
          <w:top w:w="28" w:type="dxa"/>
          <w:left w:w="28" w:type="dxa"/>
          <w:bottom w:w="28" w:type="dxa"/>
          <w:right w:w="28" w:type="dxa"/>
        </w:tblCellMar>
      </w:tblPr>
      <w:tblGrid>
        <w:gridCol w:w="2701"/>
        <w:gridCol w:w="146"/>
        <w:gridCol w:w="239"/>
        <w:gridCol w:w="9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Remaining of fiscal year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202,014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25" w:name="note_10"/>
      <w:bookmarkEnd w:id="25"/>
      <w:r>
        <w:rPr>
          <w:rFonts w:ascii="Arial" w:hAnsi="Arial"/>
          <w:b/>
          <w:color w:val="000000"/>
          <w:sz w:val="20"/>
        </w:rPr>
        <w:t>Note 12. Debt</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2024 Revolving Credit Facility</w:t>
      </w:r>
    </w:p>
    <w:p>
      <w:pPr>
        <w:pStyle w:val="TextBody"/>
        <w:bidi w:val="0"/>
        <w:spacing w:before="0" w:after="200"/>
        <w:jc w:val="left"/>
        <w:rPr>
          <w:rFonts w:ascii="Times New Roman" w:hAnsi="Times New Roman"/>
          <w:sz w:val="20"/>
        </w:rPr>
      </w:pPr>
      <w:r>
        <w:rPr>
          <w:rFonts w:ascii="Arial" w:hAnsi="Arial"/>
          <w:color w:val="000000"/>
          <w:sz w:val="20"/>
        </w:rPr>
        <w:t>On February 23, 2024, the Company entered into an Amended and Restated Credit Agreement for a five-year senior secured revolving credit syndication loan (2024 Revolving Credit Facility) with four banks for a total commitment of $125.0</w:t>
      </w:r>
      <w:r>
        <w:rPr>
          <w:rFonts w:ascii="Times New Roman" w:hAnsi="Times New Roman"/>
          <w:color w:val="000000"/>
          <w:sz w:val="20"/>
        </w:rPr>
        <w:t xml:space="preserve"> </w:t>
      </w:r>
      <w:r>
        <w:rPr>
          <w:rFonts w:ascii="Arial" w:hAnsi="Arial"/>
          <w:color w:val="000000"/>
          <w:sz w:val="20"/>
        </w:rPr>
        <w:t>million. The 2024 Revolving Credit Facility provides for an incremental facility in an amount equal to $50.0</w:t>
      </w:r>
      <w:r>
        <w:rPr>
          <w:rFonts w:ascii="Times New Roman" w:hAnsi="Times New Roman"/>
          <w:color w:val="000000"/>
          <w:sz w:val="20"/>
        </w:rPr>
        <w:t xml:space="preserve"> </w:t>
      </w:r>
      <w:r>
        <w:rPr>
          <w:rFonts w:ascii="Arial" w:hAnsi="Arial"/>
          <w:color w:val="000000"/>
          <w:sz w:val="20"/>
        </w:rPr>
        <w:t>million plus 100% of Consolidated Adjusted EBITDA based on the most recent consolidated financial information. In addition, the 2024 Revolving Credit Facility includes a $10.0</w:t>
      </w:r>
      <w:r>
        <w:rPr>
          <w:rFonts w:ascii="Times New Roman" w:hAnsi="Times New Roman"/>
          <w:color w:val="000000"/>
          <w:sz w:val="20"/>
        </w:rPr>
        <w:t xml:space="preserve"> </w:t>
      </w:r>
      <w:r>
        <w:rPr>
          <w:rFonts w:ascii="Arial" w:hAnsi="Arial"/>
          <w:color w:val="000000"/>
          <w:sz w:val="20"/>
        </w:rPr>
        <w:t>million letter of credit sub-facility and a $5.0</w:t>
      </w:r>
      <w:r>
        <w:rPr>
          <w:rFonts w:ascii="Times New Roman" w:hAnsi="Times New Roman"/>
          <w:color w:val="000000"/>
          <w:sz w:val="20"/>
        </w:rPr>
        <w:t xml:space="preserve"> </w:t>
      </w:r>
      <w:r>
        <w:rPr>
          <w:rFonts w:ascii="Arial" w:hAnsi="Arial"/>
          <w:color w:val="000000"/>
          <w:sz w:val="20"/>
        </w:rPr>
        <w:t>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2024 Revolving Credit Facility replaced the three-year senior secured revolving credit syndication loan (2021 Revolving Credit Facility) of $50.0</w:t>
      </w:r>
      <w:r>
        <w:rPr>
          <w:rFonts w:ascii="Times New Roman" w:hAnsi="Times New Roman"/>
          <w:color w:val="000000"/>
          <w:sz w:val="20"/>
        </w:rPr>
        <w:t xml:space="preserve"> </w:t>
      </w:r>
      <w:r>
        <w:rPr>
          <w:rFonts w:ascii="Arial" w:hAnsi="Arial"/>
          <w:color w:val="000000"/>
          <w:sz w:val="20"/>
        </w:rPr>
        <w:t>million entered into in July 2021, under which $50.0</w:t>
      </w:r>
      <w:r>
        <w:rPr>
          <w:rFonts w:ascii="Times New Roman" w:hAnsi="Times New Roman"/>
          <w:color w:val="000000"/>
          <w:sz w:val="20"/>
        </w:rPr>
        <w:t xml:space="preserve"> </w:t>
      </w:r>
      <w:r>
        <w:rPr>
          <w:rFonts w:ascii="Arial" w:hAnsi="Arial"/>
          <w:color w:val="000000"/>
          <w:sz w:val="20"/>
        </w:rPr>
        <w:t>million was available to Flywire as of December 31, 2023. Three of the lenders under the 2024 Revolving Credit Facility were existing lenders under the 2021 Revolving Credit Facility.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In connection with the 2024 Revolving Credit Facility, the Company incurred debt issuance costs of $0.8</w:t>
      </w:r>
      <w:r>
        <w:rPr>
          <w:rFonts w:ascii="Times New Roman" w:hAnsi="Times New Roman"/>
          <w:color w:val="000000"/>
          <w:sz w:val="20"/>
        </w:rPr>
        <w:t xml:space="preserve"> </w:t>
      </w:r>
      <w:r>
        <w:rPr>
          <w:rFonts w:ascii="Arial" w:hAnsi="Arial"/>
          <w:color w:val="000000"/>
          <w:sz w:val="20"/>
        </w:rPr>
        <w:t>million. Debt issuance costs related to the 2024 Revolving Credit Facility are amortized on a straight-line basis over the contractual term of the agreement and are presented as a component of other assets on the Company's condensed consolidated balance sheets. Debt issuance costs of $0.1</w:t>
      </w:r>
      <w:r>
        <w:rPr>
          <w:rFonts w:ascii="Times New Roman" w:hAnsi="Times New Roman"/>
          <w:color w:val="000000"/>
          <w:sz w:val="20"/>
        </w:rPr>
        <w:t xml:space="preserve"> </w:t>
      </w:r>
      <w:r>
        <w:rPr>
          <w:rFonts w:ascii="Arial" w:hAnsi="Arial"/>
          <w:color w:val="000000"/>
          <w:sz w:val="20"/>
        </w:rPr>
        <w:t>million related to the 2021 Revolving Credit Facility will continue to be amortized on a straight-line basis over the contractual term of the new agreement and are presented as a component of other assets on the Company's condensed consolidated balance sheets. The exchange of the 2021 Revolving Credit Facility with the 2024 Revolving Credit Facility from the same lenders was accounted for as a modification.</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2024 Revolving Credit Facility consists of Alternate Base Rate (ABR) borrowings or Term Secured Overnight Financing Rate (SOFR) borrowings, at the Company’s option.</w:t>
      </w:r>
    </w:p>
    <w:p>
      <w:pPr>
        <w:pStyle w:val="TextBody"/>
        <w:bidi w:val="0"/>
        <w:spacing w:before="0" w:after="200"/>
        <w:jc w:val="left"/>
        <w:rPr>
          <w:rFonts w:ascii="Times New Roman" w:hAnsi="Times New Roman"/>
          <w:sz w:val="20"/>
        </w:rPr>
      </w:pPr>
      <w:r>
        <w:rPr>
          <w:rFonts w:ascii="Arial" w:hAnsi="Arial"/>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w:t>
      </w:r>
      <w:r>
        <w:rPr>
          <w:rFonts w:ascii="Times New Roman" w:hAnsi="Times New Roman"/>
          <w:color w:val="000000"/>
          <w:sz w:val="20"/>
        </w:rPr>
        <w:t xml:space="preserve"> </w:t>
      </w:r>
      <w:r>
        <w:rPr>
          <w:rFonts w:ascii="Arial" w:hAnsi="Arial"/>
          <w:color w:val="000000"/>
          <w:sz w:val="20"/>
        </w:rPr>
        <w:t>The 2024 Revolving Credit Facility incurs a commitment fee ranging from 0.25% to 0.35% based upon the Company’s consolidated total net leverage ratio as of the most recent consolidated financial information assessed on the average available commitment.</w:t>
      </w:r>
    </w:p>
    <w:p>
      <w:pPr>
        <w:pStyle w:val="TextBody"/>
        <w:bidi w:val="0"/>
        <w:spacing w:before="0" w:after="200"/>
        <w:jc w:val="left"/>
        <w:rPr>
          <w:rFonts w:ascii="Times New Roman" w:hAnsi="Times New Roman"/>
          <w:sz w:val="20"/>
        </w:rPr>
      </w:pPr>
      <w:r>
        <w:rPr>
          <w:rFonts w:ascii="Arial" w:hAnsi="Arial"/>
          <w:color w:val="000000"/>
          <w:sz w:val="20"/>
        </w:rPr>
        <w:t>The 2024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Revolving Credit Facility becoming immediately due and payable and termination of the commitments. The Company was in compliance with all covenants associated with the 2024 Revolving Credit Facility as of March 31, 2025.</w:t>
      </w:r>
    </w:p>
    <w:p>
      <w:pPr>
        <w:pStyle w:val="TextBody"/>
        <w:bidi w:val="0"/>
        <w:spacing w:before="0" w:after="200"/>
        <w:jc w:val="left"/>
        <w:rPr>
          <w:rFonts w:ascii="Times New Roman" w:hAnsi="Times New Roman"/>
          <w:sz w:val="20"/>
        </w:rPr>
      </w:pPr>
      <w:r>
        <w:rPr>
          <w:rFonts w:ascii="Arial" w:hAnsi="Arial"/>
          <w:color w:val="000000"/>
          <w:sz w:val="20"/>
        </w:rPr>
        <w:t>During the three months ended March 31, 2025, the Company drew down $125.0</w:t>
      </w:r>
      <w:r>
        <w:rPr>
          <w:rFonts w:ascii="Times New Roman" w:hAnsi="Times New Roman"/>
          <w:color w:val="000000"/>
          <w:sz w:val="20"/>
        </w:rPr>
        <w:t xml:space="preserve"> </w:t>
      </w:r>
      <w:r>
        <w:rPr>
          <w:rFonts w:ascii="Arial" w:hAnsi="Arial"/>
          <w:color w:val="000000"/>
          <w:sz w:val="20"/>
        </w:rPr>
        <w:t>million under the 2024 Revolving Credit Facility in connection with the acquisition of Sertifi. During the three months ended March 31, 2025, the Company also repaid $65.0</w:t>
      </w:r>
      <w:r>
        <w:rPr>
          <w:rFonts w:ascii="Times New Roman" w:hAnsi="Times New Roman"/>
          <w:color w:val="000000"/>
          <w:sz w:val="20"/>
        </w:rPr>
        <w:t xml:space="preserve"> </w:t>
      </w:r>
      <w:r>
        <w:rPr>
          <w:rFonts w:ascii="Arial" w:hAnsi="Arial"/>
          <w:color w:val="000000"/>
          <w:sz w:val="20"/>
        </w:rPr>
        <w:t>million against the 2024 Revolving Credit Facility. The outstanding balance of the 2024 Revolving Credit Facility was $60.0</w:t>
      </w:r>
      <w:r>
        <w:rPr>
          <w:rFonts w:ascii="Times New Roman" w:hAnsi="Times New Roman"/>
          <w:color w:val="000000"/>
          <w:sz w:val="20"/>
        </w:rPr>
        <w:t xml:space="preserve"> </w:t>
      </w:r>
      <w:r>
        <w:rPr>
          <w:rFonts w:ascii="Arial" w:hAnsi="Arial"/>
          <w:color w:val="000000"/>
          <w:sz w:val="20"/>
        </w:rPr>
        <w:t>million at March 31, 2025, which is due and payable in February 2029 and is classified as long-term debt on the condensed consolidated balance sheet. There was no outstanding balance of the 2024 Revolving Credit Facility at December 31, 2024.</w:t>
      </w:r>
    </w:p>
    <w:p>
      <w:pPr>
        <w:pStyle w:val="TextBody"/>
        <w:bidi w:val="0"/>
        <w:spacing w:before="0" w:after="200"/>
        <w:jc w:val="left"/>
        <w:rPr>
          <w:rFonts w:ascii="Arial" w:hAnsi="Arial"/>
          <w:b/>
          <w:i/>
          <w:color w:val="000000"/>
          <w:sz w:val="20"/>
        </w:rPr>
      </w:pPr>
      <w:r>
        <w:rPr>
          <w:rFonts w:ascii="Arial" w:hAnsi="Arial"/>
          <w:b/>
          <w:i/>
          <w:color w:val="000000"/>
          <w:sz w:val="20"/>
        </w:rPr>
        <w:t>2021 Revolving Credit Facility</w:t>
      </w:r>
    </w:p>
    <w:p>
      <w:pPr>
        <w:pStyle w:val="TextBody"/>
        <w:bidi w:val="0"/>
        <w:spacing w:before="0" w:after="200"/>
        <w:jc w:val="left"/>
        <w:rPr>
          <w:rFonts w:ascii="Times New Roman" w:hAnsi="Times New Roman"/>
          <w:sz w:val="20"/>
        </w:rPr>
      </w:pPr>
      <w:r>
        <w:rPr>
          <w:rFonts w:ascii="Arial" w:hAnsi="Arial"/>
          <w:color w:val="000000"/>
          <w:sz w:val="20"/>
        </w:rPr>
        <w:t>On July 29, 2021, the Company entered into the 2021 Revolving Credit Facility with three banks for a total commitment of $50.0</w:t>
      </w:r>
      <w:r>
        <w:rPr>
          <w:rFonts w:ascii="Times New Roman" w:hAnsi="Times New Roman"/>
          <w:color w:val="000000"/>
          <w:sz w:val="20"/>
        </w:rPr>
        <w:t xml:space="preserve"> </w:t>
      </w:r>
      <w:r>
        <w:rPr>
          <w:rFonts w:ascii="Arial" w:hAnsi="Arial"/>
          <w:color w:val="000000"/>
          <w:sz w:val="20"/>
        </w:rPr>
        <w:t>million. The 2021 Revolving Credit Facility included a $5.0</w:t>
      </w:r>
      <w:r>
        <w:rPr>
          <w:rFonts w:ascii="Times New Roman" w:hAnsi="Times New Roman"/>
          <w:color w:val="000000"/>
          <w:sz w:val="20"/>
        </w:rPr>
        <w:t xml:space="preserve"> </w:t>
      </w:r>
      <w:r>
        <w:rPr>
          <w:rFonts w:ascii="Arial" w:hAnsi="Arial"/>
          <w:color w:val="000000"/>
          <w:sz w:val="20"/>
        </w:rPr>
        <w:t>million letter of credit sub-facility and a $5.0</w:t>
      </w:r>
      <w:r>
        <w:rPr>
          <w:rFonts w:ascii="Times New Roman" w:hAnsi="Times New Roman"/>
          <w:color w:val="000000"/>
          <w:sz w:val="20"/>
        </w:rPr>
        <w:t xml:space="preserve"> </w:t>
      </w:r>
      <w:r>
        <w:rPr>
          <w:rFonts w:ascii="Arial" w:hAnsi="Arial"/>
          <w:color w:val="000000"/>
          <w:sz w:val="20"/>
        </w:rPr>
        <w:t>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pStyle w:val="TextBody"/>
        <w:bidi w:val="0"/>
        <w:spacing w:before="0" w:after="200"/>
        <w:jc w:val="left"/>
        <w:rPr>
          <w:rFonts w:ascii="Arial" w:hAnsi="Arial"/>
          <w:color w:val="000000"/>
          <w:sz w:val="20"/>
        </w:rPr>
      </w:pPr>
      <w:r>
        <w:rPr>
          <w:rFonts w:ascii="Arial" w:hAnsi="Arial"/>
          <w:color w:val="000000"/>
          <w:sz w:val="20"/>
        </w:rPr>
        <w:t>The 2021 Revolving Credit Facility consisted of ABR loans or Eurodollar Borrowings, at the Company’s option.</w:t>
      </w:r>
    </w:p>
    <w:p>
      <w:pPr>
        <w:pStyle w:val="TextBody"/>
        <w:bidi w:val="0"/>
        <w:spacing w:before="0" w:after="200"/>
        <w:jc w:val="left"/>
        <w:rPr>
          <w:rFonts w:ascii="Arial" w:hAnsi="Arial"/>
          <w:color w:val="000000"/>
          <w:sz w:val="20"/>
        </w:rPr>
      </w:pPr>
      <w:r>
        <w:rPr>
          <w:rFonts w:ascii="Arial" w:hAnsi="Arial"/>
          <w:color w:val="000000"/>
          <w:sz w:val="20"/>
        </w:rPr>
        <w:t>On June 23, 2023, the Company executed the First Amendment to the 2021 Revolving Credit Facility to transition determination of the interest rate from the LIBOR benchmark rate to the SOFR benchmark rate effective June 30, 2023.</w:t>
      </w:r>
    </w:p>
    <w:p>
      <w:pPr>
        <w:pStyle w:val="TextBody"/>
        <w:bidi w:val="0"/>
        <w:spacing w:before="0" w:after="200"/>
        <w:jc w:val="left"/>
        <w:rPr>
          <w:rFonts w:ascii="Times New Roman" w:hAnsi="Times New Roman"/>
          <w:sz w:val="20"/>
        </w:rPr>
      </w:pPr>
      <w:r>
        <w:rPr>
          <w:rFonts w:ascii="Arial" w:hAnsi="Arial"/>
          <w:color w:val="000000"/>
          <w:sz w:val="20"/>
        </w:rPr>
        <w:t>As of March 31, 2025</w:t>
      </w:r>
      <w:r>
        <w:rPr>
          <w:rFonts w:ascii="Times New Roman" w:hAnsi="Times New Roman"/>
          <w:color w:val="000000"/>
          <w:sz w:val="20"/>
        </w:rPr>
        <w:t xml:space="preserve"> </w:t>
      </w:r>
      <w:r>
        <w:rPr>
          <w:rFonts w:ascii="Arial" w:hAnsi="Arial"/>
          <w:color w:val="000000"/>
          <w:sz w:val="20"/>
        </w:rPr>
        <w:t>and December 31, 2024, there was no</w:t>
      </w:r>
      <w:r>
        <w:rPr>
          <w:rFonts w:ascii="Times New Roman" w:hAnsi="Times New Roman"/>
          <w:color w:val="000000"/>
          <w:sz w:val="20"/>
        </w:rPr>
        <w:t xml:space="preserve"> </w:t>
      </w:r>
      <w:r>
        <w:rPr>
          <w:rFonts w:ascii="Arial" w:hAnsi="Arial"/>
          <w:color w:val="000000"/>
          <w:sz w:val="20"/>
        </w:rPr>
        <w:t>outstanding indebtedness under the 2021 Revolving Credit Facility.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Interest expense for each of the three months ended March 31, 2025 and 2024 was $0.7</w:t>
      </w:r>
      <w:r>
        <w:rPr>
          <w:rFonts w:ascii="Times New Roman" w:hAnsi="Times New Roman"/>
          <w:color w:val="000000"/>
          <w:sz w:val="20"/>
        </w:rPr>
        <w:t xml:space="preserve"> </w:t>
      </w:r>
      <w:r>
        <w:rPr>
          <w:rFonts w:ascii="Arial" w:hAnsi="Arial"/>
          <w:color w:val="000000"/>
          <w:sz w:val="20"/>
        </w:rPr>
        <w:t>and $0.1</w:t>
      </w:r>
      <w:r>
        <w:rPr>
          <w:rFonts w:ascii="Times New Roman" w:hAnsi="Times New Roman"/>
          <w:color w:val="000000"/>
          <w:sz w:val="20"/>
        </w:rPr>
        <w:t xml:space="preserve"> </w:t>
      </w:r>
      <w:r>
        <w:rPr>
          <w:rFonts w:ascii="Arial" w:hAnsi="Arial"/>
          <w:color w:val="000000"/>
          <w:sz w:val="20"/>
        </w:rPr>
        <w:t>million, respectively. Included in interest expense for the three months ended March 31, 2025 and 2024</w:t>
      </w:r>
      <w:r>
        <w:rPr>
          <w:rFonts w:ascii="Times New Roman" w:hAnsi="Times New Roman"/>
          <w:color w:val="000000"/>
          <w:sz w:val="20"/>
        </w:rPr>
        <w:t xml:space="preserve"> </w:t>
      </w:r>
      <w:r>
        <w:rPr>
          <w:rFonts w:ascii="Arial" w:hAnsi="Arial"/>
          <w:color w:val="000000"/>
          <w:sz w:val="20"/>
        </w:rPr>
        <w:t>is less than $0.1</w:t>
      </w:r>
      <w:r>
        <w:rPr>
          <w:rFonts w:ascii="Times New Roman" w:hAnsi="Times New Roman"/>
          <w:color w:val="000000"/>
          <w:sz w:val="20"/>
        </w:rPr>
        <w:t xml:space="preserve"> </w:t>
      </w:r>
      <w:r>
        <w:rPr>
          <w:rFonts w:ascii="Arial" w:hAnsi="Arial"/>
          <w:color w:val="000000"/>
          <w:sz w:val="20"/>
        </w:rPr>
        <w:t>million of amortization of debt issuance costs.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Letter of Credit</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As of March 31, 2025 and December 31, 2024, the Company had an outstanding and unused letter of credit in the amount of approximately</w:t>
      </w:r>
      <w:r>
        <w:rPr>
          <w:rFonts w:ascii="Times New Roman" w:hAnsi="Times New Roman"/>
          <w:color w:val="000000"/>
          <w:sz w:val="20"/>
        </w:rPr>
        <w:t xml:space="preserve"> </w:t>
      </w:r>
      <w:r>
        <w:rPr>
          <w:rFonts w:ascii="Arial" w:hAnsi="Arial"/>
          <w:color w:val="000000"/>
          <w:sz w:val="20"/>
        </w:rPr>
        <w:t>$2.5</w:t>
      </w:r>
      <w:r>
        <w:rPr>
          <w:rFonts w:ascii="Times New Roman" w:hAnsi="Times New Roman"/>
          <w:color w:val="000000"/>
          <w:sz w:val="20"/>
        </w:rPr>
        <w:t xml:space="preserve"> </w:t>
      </w:r>
      <w:r>
        <w:rPr>
          <w:rFonts w:ascii="Arial" w:hAnsi="Arial"/>
          <w:color w:val="000000"/>
          <w:sz w:val="20"/>
        </w:rPr>
        <w:t>million, for the purpose of protecting a third-party service provider against default on payroll payments. The letter of credit may be terminated at any time by the Company upon notice.</w:t>
      </w:r>
    </w:p>
    <w:p>
      <w:pPr>
        <w:pStyle w:val="TextBody"/>
        <w:bidi w:val="0"/>
        <w:spacing w:before="160" w:after="283"/>
        <w:jc w:val="left"/>
        <w:rPr>
          <w:rFonts w:ascii="Times New Roman" w:hAnsi="Times New Roman"/>
          <w:sz w:val="20"/>
        </w:rPr>
      </w:pPr>
      <w:bookmarkStart w:id="26" w:name="note_11"/>
      <w:bookmarkEnd w:id="26"/>
      <w:r>
        <w:rPr>
          <w:rFonts w:ascii="Arial" w:hAnsi="Arial"/>
          <w:b/>
          <w:color w:val="000000"/>
          <w:sz w:val="20"/>
        </w:rPr>
        <w:t>Note 13. Stockholders’ Equity</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Preferred Stock</w:t>
      </w:r>
    </w:p>
    <w:p>
      <w:pPr>
        <w:pStyle w:val="TextBody"/>
        <w:bidi w:val="0"/>
        <w:spacing w:before="0" w:after="200"/>
        <w:jc w:val="left"/>
        <w:rPr>
          <w:rFonts w:ascii="Times New Roman" w:hAnsi="Times New Roman"/>
          <w:sz w:val="20"/>
        </w:rPr>
      </w:pPr>
      <w:r>
        <w:rPr>
          <w:rFonts w:ascii="Arial" w:hAnsi="Arial"/>
          <w:color w:val="000000"/>
          <w:sz w:val="20"/>
        </w:rPr>
        <w:t>The Company’s current amended and restated certificate of incorporation, which was filed on May 28, 2021, authorizes the issuance of 10,000,000</w:t>
      </w:r>
      <w:r>
        <w:rPr>
          <w:rFonts w:ascii="Times New Roman" w:hAnsi="Times New Roman"/>
          <w:color w:val="000000"/>
          <w:sz w:val="20"/>
        </w:rPr>
        <w:t xml:space="preserve"> </w:t>
      </w:r>
      <w:r>
        <w:rPr>
          <w:rFonts w:ascii="Arial" w:hAnsi="Arial"/>
          <w:color w:val="000000"/>
          <w:sz w:val="20"/>
        </w:rPr>
        <w:t>shares of undesignated preferred stock with a par value of $0.0001</w:t>
      </w:r>
      <w:r>
        <w:rPr>
          <w:rFonts w:ascii="Times New Roman" w:hAnsi="Times New Roman"/>
          <w:color w:val="000000"/>
          <w:sz w:val="20"/>
        </w:rPr>
        <w:t xml:space="preserve"> </w:t>
      </w:r>
      <w:r>
        <w:rPr>
          <w:rFonts w:ascii="Arial" w:hAnsi="Arial"/>
          <w:color w:val="000000"/>
          <w:sz w:val="20"/>
        </w:rPr>
        <w:t>per share with rights and preferences, including voting rights, designated from time to time by the board of directors.</w:t>
      </w:r>
      <w:r>
        <w:rPr>
          <w:rFonts w:ascii="Times New Roman" w:hAnsi="Times New Roman"/>
          <w:color w:val="000000"/>
          <w:sz w:val="20"/>
        </w:rPr>
        <w:t xml:space="preserve"> </w:t>
      </w:r>
    </w:p>
    <w:p>
      <w:pPr>
        <w:pStyle w:val="TextBody"/>
        <w:bidi w:val="0"/>
        <w:spacing w:before="0" w:after="200"/>
        <w:jc w:val="left"/>
        <w:rPr>
          <w:rFonts w:ascii="Arial" w:hAnsi="Arial"/>
          <w:b/>
          <w:i/>
          <w:color w:val="000000"/>
          <w:sz w:val="20"/>
        </w:rPr>
      </w:pPr>
      <w:r>
        <w:rPr>
          <w:rFonts w:ascii="Arial" w:hAnsi="Arial"/>
          <w:b/>
          <w:i/>
          <w:color w:val="000000"/>
          <w:sz w:val="20"/>
        </w:rPr>
        <w:t>Common Stock</w:t>
      </w:r>
    </w:p>
    <w:p>
      <w:pPr>
        <w:pStyle w:val="TextBody"/>
        <w:bidi w:val="0"/>
        <w:spacing w:before="0" w:after="200"/>
        <w:jc w:val="left"/>
        <w:rPr>
          <w:rFonts w:ascii="Times New Roman" w:hAnsi="Times New Roman"/>
          <w:sz w:val="20"/>
        </w:rPr>
      </w:pPr>
      <w:r>
        <w:rPr>
          <w:rFonts w:ascii="Arial" w:hAnsi="Arial"/>
          <w:color w:val="000000"/>
          <w:sz w:val="20"/>
        </w:rPr>
        <w:t>The Company’s current amended and restated certificate of incorporation authorizes the issuance of 2,000,000,000</w:t>
      </w:r>
      <w:r>
        <w:rPr>
          <w:rFonts w:ascii="Times New Roman" w:hAnsi="Times New Roman"/>
          <w:color w:val="000000"/>
          <w:sz w:val="20"/>
        </w:rPr>
        <w:t xml:space="preserve"> </w:t>
      </w:r>
      <w:r>
        <w:rPr>
          <w:rFonts w:ascii="Arial" w:hAnsi="Arial"/>
          <w:color w:val="000000"/>
          <w:sz w:val="20"/>
        </w:rPr>
        <w:t>shares of voting common stock with a par value of $0.0001</w:t>
      </w:r>
      <w:r>
        <w:rPr>
          <w:rFonts w:ascii="Times New Roman" w:hAnsi="Times New Roman"/>
          <w:color w:val="000000"/>
          <w:sz w:val="20"/>
        </w:rPr>
        <w:t xml:space="preserve"> </w:t>
      </w:r>
      <w:r>
        <w:rPr>
          <w:rFonts w:ascii="Arial" w:hAnsi="Arial"/>
          <w:color w:val="000000"/>
          <w:sz w:val="20"/>
        </w:rPr>
        <w:t>per share and 10,000,000</w:t>
      </w:r>
      <w:r>
        <w:rPr>
          <w:rFonts w:ascii="Times New Roman" w:hAnsi="Times New Roman"/>
          <w:color w:val="000000"/>
          <w:sz w:val="20"/>
        </w:rPr>
        <w:t xml:space="preserve"> </w:t>
      </w:r>
      <w:r>
        <w:rPr>
          <w:rFonts w:ascii="Arial" w:hAnsi="Arial"/>
          <w:color w:val="000000"/>
          <w:sz w:val="20"/>
        </w:rPr>
        <w:t>shares of non-voting common stock with a par value of $0.0001</w:t>
      </w:r>
      <w:r>
        <w:rPr>
          <w:rFonts w:ascii="Times New Roman" w:hAnsi="Times New Roman"/>
          <w:color w:val="000000"/>
          <w:sz w:val="20"/>
        </w:rPr>
        <w:t xml:space="preserve"> </w:t>
      </w:r>
      <w:r>
        <w:rPr>
          <w:rFonts w:ascii="Arial" w:hAnsi="Arial"/>
          <w:color w:val="000000"/>
          <w:sz w:val="20"/>
        </w:rPr>
        <w:t>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 xml:space="preserve">Holders of the Company's voting common stock have no conversion rights while each share of non-voting common stock automatically converts into common stock on a one-to-one basis without the payment of additional consideration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pStyle w:val="TextBody"/>
        <w:bidi w:val="0"/>
        <w:spacing w:before="0" w:after="200"/>
        <w:jc w:val="left"/>
        <w:rPr>
          <w:rFonts w:ascii="Arial" w:hAnsi="Arial"/>
          <w:b/>
          <w:i/>
          <w:color w:val="000000"/>
          <w:sz w:val="20"/>
        </w:rPr>
      </w:pPr>
      <w:r>
        <w:rPr>
          <w:rFonts w:ascii="Arial" w:hAnsi="Arial"/>
          <w:b/>
          <w:i/>
          <w:color w:val="000000"/>
          <w:sz w:val="20"/>
        </w:rPr>
        <w:t>Share Repurchase Program</w:t>
      </w:r>
    </w:p>
    <w:p>
      <w:pPr>
        <w:pStyle w:val="TextBody"/>
        <w:bidi w:val="0"/>
        <w:spacing w:before="0" w:after="200"/>
        <w:jc w:val="left"/>
        <w:rPr>
          <w:rFonts w:ascii="Times New Roman" w:hAnsi="Times New Roman"/>
          <w:sz w:val="20"/>
        </w:rPr>
      </w:pPr>
      <w:r>
        <w:rPr>
          <w:rFonts w:ascii="Arial" w:hAnsi="Arial"/>
          <w:color w:val="000000"/>
          <w:sz w:val="20"/>
        </w:rPr>
        <w:t>On August 6, 2024, the Company announced a share repurchase program of up to $150</w:t>
      </w:r>
      <w:r>
        <w:rPr>
          <w:rFonts w:ascii="Times New Roman" w:hAnsi="Times New Roman"/>
          <w:color w:val="000000"/>
          <w:sz w:val="20"/>
        </w:rPr>
        <w:t xml:space="preserve"> </w:t>
      </w:r>
      <w:r>
        <w:rPr>
          <w:rFonts w:ascii="Arial" w:hAnsi="Arial"/>
          <w:color w:val="000000"/>
          <w:sz w:val="20"/>
        </w:rPr>
        <w:t>million of outstanding voting and non-voting common stock for an indefinite period as part of the Company’s capital deployment strategy (Repurchase Program).</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pStyle w:val="TextBody"/>
        <w:bidi w:val="0"/>
        <w:spacing w:before="0" w:after="200"/>
        <w:jc w:val="left"/>
        <w:rPr>
          <w:rFonts w:ascii="Times New Roman" w:hAnsi="Times New Roman"/>
          <w:sz w:val="20"/>
        </w:rPr>
      </w:pPr>
      <w:r>
        <w:rPr>
          <w:rFonts w:ascii="Arial" w:hAnsi="Arial"/>
          <w:color w:val="000000"/>
          <w:sz w:val="20"/>
        </w:rPr>
        <w:t>During the three months ended March 31, 2025, the Company repurchased 3,562,643</w:t>
      </w:r>
      <w:r>
        <w:rPr>
          <w:rFonts w:ascii="Times New Roman" w:hAnsi="Times New Roman"/>
          <w:color w:val="000000"/>
          <w:sz w:val="20"/>
        </w:rPr>
        <w:t xml:space="preserve"> </w:t>
      </w:r>
      <w:r>
        <w:rPr>
          <w:rFonts w:ascii="Arial" w:hAnsi="Arial"/>
          <w:color w:val="000000"/>
          <w:sz w:val="20"/>
        </w:rPr>
        <w:t>shares of its common stock for an aggregate amount, including commissions and accrued excise tax, of $48.4</w:t>
      </w:r>
      <w:r>
        <w:rPr>
          <w:rFonts w:ascii="Times New Roman" w:hAnsi="Times New Roman"/>
          <w:color w:val="000000"/>
          <w:sz w:val="20"/>
        </w:rPr>
        <w:t xml:space="preserve"> </w:t>
      </w:r>
      <w:r>
        <w:rPr>
          <w:rFonts w:ascii="Arial" w:hAnsi="Arial"/>
          <w:color w:val="000000"/>
          <w:sz w:val="20"/>
        </w:rPr>
        <w:t>million under the Repurchase Program. The repurchased shares are currently being held as treasury stock. As of March 31, 2025, approximately $57.0</w:t>
      </w:r>
      <w:r>
        <w:rPr>
          <w:rFonts w:ascii="Times New Roman" w:hAnsi="Times New Roman"/>
          <w:color w:val="000000"/>
          <w:sz w:val="20"/>
        </w:rPr>
        <w:t xml:space="preserve"> </w:t>
      </w:r>
      <w:r>
        <w:rPr>
          <w:rFonts w:ascii="Arial" w:hAnsi="Arial"/>
          <w:color w:val="000000"/>
          <w:sz w:val="20"/>
        </w:rPr>
        <w:t>million of the originally authorized amount under the Repurchase Program remained available for future repurchases.</w:t>
      </w:r>
    </w:p>
    <w:p>
      <w:pPr>
        <w:pStyle w:val="TextBody"/>
        <w:bidi w:val="0"/>
        <w:spacing w:before="0" w:after="200"/>
        <w:jc w:val="left"/>
        <w:rPr>
          <w:rFonts w:ascii="Times New Roman" w:hAnsi="Times New Roman"/>
          <w:sz w:val="20"/>
        </w:rPr>
      </w:pPr>
      <w:r>
        <w:rPr>
          <w:rFonts w:ascii="Arial" w:hAnsi="Arial"/>
          <w:color w:val="000000"/>
          <w:sz w:val="20"/>
        </w:rPr>
        <w:t>All of the Company’s repurchases are subject to a one percent excise tax enacted by the Inflation Reduction Act of 2022 (the IRA). The amount of share repurchases subject to the excise tax are reduced by the fair market value of any shares issued during the taxable year. For the three months ended March 31, 2025, the Company accrued $0.5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related excise tax pursuant to the IRA which is included in the cost of treasury stock on the Company's condensed consolidated balance sheet.</w:t>
      </w:r>
    </w:p>
    <w:p>
      <w:pPr>
        <w:pStyle w:val="TextBody"/>
        <w:bidi w:val="0"/>
        <w:spacing w:before="0" w:after="200"/>
        <w:jc w:val="left"/>
        <w:rPr>
          <w:rFonts w:ascii="Arial" w:hAnsi="Arial"/>
          <w:b/>
          <w:i/>
          <w:color w:val="000000"/>
          <w:sz w:val="20"/>
        </w:rPr>
      </w:pPr>
      <w:r>
        <w:rPr>
          <w:rFonts w:ascii="Arial" w:hAnsi="Arial"/>
          <w:b/>
          <w:i/>
          <w:color w:val="000000"/>
          <w:sz w:val="20"/>
        </w:rPr>
        <w:t>Treasury Stock</w:t>
      </w:r>
    </w:p>
    <w:p>
      <w:pPr>
        <w:pStyle w:val="TextBody"/>
        <w:bidi w:val="0"/>
        <w:spacing w:before="0" w:after="200"/>
        <w:jc w:val="left"/>
        <w:rPr>
          <w:rFonts w:ascii="Times New Roman" w:hAnsi="Times New Roman"/>
          <w:sz w:val="20"/>
        </w:rPr>
      </w:pPr>
      <w:r>
        <w:rPr>
          <w:rFonts w:ascii="Arial" w:hAnsi="Arial"/>
          <w:color w:val="000000"/>
          <w:sz w:val="20"/>
        </w:rPr>
        <w:t>The Company may issue treasury stock upon the exercise of stock options and vesting of restricted stock units granted under its equity incentive plans. The Company issued 19,182</w:t>
      </w:r>
      <w:r>
        <w:rPr>
          <w:rFonts w:ascii="Times New Roman" w:hAnsi="Times New Roman"/>
          <w:color w:val="000000"/>
          <w:sz w:val="20"/>
        </w:rPr>
        <w:t xml:space="preserve"> </w:t>
      </w:r>
      <w:r>
        <w:rPr>
          <w:rFonts w:ascii="Arial" w:hAnsi="Arial"/>
          <w:color w:val="000000"/>
          <w:sz w:val="20"/>
        </w:rPr>
        <w:t>treasury shares at an average cost of $9.91</w:t>
      </w:r>
      <w:r>
        <w:rPr>
          <w:rFonts w:ascii="Times New Roman" w:hAnsi="Times New Roman"/>
          <w:color w:val="000000"/>
          <w:sz w:val="20"/>
        </w:rPr>
        <w:t xml:space="preserve"> </w:t>
      </w:r>
      <w:r>
        <w:rPr>
          <w:rFonts w:ascii="Arial" w:hAnsi="Arial"/>
          <w:color w:val="000000"/>
          <w:sz w:val="20"/>
        </w:rPr>
        <w:t>per share during the three months ended March 31, 2025. The Company issued 14,504</w:t>
      </w:r>
      <w:r>
        <w:rPr>
          <w:rFonts w:ascii="Times New Roman" w:hAnsi="Times New Roman"/>
          <w:color w:val="000000"/>
          <w:sz w:val="20"/>
        </w:rPr>
        <w:t xml:space="preserve"> </w:t>
      </w:r>
      <w:r>
        <w:rPr>
          <w:rFonts w:ascii="Arial" w:hAnsi="Arial"/>
          <w:color w:val="000000"/>
          <w:sz w:val="20"/>
        </w:rPr>
        <w:t>treasury shares at an average cost of $0.30</w:t>
      </w:r>
      <w:r>
        <w:rPr>
          <w:rFonts w:ascii="Times New Roman" w:hAnsi="Times New Roman"/>
          <w:color w:val="000000"/>
          <w:sz w:val="20"/>
        </w:rPr>
        <w:t xml:space="preserve"> </w:t>
      </w:r>
      <w:r>
        <w:rPr>
          <w:rFonts w:ascii="Arial" w:hAnsi="Arial"/>
          <w:color w:val="000000"/>
          <w:sz w:val="20"/>
        </w:rPr>
        <w:t>per share during the three months ended March 31, 2024. The Company intends to issue treasury shares as long as an adequate number of those shares are available.</w:t>
      </w:r>
    </w:p>
    <w:p>
      <w:pPr>
        <w:pStyle w:val="TextBody"/>
        <w:bidi w:val="0"/>
        <w:spacing w:before="0" w:after="200"/>
        <w:jc w:val="left"/>
        <w:rPr>
          <w:rFonts w:ascii="Arial" w:hAnsi="Arial"/>
          <w:b/>
          <w:i/>
          <w:color w:val="000000"/>
          <w:sz w:val="20"/>
        </w:rPr>
      </w:pPr>
      <w:r>
        <w:rPr>
          <w:rFonts w:ascii="Arial" w:hAnsi="Arial"/>
          <w:b/>
          <w:i/>
          <w:color w:val="000000"/>
          <w:sz w:val="20"/>
        </w:rPr>
        <w:t>Comprehensive Income (Loss)</w:t>
      </w:r>
    </w:p>
    <w:p>
      <w:pPr>
        <w:pStyle w:val="TextBody"/>
        <w:bidi w:val="0"/>
        <w:spacing w:before="0" w:after="200"/>
        <w:jc w:val="left"/>
        <w:rPr>
          <w:rFonts w:ascii="Arial" w:hAnsi="Arial"/>
          <w:color w:val="000000"/>
          <w:sz w:val="20"/>
        </w:rPr>
      </w:pPr>
      <w:r>
        <w:rPr>
          <w:rFonts w:ascii="Arial" w:hAnsi="Arial"/>
          <w:color w:val="000000"/>
          <w:sz w:val="20"/>
        </w:rPr>
        <w:t>Comprehensive income (loss) includes all changes in equity during the period and is comprised of net income (loss) and other comprehensive income (loss). Accumulated other comprehensive income (AOCI) reported on the Company's condensed consolidated balance sheets for the period ending March 31, 2025 consists of foreign currency translation adjustment and the unrealized gains and losses, net of applicable taxes, on available-for-sale debt securities.</w:t>
      </w:r>
    </w:p>
    <w:p>
      <w:pPr>
        <w:pStyle w:val="TextBody"/>
        <w:bidi w:val="0"/>
        <w:spacing w:before="0" w:after="200"/>
        <w:jc w:val="left"/>
        <w:rPr>
          <w:rFonts w:ascii="Arial" w:hAnsi="Arial"/>
          <w:color w:val="000000"/>
          <w:sz w:val="20"/>
        </w:rPr>
      </w:pPr>
      <w:r>
        <w:rPr>
          <w:rFonts w:ascii="Arial" w:hAnsi="Arial"/>
          <w:color w:val="000000"/>
          <w:sz w:val="20"/>
        </w:rPr>
        <w:t>The following table summarizes the changes in AOCI for the three months ended March 31, 2025 (in thousands):</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9"/>
        <w:gridCol w:w="146"/>
        <w:gridCol w:w="557"/>
        <w:gridCol w:w="1272"/>
        <w:gridCol w:w="166"/>
        <w:gridCol w:w="146"/>
        <w:gridCol w:w="328"/>
        <w:gridCol w:w="1006"/>
        <w:gridCol w:w="166"/>
        <w:gridCol w:w="146"/>
        <w:gridCol w:w="423"/>
        <w:gridCol w:w="696"/>
        <w:gridCol w:w="146"/>
        <w:gridCol w:w="146"/>
        <w:gridCol w:w="211"/>
        <w:gridCol w:w="646"/>
        <w:gridCol w:w="335"/>
      </w:tblGrid>
      <w:tr>
        <w:trPr/>
        <w:tc>
          <w:tcPr>
            <w:tcW w:w="3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br/>
              <w:t>(Losses) on Available-for-</w:t>
              <w:br/>
              <w:t>sale Debt</w:t>
              <w:br/>
              <w:t>Securities,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Foreign 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Tax</w:t>
              <w:br/>
              <w:t>(Expense)</w:t>
              <w:br/>
              <w:t>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(2,066</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2,548</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669"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Less: Amount of gain (loss)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2,548</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color w:val="000000"/>
          <w:sz w:val="20"/>
        </w:rPr>
      </w:pPr>
      <w:r>
        <w:rPr>
          <w:rFonts w:ascii="Arial" w:hAnsi="Arial"/>
          <w:color w:val="000000"/>
          <w:sz w:val="20"/>
        </w:rPr>
        <w:t>Changes in AOCI for the three months ended March 31, 2024 consisted of foreign currency translation adjustment only. Refer to the Company's condensed consolidated statements of stockholders’ equity for the changes in AOCI for the three months ended March 31, 2024.</w:t>
      </w:r>
    </w:p>
    <w:p>
      <w:pPr>
        <w:pStyle w:val="TextBody"/>
        <w:bidi w:val="0"/>
        <w:spacing w:before="0" w:after="200"/>
        <w:jc w:val="left"/>
        <w:rPr>
          <w:rFonts w:ascii="Arial" w:hAnsi="Arial"/>
          <w:b/>
          <w:i/>
          <w:color w:val="000000"/>
          <w:sz w:val="20"/>
        </w:rPr>
      </w:pPr>
      <w:r>
        <w:rPr>
          <w:rFonts w:ascii="Arial" w:hAnsi="Arial"/>
          <w:b/>
          <w:i/>
          <w:color w:val="000000"/>
          <w:sz w:val="20"/>
        </w:rPr>
        <w:t>Reserved Shares of Common Stock for Future Issuance</w:t>
      </w:r>
    </w:p>
    <w:p>
      <w:pPr>
        <w:pStyle w:val="TextBody"/>
        <w:bidi w:val="0"/>
        <w:spacing w:before="0" w:after="200"/>
        <w:jc w:val="left"/>
        <w:rPr>
          <w:rFonts w:ascii="Arial" w:hAnsi="Arial"/>
          <w:color w:val="000000"/>
          <w:sz w:val="20"/>
        </w:rPr>
      </w:pPr>
      <w:r>
        <w:rPr>
          <w:rFonts w:ascii="Arial" w:hAnsi="Arial"/>
          <w:color w:val="000000"/>
          <w:sz w:val="20"/>
        </w:rPr>
        <w:t>As of March 31, 2025, the Company had reserved shares of common stock for future issuance as follows:</w:t>
      </w:r>
    </w:p>
    <w:tbl>
      <w:tblPr>
        <w:tblW w:w="6965" w:type="dxa"/>
        <w:jc w:val="left"/>
        <w:tblInd w:w="0" w:type="dxa"/>
        <w:tblLayout w:type="fixed"/>
        <w:tblCellMar>
          <w:top w:w="28" w:type="dxa"/>
          <w:left w:w="28" w:type="dxa"/>
          <w:bottom w:w="28" w:type="dxa"/>
          <w:right w:w="28" w:type="dxa"/>
        </w:tblCellMar>
      </w:tblPr>
      <w:tblGrid>
        <w:gridCol w:w="5416"/>
        <w:gridCol w:w="146"/>
        <w:gridCol w:w="146"/>
        <w:gridCol w:w="106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Issued and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5,636,581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Issued and 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11,930,639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Available for issuance under the 2021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16,263,616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Available for issuance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5,750,600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Available for conversion of non-voting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1,873,320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41,454,756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27" w:name="note_12"/>
      <w:bookmarkEnd w:id="27"/>
      <w:r>
        <w:rPr>
          <w:rFonts w:ascii="Arial" w:hAnsi="Arial"/>
          <w:b/>
          <w:color w:val="000000"/>
          <w:sz w:val="20"/>
        </w:rPr>
        <w:t>Note 14.</w:t>
      </w:r>
      <w:r>
        <w:rPr>
          <w:rFonts w:ascii="Times New Roman" w:hAnsi="Times New Roman"/>
          <w:color w:val="000000"/>
          <w:sz w:val="20"/>
        </w:rPr>
        <w:t xml:space="preserve"> </w:t>
      </w:r>
      <w:r>
        <w:rPr>
          <w:rFonts w:ascii="Arial" w:hAnsi="Arial"/>
          <w:b/>
          <w:color w:val="000000"/>
          <w:sz w:val="20"/>
        </w:rPr>
        <w:t>Stock-Based Compensation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Equity Incentive Plan</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In April 2021, the Company’s board of directors adopted, and in May 2021 its stockholders approved the 2021 Equity Incentive Plan (the 2021 Plan).</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pStyle w:val="TextBody"/>
        <w:bidi w:val="0"/>
        <w:spacing w:before="0" w:after="200"/>
        <w:jc w:val="left"/>
        <w:rPr>
          <w:rFonts w:ascii="Times New Roman" w:hAnsi="Times New Roman"/>
          <w:sz w:val="20"/>
        </w:rPr>
      </w:pPr>
      <w:r>
        <w:rPr>
          <w:rFonts w:ascii="Arial" w:hAnsi="Arial"/>
          <w:color w:val="000000"/>
          <w:sz w:val="20"/>
        </w:rPr>
        <w:t>The 2021 Plan provides for the grant of incentive stock options, nonqualified stock options, stock appreciation rights, restricted stock awards, restricted stock units, performance awards and other forms of equity compensation (collectively, equity awards). A total of 26,116,754</w:t>
      </w:r>
      <w:r>
        <w:rPr>
          <w:rFonts w:ascii="Times New Roman" w:hAnsi="Times New Roman"/>
          <w:color w:val="000000"/>
          <w:sz w:val="20"/>
        </w:rPr>
        <w:t xml:space="preserve"> </w:t>
      </w:r>
      <w:r>
        <w:rPr>
          <w:rFonts w:ascii="Arial" w:hAnsi="Arial"/>
          <w:color w:val="000000"/>
          <w:sz w:val="20"/>
        </w:rPr>
        <w:t>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for grant under the 2021 Plan.</w:t>
      </w:r>
    </w:p>
    <w:p>
      <w:pPr>
        <w:pStyle w:val="TextBody"/>
        <w:bidi w:val="0"/>
        <w:spacing w:before="0" w:after="200"/>
        <w:jc w:val="left"/>
        <w:rPr>
          <w:rFonts w:ascii="Times New Roman" w:hAnsi="Times New Roman"/>
          <w:sz w:val="20"/>
        </w:rPr>
      </w:pPr>
      <w:r>
        <w:rPr>
          <w:rFonts w:ascii="Arial" w:hAnsi="Arial"/>
          <w:color w:val="000000"/>
          <w:sz w:val="20"/>
        </w:rPr>
        <w:t>As of March 31, 2025, a total of 16,263,616</w:t>
      </w:r>
      <w:r>
        <w:rPr>
          <w:rFonts w:ascii="Times New Roman" w:hAnsi="Times New Roman"/>
          <w:color w:val="000000"/>
          <w:sz w:val="20"/>
        </w:rPr>
        <w:t xml:space="preserve"> </w:t>
      </w:r>
      <w:r>
        <w:rPr>
          <w:rFonts w:ascii="Arial" w:hAnsi="Arial"/>
          <w:color w:val="000000"/>
          <w:sz w:val="20"/>
        </w:rPr>
        <w:t>shares of the Company's common stock were available for future issuance under the 2021 Plan.</w:t>
      </w:r>
    </w:p>
    <w:p>
      <w:pPr>
        <w:pStyle w:val="TextBody"/>
        <w:bidi w:val="0"/>
        <w:spacing w:before="0" w:after="200"/>
        <w:jc w:val="left"/>
        <w:rPr>
          <w:rFonts w:ascii="Times New Roman" w:hAnsi="Times New Roman"/>
          <w:sz w:val="20"/>
        </w:rPr>
      </w:pPr>
      <w:r>
        <w:rPr>
          <w:rFonts w:ascii="Arial" w:hAnsi="Arial"/>
          <w:b/>
          <w:i/>
          <w:color w:val="000000"/>
          <w:sz w:val="20"/>
        </w:rPr>
        <w:t>Stock Options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Stock options granted under the 2009 Plan, 2018 Plan and the 2021 Plan generally vest based on continued service over four years</w:t>
      </w:r>
      <w:r>
        <w:rPr>
          <w:rFonts w:ascii="Times New Roman" w:hAnsi="Times New Roman"/>
          <w:color w:val="000000"/>
          <w:sz w:val="20"/>
        </w:rPr>
        <w:t xml:space="preserve"> </w:t>
      </w:r>
      <w:r>
        <w:rPr>
          <w:rFonts w:ascii="Arial" w:hAnsi="Arial"/>
          <w:color w:val="000000"/>
          <w:sz w:val="20"/>
        </w:rPr>
        <w:t>and expire within ten years</w:t>
      </w:r>
      <w:r>
        <w:rPr>
          <w:rFonts w:ascii="Times New Roman" w:hAnsi="Times New Roman"/>
          <w:color w:val="000000"/>
          <w:sz w:val="20"/>
        </w:rPr>
        <w:t xml:space="preserve"> </w:t>
      </w:r>
      <w:r>
        <w:rPr>
          <w:rFonts w:ascii="Arial" w:hAnsi="Arial"/>
          <w:color w:val="000000"/>
          <w:sz w:val="20"/>
        </w:rPr>
        <w:t>from the date of grant. Any options that are canceled or forfeited before expiration become available for future grants.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Company did not grant any options to purchase shares of common stock during the three months ended March 31, 2025.</w:t>
      </w:r>
    </w:p>
    <w:p>
      <w:pPr>
        <w:pStyle w:val="TextBody"/>
        <w:bidi w:val="0"/>
        <w:spacing w:before="0" w:after="200"/>
        <w:jc w:val="left"/>
        <w:rPr>
          <w:rFonts w:ascii="Times New Roman" w:hAnsi="Times New Roman"/>
          <w:sz w:val="20"/>
        </w:rPr>
      </w:pPr>
      <w:r>
        <w:rPr>
          <w:rFonts w:ascii="Arial" w:hAnsi="Arial"/>
          <w:color w:val="000000"/>
          <w:sz w:val="20"/>
        </w:rPr>
        <w:t>As of March 31, 2025, there was $1.4</w:t>
      </w:r>
      <w:r>
        <w:rPr>
          <w:rFonts w:ascii="Times New Roman" w:hAnsi="Times New Roman"/>
          <w:color w:val="000000"/>
          <w:sz w:val="20"/>
        </w:rPr>
        <w:t xml:space="preserve"> </w:t>
      </w:r>
      <w:r>
        <w:rPr>
          <w:rFonts w:ascii="Arial" w:hAnsi="Arial"/>
          <w:color w:val="000000"/>
          <w:sz w:val="20"/>
        </w:rPr>
        <w:t>million of total unrecognized compensation expense related to unvested stock options, which is expected to be recognized over a weighted-average period of 0.63</w:t>
      </w:r>
      <w:r>
        <w:rPr>
          <w:rFonts w:ascii="Times New Roman" w:hAnsi="Times New Roman"/>
          <w:color w:val="000000"/>
          <w:sz w:val="20"/>
        </w:rPr>
        <w:t xml:space="preserve"> </w:t>
      </w:r>
      <w:r>
        <w:rPr>
          <w:rFonts w:ascii="Arial" w:hAnsi="Arial"/>
          <w:color w:val="000000"/>
          <w:sz w:val="20"/>
        </w:rPr>
        <w:t>years.</w:t>
      </w:r>
    </w:p>
    <w:p>
      <w:pPr>
        <w:pStyle w:val="TextBody"/>
        <w:bidi w:val="0"/>
        <w:spacing w:before="0" w:after="200"/>
        <w:jc w:val="left"/>
        <w:rPr>
          <w:rFonts w:ascii="Times New Roman" w:hAnsi="Times New Roman"/>
          <w:sz w:val="20"/>
        </w:rPr>
      </w:pPr>
      <w:r>
        <w:rPr>
          <w:rFonts w:ascii="Arial" w:hAnsi="Arial"/>
          <w:b/>
          <w:i/>
          <w:color w:val="000000"/>
          <w:sz w:val="20"/>
        </w:rPr>
        <w:t>Restricted Stock Units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Starting in 2021, the Company awarded restricted stock units to employees and certain non-employee board members under the 2021 Plan. During the three months ended March 31, 2025, the Company awarded restricted stock units covering an aggregate of 7.1</w:t>
      </w:r>
      <w:r>
        <w:rPr>
          <w:rFonts w:ascii="Times New Roman" w:hAnsi="Times New Roman"/>
          <w:color w:val="000000"/>
          <w:sz w:val="20"/>
        </w:rPr>
        <w:t xml:space="preserve"> </w:t>
      </w:r>
      <w:r>
        <w:rPr>
          <w:rFonts w:ascii="Arial" w:hAnsi="Arial"/>
          <w:color w:val="000000"/>
          <w:sz w:val="20"/>
        </w:rPr>
        <w:t>million shares of common stock. The fair value of each restricted stock unit is estimated based on the fair value of the Company's common stock on the date of the grant. The restricted stock units vest over the requisite service period, which range between one</w:t>
      </w:r>
      <w:r>
        <w:rPr>
          <w:rFonts w:ascii="Times New Roman" w:hAnsi="Times New Roman"/>
          <w:color w:val="000000"/>
          <w:sz w:val="20"/>
        </w:rPr>
        <w:t xml:space="preserve"> </w:t>
      </w:r>
      <w:r>
        <w:rPr>
          <w:rFonts w:ascii="Arial" w:hAnsi="Arial"/>
          <w:color w:val="000000"/>
          <w:sz w:val="20"/>
        </w:rPr>
        <w:t>and four years</w:t>
      </w:r>
      <w:r>
        <w:rPr>
          <w:rFonts w:ascii="Times New Roman" w:hAnsi="Times New Roman"/>
          <w:color w:val="000000"/>
          <w:sz w:val="20"/>
        </w:rPr>
        <w:t xml:space="preserve"> </w:t>
      </w:r>
      <w:r>
        <w:rPr>
          <w:rFonts w:ascii="Arial" w:hAnsi="Arial"/>
          <w:color w:val="000000"/>
          <w:sz w:val="20"/>
        </w:rPr>
        <w:t>from the date of the grant, subject to the continued employment of the employees and service of the non-employee board members.</w:t>
      </w:r>
    </w:p>
    <w:p>
      <w:pPr>
        <w:pStyle w:val="TextBody"/>
        <w:bidi w:val="0"/>
        <w:spacing w:before="0" w:after="200"/>
        <w:jc w:val="left"/>
        <w:rPr>
          <w:rFonts w:ascii="Times New Roman" w:hAnsi="Times New Roman"/>
          <w:sz w:val="20"/>
        </w:rPr>
      </w:pPr>
      <w:r>
        <w:rPr>
          <w:rFonts w:ascii="Arial" w:hAnsi="Arial"/>
          <w:color w:val="000000"/>
          <w:sz w:val="20"/>
        </w:rPr>
        <w:t>As of March 31, 2025, there was $171.6</w:t>
      </w:r>
      <w:r>
        <w:rPr>
          <w:rFonts w:ascii="Times New Roman" w:hAnsi="Times New Roman"/>
          <w:color w:val="000000"/>
          <w:sz w:val="20"/>
        </w:rPr>
        <w:t xml:space="preserve"> </w:t>
      </w:r>
      <w:r>
        <w:rPr>
          <w:rFonts w:ascii="Arial" w:hAnsi="Arial"/>
          <w:color w:val="000000"/>
          <w:sz w:val="20"/>
        </w:rPr>
        <w:t>million of total unrecognized compensation expense related to unvested restricted stock units, which is expected to be recognized over a weighted-average period of 3.10 years.</w:t>
      </w:r>
    </w:p>
    <w:p>
      <w:pPr>
        <w:pStyle w:val="TextBody"/>
        <w:bidi w:val="0"/>
        <w:spacing w:before="0" w:after="200"/>
        <w:jc w:val="left"/>
        <w:rPr>
          <w:rFonts w:ascii="Arial" w:hAnsi="Arial"/>
          <w:b/>
          <w:i/>
          <w:color w:val="000000"/>
          <w:sz w:val="20"/>
        </w:rPr>
      </w:pPr>
      <w:r>
        <w:rPr>
          <w:rFonts w:ascii="Arial" w:hAnsi="Arial"/>
          <w:b/>
          <w:i/>
          <w:color w:val="000000"/>
          <w:sz w:val="20"/>
        </w:rPr>
        <w:t>Employee Stock Purchase Plan</w:t>
      </w:r>
    </w:p>
    <w:p>
      <w:pPr>
        <w:pStyle w:val="TextBody"/>
        <w:bidi w:val="0"/>
        <w:spacing w:before="0" w:after="200"/>
        <w:jc w:val="left"/>
        <w:rPr>
          <w:rFonts w:ascii="Times New Roman" w:hAnsi="Times New Roman"/>
          <w:sz w:val="20"/>
        </w:rPr>
      </w:pPr>
      <w:r>
        <w:rPr>
          <w:rFonts w:ascii="Arial" w:hAnsi="Arial"/>
          <w:color w:val="000000"/>
          <w:sz w:val="20"/>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5,082,470</w:t>
      </w:r>
      <w:r>
        <w:rPr>
          <w:rFonts w:ascii="Times New Roman" w:hAnsi="Times New Roman"/>
          <w:color w:val="000000"/>
          <w:sz w:val="20"/>
        </w:rPr>
        <w:t xml:space="preserve"> </w:t>
      </w:r>
      <w:r>
        <w:rPr>
          <w:rFonts w:ascii="Arial" w:hAnsi="Arial"/>
          <w:color w:val="000000"/>
          <w:sz w:val="20"/>
        </w:rPr>
        <w:t>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the lesser of 15% of their eligible compensation and the IRS limit. Offering periods are generally 6 months long.</w:t>
      </w:r>
    </w:p>
    <w:p>
      <w:pPr>
        <w:pStyle w:val="TextBody"/>
        <w:bidi w:val="0"/>
        <w:spacing w:before="0" w:after="200"/>
        <w:jc w:val="left"/>
        <w:rPr>
          <w:rFonts w:ascii="Times New Roman" w:hAnsi="Times New Roman"/>
          <w:sz w:val="20"/>
        </w:rPr>
      </w:pPr>
      <w:r>
        <w:rPr>
          <w:rFonts w:ascii="Arial" w:hAnsi="Arial"/>
          <w:color w:val="000000"/>
          <w:sz w:val="20"/>
        </w:rPr>
        <w:t>As of March 31, 2025, a total of 5,750,600</w:t>
      </w:r>
      <w:r>
        <w:rPr>
          <w:rFonts w:ascii="Times New Roman" w:hAnsi="Times New Roman"/>
          <w:color w:val="000000"/>
          <w:sz w:val="20"/>
        </w:rPr>
        <w:t xml:space="preserve"> </w:t>
      </w:r>
      <w:r>
        <w:rPr>
          <w:rFonts w:ascii="Arial" w:hAnsi="Arial"/>
          <w:color w:val="000000"/>
          <w:sz w:val="20"/>
        </w:rPr>
        <w:t>shares of the Company's common stock were available for future issuance under the ESPP.</w:t>
      </w:r>
    </w:p>
    <w:p>
      <w:pPr>
        <w:pStyle w:val="TextBody"/>
        <w:bidi w:val="0"/>
        <w:spacing w:before="0" w:after="200"/>
        <w:jc w:val="left"/>
        <w:rPr>
          <w:rFonts w:ascii="Times New Roman" w:hAnsi="Times New Roman"/>
          <w:sz w:val="20"/>
        </w:rPr>
      </w:pPr>
      <w:r>
        <w:rPr>
          <w:rFonts w:ascii="Arial" w:hAnsi="Arial"/>
          <w:color w:val="000000"/>
          <w:sz w:val="20"/>
        </w:rPr>
        <w:t>The fair value of the ESPP offering during the three months ended March 31, 2025</w:t>
      </w:r>
      <w:r>
        <w:rPr>
          <w:rFonts w:ascii="Times New Roman" w:hAnsi="Times New Roman"/>
          <w:color w:val="000000"/>
          <w:sz w:val="20"/>
        </w:rPr>
        <w:t xml:space="preserve"> </w:t>
      </w:r>
      <w:r>
        <w:rPr>
          <w:rFonts w:ascii="Arial" w:hAnsi="Arial"/>
          <w:color w:val="000000"/>
          <w:sz w:val="20"/>
        </w:rPr>
        <w:t>was estimated at the start of the offering period using the Black-Scholes option-pricing model with the following assumptions: (i) expected term of 0.5</w:t>
      </w:r>
      <w:r>
        <w:rPr>
          <w:rFonts w:ascii="Times New Roman" w:hAnsi="Times New Roman"/>
          <w:color w:val="000000"/>
          <w:sz w:val="20"/>
        </w:rPr>
        <w:t xml:space="preserve"> </w:t>
      </w:r>
      <w:r>
        <w:rPr>
          <w:rFonts w:ascii="Arial" w:hAnsi="Arial"/>
          <w:color w:val="000000"/>
          <w:sz w:val="20"/>
        </w:rPr>
        <w:t>years, (ii) expected volatility of 61.91%, (iii) risk-free interest rate of 5.24% and (iv) expected dividend yield of 0%.</w:t>
      </w:r>
    </w:p>
    <w:p>
      <w:pPr>
        <w:pStyle w:val="TextBody"/>
        <w:bidi w:val="0"/>
        <w:spacing w:before="0" w:after="200"/>
        <w:jc w:val="left"/>
        <w:rPr>
          <w:rFonts w:ascii="Times New Roman" w:hAnsi="Times New Roman"/>
          <w:sz w:val="20"/>
        </w:rPr>
      </w:pPr>
      <w:r>
        <w:rPr>
          <w:rFonts w:ascii="Arial" w:hAnsi="Arial"/>
          <w:color w:val="000000"/>
          <w:sz w:val="20"/>
        </w:rPr>
        <w:t>As of March 31, 2025, the total unrecognized compensation expense related to the ESPP was $0.3</w:t>
      </w:r>
      <w:r>
        <w:rPr>
          <w:rFonts w:ascii="Times New Roman" w:hAnsi="Times New Roman"/>
          <w:color w:val="000000"/>
          <w:sz w:val="20"/>
        </w:rPr>
        <w:t xml:space="preserve"> </w:t>
      </w:r>
      <w:r>
        <w:rPr>
          <w:rFonts w:ascii="Arial" w:hAnsi="Arial"/>
          <w:color w:val="000000"/>
          <w:sz w:val="20"/>
        </w:rPr>
        <w:t>million, which is expected to be amortized over the next 3</w:t>
      </w:r>
      <w:r>
        <w:rPr>
          <w:rFonts w:ascii="Times New Roman" w:hAnsi="Times New Roman"/>
          <w:color w:val="000000"/>
          <w:sz w:val="20"/>
        </w:rPr>
        <w:t xml:space="preserve"> </w:t>
      </w:r>
      <w:r>
        <w:rPr>
          <w:rFonts w:ascii="Arial" w:hAnsi="Arial"/>
          <w:color w:val="000000"/>
          <w:sz w:val="20"/>
        </w:rPr>
        <w:t>months.</w:t>
      </w:r>
    </w:p>
    <w:p>
      <w:pPr>
        <w:pStyle w:val="TextBody"/>
        <w:bidi w:val="0"/>
        <w:spacing w:before="0" w:after="200"/>
        <w:jc w:val="left"/>
        <w:rPr>
          <w:rFonts w:ascii="Arial" w:hAnsi="Arial"/>
          <w:b/>
          <w:i/>
          <w:color w:val="000000"/>
          <w:sz w:val="20"/>
        </w:rPr>
      </w:pPr>
      <w:r>
        <w:rPr>
          <w:rFonts w:ascii="Arial" w:hAnsi="Arial"/>
          <w:b/>
          <w:i/>
          <w:color w:val="000000"/>
          <w:sz w:val="20"/>
        </w:rPr>
        <w:t>Stock-Based Compensation Costs</w:t>
      </w:r>
    </w:p>
    <w:p>
      <w:pPr>
        <w:pStyle w:val="TextBody"/>
        <w:bidi w:val="0"/>
        <w:spacing w:before="0" w:after="200"/>
        <w:jc w:val="left"/>
        <w:rPr>
          <w:rFonts w:ascii="Arial" w:hAnsi="Arial"/>
          <w:color w:val="000000"/>
          <w:sz w:val="20"/>
        </w:rPr>
      </w:pPr>
      <w:r>
        <w:rPr>
          <w:rFonts w:ascii="Arial" w:hAnsi="Arial"/>
          <w:color w:val="000000"/>
          <w:sz w:val="20"/>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income (loss) (in thousands):</w:t>
      </w:r>
    </w:p>
    <w:tbl>
      <w:tblPr>
        <w:tblW w:w="6916" w:type="dxa"/>
        <w:jc w:val="left"/>
        <w:tblInd w:w="0" w:type="dxa"/>
        <w:tblLayout w:type="fixed"/>
        <w:tblCellMar>
          <w:top w:w="28" w:type="dxa"/>
          <w:left w:w="28" w:type="dxa"/>
          <w:bottom w:w="28" w:type="dxa"/>
          <w:right w:w="28" w:type="dxa"/>
        </w:tblCellMar>
      </w:tblPr>
      <w:tblGrid>
        <w:gridCol w:w="3891"/>
        <w:gridCol w:w="146"/>
        <w:gridCol w:w="256"/>
        <w:gridCol w:w="841"/>
        <w:gridCol w:w="177"/>
        <w:gridCol w:w="177"/>
        <w:gridCol w:w="256"/>
        <w:gridCol w:w="841"/>
        <w:gridCol w:w="33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During the three months ended March 31, 2025 and 2024, $0.4</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of stock-based compensation was charged to internal-use software.</w:t>
      </w:r>
    </w:p>
    <w:p>
      <w:pPr>
        <w:pStyle w:val="TextBody"/>
        <w:bidi w:val="0"/>
        <w:spacing w:before="0" w:after="200"/>
        <w:jc w:val="left"/>
        <w:rPr>
          <w:rFonts w:ascii="Times New Roman" w:hAnsi="Times New Roman"/>
          <w:sz w:val="20"/>
        </w:rPr>
      </w:pPr>
      <w:r>
        <w:rPr>
          <w:rFonts w:ascii="Arial" w:hAnsi="Arial"/>
          <w:color w:val="000000"/>
          <w:sz w:val="20"/>
        </w:rPr>
        <w:t>On November 6, 2023, the Company entered into a Transition Agreement with its previous Chief Financial Officer (Prior CFO). Pursuant to the terms of the Transition Agreement (including the receipt by the Company of a release from the Prior CFO), the Company agreed to modify its Prior CFO's outstanding stock options and restricted stock units to (i)</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accelerate vesting for nine months from the date of the termination of the Prior CFOs employment with the Company (the Separation Date), and (ii) extend the exercise period of his vested nonqualified stock options from ninety days to one year following the Separation Date. To receive these benefits, the Prior CFO had to remain employed through March 31, 2024. As a result of this modification, the Company recognized additional compensation expense of $1.3</w:t>
      </w:r>
      <w:r>
        <w:rPr>
          <w:rFonts w:ascii="Times New Roman" w:hAnsi="Times New Roman"/>
          <w:color w:val="000000"/>
          <w:sz w:val="20"/>
        </w:rPr>
        <w:t xml:space="preserve"> </w:t>
      </w:r>
      <w:r>
        <w:rPr>
          <w:rFonts w:ascii="Arial" w:hAnsi="Arial"/>
          <w:color w:val="000000"/>
          <w:sz w:val="20"/>
        </w:rPr>
        <w:t>million during the three months ended March 31, 2024. There was no</w:t>
      </w:r>
      <w:r>
        <w:rPr>
          <w:rFonts w:ascii="Times New Roman" w:hAnsi="Times New Roman"/>
          <w:color w:val="000000"/>
          <w:sz w:val="20"/>
        </w:rPr>
        <w:t xml:space="preserve"> </w:t>
      </w:r>
      <w:r>
        <w:rPr>
          <w:rFonts w:ascii="Arial" w:hAnsi="Arial"/>
          <w:color w:val="000000"/>
          <w:sz w:val="20"/>
        </w:rPr>
        <w:t>additional compensation expense recognized as a result of this modification during the three months ended March 31, 2025.</w:t>
      </w:r>
    </w:p>
    <w:p>
      <w:pPr>
        <w:pStyle w:val="TextBody"/>
        <w:bidi w:val="0"/>
        <w:spacing w:before="160" w:after="283"/>
        <w:jc w:val="left"/>
        <w:rPr>
          <w:rFonts w:ascii="Times New Roman" w:hAnsi="Times New Roman"/>
          <w:sz w:val="20"/>
        </w:rPr>
      </w:pPr>
      <w:bookmarkStart w:id="28" w:name="note_13"/>
      <w:bookmarkEnd w:id="28"/>
      <w:r>
        <w:rPr>
          <w:rFonts w:ascii="Arial" w:hAnsi="Arial"/>
          <w:b/>
          <w:color w:val="000000"/>
          <w:sz w:val="20"/>
        </w:rPr>
        <w:t>Note 15. Net Loss per Share</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 The dilutive effect of outstanding equity incentive awards is reflected in diluted net income (loss) per share by application of the treasury stock method.</w:t>
      </w:r>
    </w:p>
    <w:p>
      <w:pPr>
        <w:pStyle w:val="TextBody"/>
        <w:bidi w:val="0"/>
        <w:spacing w:before="0" w:after="200"/>
        <w:jc w:val="left"/>
        <w:rPr>
          <w:rFonts w:ascii="Arial" w:hAnsi="Arial"/>
          <w:color w:val="000000"/>
          <w:sz w:val="20"/>
        </w:rPr>
      </w:pPr>
      <w:r>
        <w:rPr>
          <w:rFonts w:ascii="Arial" w:hAnsi="Arial"/>
          <w:color w:val="000000"/>
          <w:sz w:val="20"/>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months ended March 31, 2025 and 2024; accordingly, basic net loss per share attributable to common stockholders was the same as diluted net loss per share attributable to common stockholders.</w:t>
      </w:r>
    </w:p>
    <w:p>
      <w:pPr>
        <w:pStyle w:val="TextBody"/>
        <w:bidi w:val="0"/>
        <w:spacing w:before="0" w:after="200"/>
        <w:jc w:val="left"/>
        <w:rPr>
          <w:rFonts w:ascii="Arial" w:hAnsi="Arial"/>
          <w:color w:val="000000"/>
          <w:sz w:val="20"/>
        </w:rPr>
      </w:pPr>
      <w:r>
        <w:rPr>
          <w:rFonts w:ascii="Arial" w:hAnsi="Arial"/>
          <w:color w:val="000000"/>
          <w:sz w:val="20"/>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pStyle w:val="TextBody"/>
        <w:bidi w:val="0"/>
        <w:spacing w:before="0" w:after="200"/>
        <w:jc w:val="left"/>
        <w:rPr>
          <w:rFonts w:ascii="Arial" w:hAnsi="Arial"/>
          <w:color w:val="000000"/>
          <w:sz w:val="20"/>
        </w:rPr>
      </w:pPr>
      <w:r>
        <w:rPr>
          <w:rFonts w:ascii="Arial" w:hAnsi="Arial"/>
          <w:color w:val="000000"/>
          <w:sz w:val="20"/>
        </w:rPr>
        <w:t>Basic and diluted net loss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492"/>
        <w:gridCol w:w="146"/>
        <w:gridCol w:w="211"/>
        <w:gridCol w:w="1171"/>
        <w:gridCol w:w="166"/>
        <w:gridCol w:w="146"/>
        <w:gridCol w:w="211"/>
        <w:gridCol w:w="1171"/>
        <w:gridCol w:w="491"/>
      </w:tblGrid>
      <w:tr>
        <w:trPr/>
        <w:tc>
          <w:tcPr>
            <w:tcW w:w="6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(6,217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Net loss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(6,217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Weighted 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123,235,263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123,143,343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Net loss per share attributable to common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spacing w:before="200" w:after="200"/>
        <w:jc w:val="left"/>
        <w:rPr>
          <w:rFonts w:ascii="Arial" w:hAnsi="Arial"/>
          <w:color w:val="000000"/>
          <w:sz w:val="20"/>
        </w:rPr>
      </w:pPr>
      <w:r>
        <w:rPr>
          <w:rFonts w:ascii="Arial" w:hAnsi="Arial"/>
          <w:color w:val="000000"/>
          <w:sz w:val="20"/>
        </w:rPr>
        <w:t>Outstanding potentially dilutive securities, which were excluded from the diluted net income (loss) per share calculations because they would have been antidilutive were as follows as of the dates presented:</w:t>
      </w:r>
    </w:p>
    <w:tbl>
      <w:tblPr>
        <w:tblW w:w="6804"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1066"/>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11,930,639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6,809,244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Stock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5,636,581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7,366,719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Employee stock purchase plan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101,280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17,668,500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14,175,963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29" w:name="note_14"/>
      <w:bookmarkEnd w:id="29"/>
      <w:r>
        <w:rPr>
          <w:rFonts w:ascii="Arial" w:hAnsi="Arial"/>
          <w:b/>
          <w:color w:val="000000"/>
          <w:sz w:val="20"/>
        </w:rPr>
        <w:t>Note 16. Income Taxes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Company’s (benefit from) provision for income taxes during the interim periods is determined using an estimate of the Company’s annual effective tax rate, which is adjusted for certain discrete tax items during the interim period. The Company recorded an income tax benefit of $0.9</w:t>
      </w:r>
      <w:r>
        <w:rPr>
          <w:rFonts w:ascii="Times New Roman" w:hAnsi="Times New Roman"/>
          <w:color w:val="000000"/>
          <w:sz w:val="20"/>
        </w:rPr>
        <w:t xml:space="preserve"> </w:t>
      </w:r>
      <w:r>
        <w:rPr>
          <w:rFonts w:ascii="Arial" w:hAnsi="Arial"/>
          <w:color w:val="000000"/>
          <w:sz w:val="20"/>
        </w:rPr>
        <w:t>million and income tax provision of $1.6</w:t>
      </w:r>
      <w:r>
        <w:rPr>
          <w:rFonts w:ascii="Times New Roman" w:hAnsi="Times New Roman"/>
          <w:color w:val="000000"/>
          <w:sz w:val="20"/>
        </w:rPr>
        <w:t xml:space="preserve"> </w:t>
      </w:r>
      <w:r>
        <w:rPr>
          <w:rFonts w:ascii="Arial" w:hAnsi="Arial"/>
          <w:color w:val="000000"/>
          <w:sz w:val="20"/>
        </w:rPr>
        <w:t>million for the three months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ended March 31, 2025 and 2024, respectively. The income tax benefit for the three months ended March 31, 2025 was driven by the Company's pre-tax loss position in the period. The income tax provision for the three months ended March 31, 2024 was primarily attributable to activity in the Company's foreign subsidiaries and U.S. state taxes</w:t>
      </w:r>
    </w:p>
    <w:p>
      <w:pPr>
        <w:pStyle w:val="TextBody"/>
        <w:bidi w:val="0"/>
        <w:spacing w:before="0" w:after="200"/>
        <w:jc w:val="left"/>
        <w:rPr>
          <w:rFonts w:ascii="Arial" w:hAnsi="Arial"/>
          <w:color w:val="000000"/>
          <w:sz w:val="20"/>
        </w:rPr>
      </w:pPr>
      <w:r>
        <w:rPr>
          <w:rFonts w:ascii="Arial" w:hAnsi="Arial"/>
          <w:color w:val="000000"/>
          <w:sz w:val="20"/>
        </w:rPr>
        <w:t>The Company’s effective tax rate differs from the U.S. federal statutory rate primarily due to the change in valuation allowance in the U.S. The Company is open to future tax examinations from 2019 to the present; however, carryforward attributes that were generated prior to 2018 may still be adjusted upon examination by federal, state or local tax authorities to the extent they will be used in a future period.</w:t>
      </w:r>
    </w:p>
    <w:p>
      <w:pPr>
        <w:pStyle w:val="TextBody"/>
        <w:bidi w:val="0"/>
        <w:spacing w:before="0" w:after="200"/>
        <w:jc w:val="left"/>
        <w:rPr>
          <w:rFonts w:ascii="Arial" w:hAnsi="Arial"/>
          <w:color w:val="000000"/>
          <w:sz w:val="20"/>
        </w:rPr>
      </w:pPr>
      <w:r>
        <w:rPr>
          <w:rFonts w:ascii="Arial" w:hAnsi="Arial"/>
          <w:color w:val="000000"/>
          <w:sz w:val="20"/>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March 31, 2025, the Company continues to maintain a full valuation allowance of the U.S. net deferred tax assets.</w:t>
      </w:r>
    </w:p>
    <w:p>
      <w:pPr>
        <w:pStyle w:val="TextBody"/>
        <w:bidi w:val="0"/>
        <w:spacing w:before="160" w:after="283"/>
        <w:jc w:val="left"/>
        <w:rPr>
          <w:rFonts w:ascii="Arial" w:hAnsi="Arial"/>
          <w:b/>
          <w:color w:val="000000"/>
          <w:sz w:val="20"/>
        </w:rPr>
      </w:pPr>
      <w:bookmarkStart w:id="30" w:name="note_16"/>
      <w:bookmarkEnd w:id="30"/>
      <w:r>
        <w:rPr>
          <w:rFonts w:ascii="Arial" w:hAnsi="Arial"/>
          <w:b/>
          <w:color w:val="000000"/>
          <w:sz w:val="20"/>
        </w:rPr>
        <w:t>Note 17. Commitments and Contingencies</w:t>
      </w:r>
    </w:p>
    <w:p>
      <w:pPr>
        <w:pStyle w:val="TextBody"/>
        <w:bidi w:val="0"/>
        <w:spacing w:before="200" w:after="200"/>
        <w:jc w:val="left"/>
        <w:rPr>
          <w:rFonts w:ascii="Times New Roman" w:hAnsi="Times New Roman"/>
          <w:sz w:val="20"/>
        </w:rPr>
      </w:pPr>
      <w:r>
        <w:rPr>
          <w:rFonts w:ascii="Arial" w:hAnsi="Arial"/>
          <w:b/>
          <w:i/>
          <w:color w:val="000000"/>
          <w:sz w:val="20"/>
        </w:rPr>
        <w:t>Legal proceedings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pStyle w:val="TextBody"/>
        <w:bidi w:val="0"/>
        <w:spacing w:before="0" w:after="200"/>
        <w:jc w:val="left"/>
        <w:rPr>
          <w:rFonts w:ascii="Arial" w:hAnsi="Arial"/>
          <w:color w:val="000000"/>
          <w:sz w:val="20"/>
        </w:rPr>
      </w:pPr>
      <w:r>
        <w:rPr>
          <w:rFonts w:ascii="Arial" w:hAnsi="Arial"/>
          <w:color w:val="000000"/>
          <w:sz w:val="20"/>
        </w:rPr>
        <w:t>As of March 31, 2025, the Company was not a party to any litigation the outcome of which, the Company believes, if determined adversely to it, would individually or in the aggregate, have a material adverse effect on its financial position, results of operations, or cash flows.</w:t>
      </w:r>
    </w:p>
    <w:p>
      <w:pPr>
        <w:pStyle w:val="TextBody"/>
        <w:bidi w:val="0"/>
        <w:spacing w:before="0" w:after="200"/>
        <w:jc w:val="left"/>
        <w:rPr>
          <w:rFonts w:ascii="Arial" w:hAnsi="Arial"/>
          <w:color w:val="000000"/>
          <w:sz w:val="20"/>
        </w:rPr>
      </w:pPr>
      <w:r>
        <w:rPr>
          <w:rFonts w:ascii="Arial" w:hAnsi="Arial"/>
          <w:color w:val="000000"/>
          <w:sz w:val="20"/>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pStyle w:val="TextBody"/>
        <w:bidi w:val="0"/>
        <w:spacing w:before="0" w:after="200"/>
        <w:jc w:val="left"/>
        <w:rPr>
          <w:rFonts w:ascii="Times New Roman" w:hAnsi="Times New Roman"/>
          <w:sz w:val="20"/>
        </w:rPr>
      </w:pPr>
      <w:r>
        <w:rPr>
          <w:rFonts w:ascii="Arial" w:hAnsi="Arial"/>
          <w:b/>
          <w:i/>
          <w:color w:val="000000"/>
          <w:sz w:val="20"/>
        </w:rPr>
        <w:t>Indemnification</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March 31, 2025 and December 31, 2024.</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31" w:name="item_2_management"/>
      <w:bookmarkEnd w:id="31"/>
      <w:r>
        <w:rPr>
          <w:rFonts w:ascii="Arial" w:hAnsi="Arial"/>
          <w:b/>
          <w:color w:val="000000"/>
          <w:sz w:val="20"/>
        </w:rPr>
        <w:t>Ite</w:t>
      </w:r>
      <w:bookmarkStart w:id="32" w:name="item_2_managements_discussion"/>
      <w:bookmarkEnd w:id="32"/>
      <w:r>
        <w:rPr>
          <w:rFonts w:ascii="Arial" w:hAnsi="Arial"/>
          <w:b/>
          <w:color w:val="000000"/>
          <w:sz w:val="20"/>
        </w:rPr>
        <w:t>m 2. Management’s Discussion and Analysis of Financial Condition and Results of Operations</w:t>
      </w:r>
    </w:p>
    <w:p>
      <w:pPr>
        <w:pStyle w:val="TextBody"/>
        <w:bidi w:val="0"/>
        <w:spacing w:before="200" w:after="200"/>
        <w:jc w:val="left"/>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pStyle w:val="TextBody"/>
        <w:bidi w:val="0"/>
        <w:spacing w:before="0" w:after="200"/>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bidi w:val="0"/>
        <w:spacing w:before="0" w:after="200"/>
        <w:jc w:val="left"/>
        <w:rPr>
          <w:rFonts w:ascii="Times New Roman" w:hAnsi="Times New Roman"/>
          <w:sz w:val="20"/>
        </w:rPr>
      </w:pPr>
      <w:r>
        <w:rPr>
          <w:rFonts w:ascii="Arial" w:hAnsi="Arial"/>
          <w:color w:val="000000"/>
          <w:sz w:val="20"/>
        </w:rPr>
        <w:t xml:space="preserve">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 xml:space="preserve">is derived from three core elements: (i) our next-gen payments platform; (ii) our proprietary global payment network; and (iii) our vertical-specific software backed by our deep industry expertise. With our </w:t>
      </w:r>
      <w:r>
        <w:rPr>
          <w:rFonts w:ascii="Arial" w:hAnsi="Arial"/>
          <w:i/>
          <w:color w:val="000000"/>
          <w:sz w:val="20"/>
        </w:rPr>
        <w:t>Flywire Advantage</w:t>
      </w:r>
      <w:r>
        <w:rPr>
          <w:rFonts w:ascii="Arial" w:hAnsi="Arial"/>
          <w:color w:val="000000"/>
          <w:sz w:val="20"/>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pStyle w:val="TextBody"/>
        <w:bidi w:val="0"/>
        <w:spacing w:before="0" w:after="200"/>
        <w:jc w:val="left"/>
        <w:rPr>
          <w:rFonts w:ascii="Arial" w:hAnsi="Arial"/>
          <w:color w:val="000000"/>
          <w:sz w:val="20"/>
        </w:rPr>
      </w:pPr>
      <w:r>
        <w:rPr>
          <w:rFonts w:ascii="Arial" w:hAnsi="Arial"/>
          <w:color w:val="000000"/>
          <w:sz w:val="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center"/>
        <w:rPr/>
      </w:pPr>
      <w:r>
        <w:rPr/>
        <w:drawing>
          <wp:inline distT="0" distB="0" distL="0" distR="0">
            <wp:extent cx="6248400" cy="411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48400" cy="4114800"/>
                    </a:xfrm>
                    <a:prstGeom prst="rect">
                      <a:avLst/>
                    </a:prstGeom>
                  </pic:spPr>
                </pic:pic>
              </a:graphicData>
            </a:graphic>
          </wp:inline>
        </w:drawing>
      </w:r>
    </w:p>
    <w:p>
      <w:pPr>
        <w:pStyle w:val="TextBody"/>
        <w:bidi w:val="0"/>
        <w:spacing w:before="0" w:after="200"/>
        <w:jc w:val="left"/>
        <w:rPr>
          <w:rFonts w:ascii="Times New Roman" w:hAnsi="Times New Roman"/>
          <w:sz w:val="20"/>
        </w:rPr>
      </w:pPr>
      <w:r>
        <w:rPr>
          <w:rFonts w:ascii="Arial" w:hAnsi="Arial"/>
          <w:color w:val="000000"/>
          <w:sz w:val="20"/>
        </w:rPr>
        <w:t>The combination of our differentiated solution and efficient go-to-market strategy has resulted in strong and consistent client growth.</w:t>
      </w:r>
      <w:r>
        <w:rPr>
          <w:rFonts w:ascii="Times New Roman" w:hAnsi="Times New Roman"/>
          <w:color w:val="000000"/>
          <w:sz w:val="20"/>
        </w:rPr>
        <w:t xml:space="preserve"> </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b/>
          <w:i/>
          <w:color w:val="000000"/>
          <w:sz w:val="20"/>
        </w:rPr>
        <w:t>Rapid domestic and international payments volume growth</w:t>
      </w:r>
      <w:r>
        <w:rPr>
          <w:rFonts w:ascii="Arial" w:hAnsi="Arial"/>
          <w:i/>
          <w:color w:val="000000"/>
          <w:sz w:val="20"/>
        </w:rPr>
        <w:t xml:space="preserve">. </w:t>
      </w:r>
      <w:r>
        <w:rPr>
          <w:rFonts w:ascii="Arial" w:hAnsi="Arial"/>
          <w:color w:val="000000"/>
          <w:sz w:val="20"/>
        </w:rPr>
        <w:t>We have grown our total payment volume by approximately 20% period-over-period from $7.0 billion during the three months ended March 31, 2024 to $8.4 billion during the three months ended March 31, 2025.</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b/>
          <w:i/>
          <w:color w:val="000000"/>
          <w:sz w:val="20"/>
        </w:rPr>
        <w:t>Expanded global payments network</w:t>
      </w:r>
      <w:r>
        <w:rPr>
          <w:rFonts w:ascii="Arial" w:hAnsi="Arial"/>
          <w:i/>
          <w:color w:val="000000"/>
          <w:sz w:val="20"/>
        </w:rPr>
        <w:t xml:space="preserve">. </w:t>
      </w:r>
      <w:r>
        <w:rPr>
          <w:rFonts w:ascii="Arial" w:hAnsi="Arial"/>
          <w:color w:val="000000"/>
          <w:sz w:val="20"/>
        </w:rPr>
        <w:t>We have continued to add to the capabilities of our payment network by means of new local bank accounts and payment partners, and have expanded our global reach to over 240 countries and territories and more than 140 currencies.</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b/>
          <w:i/>
          <w:color w:val="000000"/>
          <w:sz w:val="20"/>
        </w:rPr>
        <w:t>Strong dollar-based net retention</w:t>
      </w:r>
      <w:r>
        <w:rPr>
          <w:rFonts w:ascii="Arial" w:hAnsi="Arial"/>
          <w:i/>
          <w:color w:val="000000"/>
          <w:sz w:val="20"/>
        </w:rPr>
        <w:t xml:space="preserve">. </w:t>
      </w:r>
      <w:r>
        <w:rPr>
          <w:rFonts w:ascii="Arial" w:hAnsi="Arial"/>
          <w:color w:val="000000"/>
          <w:sz w:val="20"/>
        </w:rPr>
        <w:t xml:space="preserve">For the year ended December 31, 2024, our annual net dollar-based retention rate was approximately 114%.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 </w:t>
      </w:r>
    </w:p>
    <w:p>
      <w:pPr>
        <w:pStyle w:val="TextBody"/>
        <w:bidi w:val="0"/>
        <w:spacing w:before="0" w:after="200"/>
        <w:jc w:val="left"/>
        <w:rPr>
          <w:rFonts w:ascii="Arial" w:hAnsi="Arial"/>
          <w:color w:val="000000"/>
          <w:sz w:val="20"/>
        </w:rPr>
      </w:pPr>
      <w:r>
        <w:rPr>
          <w:rFonts w:ascii="Arial" w:hAnsi="Arial"/>
          <w:color w:val="000000"/>
          <w:sz w:val="20"/>
        </w:rPr>
        <w:t>As of March 31, 2025, we serve over 4,600 clients around the world, excluding clients acquired from the Sertifi and Invoiced acquisitions. In education, we serve more than 3,100 institutions. In healthcare, we power more than 100 healthcare systems, including four of the top 10 healthcare systems in the United States ranked by hospital size as of December 31, 2024. In our travel and B2B verticals, we have a growing portfolio of approximately 1,300 clients as of March 31, 2025.</w:t>
      </w:r>
    </w:p>
    <w:p>
      <w:pPr>
        <w:pStyle w:val="TextBody"/>
        <w:bidi w:val="0"/>
        <w:spacing w:before="0" w:after="200"/>
        <w:jc w:val="left"/>
        <w:rPr>
          <w:rFonts w:ascii="Times New Roman" w:hAnsi="Times New Roman"/>
          <w:sz w:val="20"/>
        </w:rPr>
      </w:pPr>
      <w:r>
        <w:rPr>
          <w:rFonts w:ascii="Arial" w:hAnsi="Arial"/>
          <w:color w:val="000000"/>
          <w:sz w:val="20"/>
        </w:rPr>
        <w:t>Our success in building our client base around the world and expanding utilization by our clients’ customers has allowed us to achieve significant scale. We enabled approximately $29.7 billion, $8.4 billion, and $7.0 billion in total payment volume during the year ended December 31, 2024 and three months ended March 31, 2025 and 2024, respectively. We generated revenue of $492.1 million and $403.1 million for the years ended December 31, 2024 and 2023, respectively, and had net income of $2.9 million and net loss of $8.6 million, respectively, for the same years. We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generated revenue of $133.5 million and $114.1 million for the three months ended March 31, 2025 and 2024, respectively, and had net loss of $4.2 million and $6.2 million, respectively, for the same periods.</w:t>
      </w:r>
    </w:p>
    <w:p>
      <w:pPr>
        <w:pStyle w:val="TextBody"/>
        <w:bidi w:val="0"/>
        <w:jc w:val="left"/>
        <w:rPr>
          <w:rFonts w:ascii="Arial" w:hAnsi="Arial"/>
          <w:color w:val="000000"/>
          <w:sz w:val="20"/>
        </w:rPr>
      </w:pPr>
      <w:r>
        <w:rPr>
          <w:rFonts w:ascii="Arial" w:hAnsi="Arial"/>
          <w:color w:val="000000"/>
          <w:sz w:val="20"/>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pStyle w:val="TextBody"/>
        <w:bidi w:val="0"/>
        <w:spacing w:before="200" w:after="283"/>
        <w:jc w:val="left"/>
        <w:rPr>
          <w:rFonts w:ascii="Arial" w:hAnsi="Arial"/>
          <w:color w:val="000000"/>
          <w:sz w:val="20"/>
        </w:rPr>
      </w:pPr>
      <w:r>
        <w:rPr>
          <w:rFonts w:ascii="Arial" w:hAnsi="Arial"/>
          <w:color w:val="000000"/>
          <w:sz w:val="20"/>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pStyle w:val="TextBody"/>
        <w:bidi w:val="0"/>
        <w:spacing w:before="200" w:after="200"/>
        <w:jc w:val="left"/>
        <w:rPr>
          <w:rFonts w:ascii="Arial" w:hAnsi="Arial"/>
          <w:color w:val="000000"/>
          <w:sz w:val="20"/>
        </w:rPr>
      </w:pPr>
      <w:r>
        <w:rPr>
          <w:rFonts w:ascii="Arial" w:hAnsi="Arial"/>
          <w:color w:val="000000"/>
          <w:sz w:val="20"/>
        </w:rPr>
        <w:t>We had approximately 1,180 full-time FlyMates as of March 31, 2025, compared to approximately 1,235 full-time FlyMates as of March 31, 2024, a decrease of 4.5%.</w:t>
      </w:r>
    </w:p>
    <w:p>
      <w:pPr>
        <w:pStyle w:val="TextBody"/>
        <w:bidi w:val="0"/>
        <w:spacing w:before="0" w:after="200"/>
        <w:jc w:val="left"/>
        <w:rPr>
          <w:rFonts w:ascii="Arial" w:hAnsi="Arial"/>
          <w:b/>
          <w:color w:val="000000"/>
          <w:sz w:val="20"/>
        </w:rPr>
      </w:pPr>
      <w:r>
        <w:rPr>
          <w:rFonts w:ascii="Arial" w:hAnsi="Arial"/>
          <w:b/>
          <w:color w:val="000000"/>
          <w:sz w:val="20"/>
        </w:rPr>
        <w:t>2023 Follow-On Public Offering</w:t>
      </w:r>
    </w:p>
    <w:p>
      <w:pPr>
        <w:pStyle w:val="TextBody"/>
        <w:bidi w:val="0"/>
        <w:jc w:val="left"/>
        <w:rPr>
          <w:rFonts w:ascii="Arial" w:hAnsi="Arial"/>
          <w:color w:val="000000"/>
          <w:sz w:val="20"/>
        </w:rPr>
      </w:pPr>
      <w:r>
        <w:rPr>
          <w:rFonts w:ascii="Arial" w:hAnsi="Arial"/>
          <w:color w:val="000000"/>
          <w:sz w:val="20"/>
        </w:rPr>
        <w:t>On August 9, 2023, we entered into an underwriting agreement (Underwriting Agreement) with Goldman Sachs &amp; Co. LLC, as representative of the several underwriters (Underwriters), in connection with the offer and sale of 8,000,000 shares of voting common stock, at a price to the public of $32.00 per share (the Primary Offering). In addition, pursuant to the terms of the Underwriting Agreement, we granted the Underwriters an option to purchase up to 1,200,000 additional shares of common stock (the Option).</w:t>
      </w:r>
    </w:p>
    <w:p>
      <w:pPr>
        <w:pStyle w:val="TextBody"/>
        <w:bidi w:val="0"/>
        <w:spacing w:before="200" w:after="283"/>
        <w:jc w:val="left"/>
        <w:rPr>
          <w:rFonts w:ascii="Arial" w:hAnsi="Arial"/>
          <w:color w:val="000000"/>
          <w:sz w:val="20"/>
        </w:rPr>
      </w:pPr>
      <w:r>
        <w:rPr>
          <w:rFonts w:ascii="Arial" w:hAnsi="Arial"/>
          <w:color w:val="000000"/>
          <w:sz w:val="20"/>
        </w:rPr>
        <w:t>The Primary Offering closed on August 14, 2023 and on September 12, 2023, the Underwriters exercised the Option in part and purchased an additional 500,000 shares of voting common stock at a price to the public of $32.00 per share (the Public Offering). We received $260.1 million in net proceeds from the Public Offering, after deducting underwriting discounts and commissions of $10.9 million and other offering costs of $1.1 million.</w:t>
      </w:r>
    </w:p>
    <w:p>
      <w:pPr>
        <w:pStyle w:val="TextBody"/>
        <w:bidi w:val="0"/>
        <w:spacing w:before="200" w:after="200"/>
        <w:jc w:val="left"/>
        <w:rPr>
          <w:rFonts w:ascii="Arial" w:hAnsi="Arial"/>
          <w:b/>
          <w:color w:val="000000"/>
          <w:sz w:val="20"/>
        </w:rPr>
      </w:pPr>
      <w:r>
        <w:rPr>
          <w:rFonts w:ascii="Arial" w:hAnsi="Arial"/>
          <w:b/>
          <w:color w:val="000000"/>
          <w:sz w:val="20"/>
        </w:rPr>
        <w:t>Recent Acquisitions</w:t>
      </w:r>
    </w:p>
    <w:p>
      <w:pPr>
        <w:pStyle w:val="TextBody"/>
        <w:bidi w:val="0"/>
        <w:spacing w:before="0" w:after="200"/>
        <w:jc w:val="left"/>
        <w:rPr>
          <w:rFonts w:ascii="Arial" w:hAnsi="Arial"/>
          <w:color w:val="000000"/>
          <w:sz w:val="20"/>
        </w:rPr>
      </w:pPr>
      <w:r>
        <w:rPr>
          <w:rFonts w:ascii="Arial" w:hAnsi="Arial"/>
          <w:color w:val="000000"/>
          <w:sz w:val="20"/>
        </w:rPr>
        <w:t>In February 2025, we entered into a Purchase and Sale Agreement (the Agreement) to acquire the business of Sertifi LLC (Sertifi) for upfront cash consideration of $330 million, subject to certain post-closing adjustments set forth in the Agreement, and contingent consideration of up to $10 million upon the completion or satisfaction of certain technical and commercial milestones by Sertifi. Sertifi is a vertical software and payments platform digitizing hospitality-specific workflows and associated payments. We paid the upfront cash consideration through a combination of cash on hand and $125 million borrowed from our existing 2024 Revolving Credit Facility. The acquisition of Sertifi was intended to accelerate the Company’s travel business and expand its offerings to support over 20,000 hotel locations globally. Sertifi contributed $3.0 million in platform revenue and $1.7 million in transactional revenue during the three months ended March 31, 2025.</w:t>
      </w:r>
    </w:p>
    <w:p>
      <w:pPr>
        <w:pStyle w:val="TextBody"/>
        <w:bidi w:val="0"/>
        <w:spacing w:before="0" w:after="200"/>
        <w:jc w:val="left"/>
        <w:rPr>
          <w:rFonts w:ascii="Times New Roman" w:hAnsi="Times New Roman"/>
          <w:sz w:val="20"/>
        </w:rPr>
      </w:pPr>
      <w:r>
        <w:rPr>
          <w:rFonts w:ascii="Arial" w:hAnsi="Arial"/>
          <w:color w:val="000000"/>
          <w:sz w:val="20"/>
        </w:rPr>
        <w:t>In August 2024, we acquired all of the issued and outstanding shares of Invoiced for an estimated total aggregate purchase price of approximately $52.3 million, consisting of approximately $47.8 million in cash consideration, net of cash acquired and up to $7.5 million of contingent consideration. The contingent consideration represents additional payments that we may be required to make in the future dependent on the successful achievement of revenue, cross-selling, product and security and IT milestones. Invoiced is a U.S.-based SaaS B2B company that provides accounts receivable software that automates all aspects of billing, collections, payments, reporting and forecasting within a single online platform. The acquisition of Invoiced was intended to accelerate our global expansion in our B2B vertical. Invoiced contributed $0.9 million in platform revenue during the three months ended March 31, 2025.</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40"/>
        <w:jc w:val="left"/>
        <w:rPr>
          <w:rFonts w:ascii="Arial" w:hAnsi="Arial"/>
          <w:b/>
          <w:color w:val="000000"/>
          <w:sz w:val="20"/>
        </w:rPr>
      </w:pPr>
      <w:r>
        <w:rPr>
          <w:rFonts w:ascii="Arial" w:hAnsi="Arial"/>
          <w:b/>
          <w:color w:val="000000"/>
          <w:sz w:val="20"/>
        </w:rPr>
        <w:t>Restructuring</w:t>
      </w:r>
    </w:p>
    <w:p>
      <w:pPr>
        <w:pStyle w:val="TextBody"/>
        <w:bidi w:val="0"/>
        <w:spacing w:before="0" w:after="200"/>
        <w:jc w:val="left"/>
        <w:rPr>
          <w:rFonts w:ascii="Arial" w:hAnsi="Arial"/>
          <w:color w:val="000000"/>
          <w:sz w:val="20"/>
        </w:rPr>
      </w:pPr>
      <w:r>
        <w:rPr>
          <w:rFonts w:ascii="Arial" w:hAnsi="Arial"/>
          <w:color w:val="000000"/>
          <w:sz w:val="20"/>
        </w:rPr>
        <w:t>In February 2025, we announced a restructuring plan that is designed to improve operational efficiencies, reduce operating costs and better align our workforce with current business needs, top strategic priorities and key growth opportunities (collectively, the Restructuring Plan). In connection with the Restructuring Plan, we incurred restructuring and restructuring-related charges of $7.3 million during the three months ended March 31, 2025, recorded within restructuring expenses on the condensed consolidated statements of operations and comprehensive loss, primarily consisting of cash expenditures for severance payments, employee benefits and facilitation costs of $5.1 million, as well as non-cash expenditures related to acceleration of vesting of share-based awards of $2.2 million. As of March 31, 2025, the accrued restructuring liability was $1.9 million, which is included within accounts payable and accrued expenses and other current liabilities in the condensed consolidated balance sheets. We estimate total costs of approximately $7.0 million to $9.0 million to be incurred in connection with the Restructuring Plan and for the costs to be substantially complete by the end of the second quarter of 2025.</w:t>
      </w:r>
    </w:p>
    <w:p>
      <w:pPr>
        <w:pStyle w:val="TextBody"/>
        <w:bidi w:val="0"/>
        <w:spacing w:before="0" w:after="200"/>
        <w:jc w:val="left"/>
        <w:rPr>
          <w:rFonts w:ascii="Times New Roman" w:hAnsi="Times New Roman"/>
          <w:sz w:val="20"/>
        </w:rPr>
      </w:pPr>
      <w:r>
        <w:rPr>
          <w:rFonts w:ascii="Arial" w:hAnsi="Arial"/>
          <w:b/>
          <w:color w:val="000000"/>
          <w:sz w:val="20"/>
        </w:rPr>
        <w:t>Our Revenue Model</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generate revenue from transactions and from platform and other fees as described below.</w:t>
      </w:r>
    </w:p>
    <w:p>
      <w:pPr>
        <w:pStyle w:val="TextBody"/>
        <w:bidi w:val="0"/>
        <w:spacing w:before="200" w:after="283"/>
        <w:jc w:val="left"/>
        <w:rPr>
          <w:rFonts w:ascii="Times New Roman" w:hAnsi="Times New Roman"/>
          <w:sz w:val="20"/>
        </w:rPr>
      </w:pPr>
      <w:r>
        <w:rPr>
          <w:rFonts w:ascii="Arial" w:hAnsi="Arial"/>
          <w:i/>
          <w:color w:val="000000"/>
          <w:sz w:val="20"/>
        </w:rPr>
        <w:t>Transaction revenue</w:t>
      </w:r>
      <w:r>
        <w:rPr>
          <w:rFonts w:ascii="Times New Roman" w:hAnsi="Times New Roman"/>
          <w:color w:val="000000"/>
          <w:sz w:val="20"/>
        </w:rPr>
        <w:t xml:space="preserve"> </w:t>
      </w:r>
      <w:r>
        <w:rPr>
          <w:rFonts w:ascii="Arial" w:hAnsi="Arial"/>
          <w:color w:val="000000"/>
          <w:sz w:val="20"/>
        </w:rPr>
        <w:t>includes fees earned from payment processing services provided to our clients, which is comprised of processing 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pStyle w:val="TextBody"/>
        <w:bidi w:val="0"/>
        <w:spacing w:before="200" w:after="200"/>
        <w:jc w:val="left"/>
        <w:rPr>
          <w:rFonts w:ascii="Times New Roman" w:hAnsi="Times New Roman"/>
          <w:sz w:val="20"/>
        </w:rPr>
      </w:pPr>
      <w:r>
        <w:rPr>
          <w:rFonts w:ascii="Arial" w:hAnsi="Arial"/>
          <w:i/>
          <w:color w:val="000000"/>
          <w:sz w:val="20"/>
        </w:rPr>
        <w:t>Platform and other revenues</w:t>
      </w:r>
      <w:r>
        <w:rPr>
          <w:rFonts w:ascii="Times New Roman" w:hAnsi="Times New Roman"/>
          <w:color w:val="000000"/>
          <w:sz w:val="20"/>
        </w:rPr>
        <w:t xml:space="preserve"> </w:t>
      </w:r>
      <w:r>
        <w:rPr>
          <w:rFonts w:ascii="Arial" w:hAnsi="Arial"/>
          <w:color w:val="000000"/>
          <w:sz w:val="20"/>
        </w:rPr>
        <w:t>primarily include (i) fees earned for the utilization of our platforms to optimize cash collections and student 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pStyle w:val="TextBody"/>
        <w:bidi w:val="0"/>
        <w:spacing w:before="0" w:after="200"/>
        <w:jc w:val="left"/>
        <w:rPr>
          <w:rFonts w:ascii="Times New Roman" w:hAnsi="Times New Roman"/>
          <w:sz w:val="20"/>
        </w:rPr>
      </w:pPr>
      <w:r>
        <w:rPr>
          <w:rFonts w:ascii="Arial" w:hAnsi="Arial"/>
          <w:b/>
          <w:i/>
          <w:color w:val="000000"/>
          <w:sz w:val="20"/>
        </w:rPr>
        <w:t>Total Payment Volume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pStyle w:val="TextBody"/>
        <w:bidi w:val="0"/>
        <w:spacing w:before="200" w:after="200"/>
        <w:jc w:val="left"/>
        <w:rPr>
          <w:rFonts w:ascii="Arial" w:hAnsi="Arial"/>
          <w:color w:val="000000"/>
          <w:sz w:val="20"/>
        </w:rPr>
      </w:pPr>
      <w:r>
        <w:rPr>
          <w:rFonts w:ascii="Arial" w:hAnsi="Arial"/>
          <w:color w:val="000000"/>
          <w:sz w:val="20"/>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tbl>
      <w:tblPr>
        <w:tblW w:w="9648" w:type="dxa"/>
        <w:jc w:val="left"/>
        <w:tblInd w:w="0" w:type="dxa"/>
        <w:tblLayout w:type="fixed"/>
        <w:tblCellMar>
          <w:top w:w="28" w:type="dxa"/>
          <w:left w:w="28" w:type="dxa"/>
          <w:bottom w:w="28" w:type="dxa"/>
          <w:right w:w="28" w:type="dxa"/>
        </w:tblCellMar>
      </w:tblPr>
      <w:tblGrid>
        <w:gridCol w:w="4081"/>
        <w:gridCol w:w="146"/>
        <w:gridCol w:w="242"/>
        <w:gridCol w:w="864"/>
        <w:gridCol w:w="168"/>
        <w:gridCol w:w="168"/>
        <w:gridCol w:w="242"/>
        <w:gridCol w:w="864"/>
        <w:gridCol w:w="146"/>
        <w:gridCol w:w="146"/>
        <w:gridCol w:w="211"/>
        <w:gridCol w:w="751"/>
        <w:gridCol w:w="166"/>
        <w:gridCol w:w="146"/>
        <w:gridCol w:w="289"/>
        <w:gridCol w:w="627"/>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6,426.0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Platform and other revenues payment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8,371.0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120"/>
        <w:jc w:val="left"/>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color w:val="000000"/>
          <w:sz w:val="20"/>
        </w:rPr>
        <w:t>Key Factors Affecting Our Performance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Increased Utilization by Our Clients and Their Customers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pStyle w:val="TextBody"/>
        <w:bidi w:val="0"/>
        <w:spacing w:before="200" w:after="283"/>
        <w:jc w:val="left"/>
        <w:rPr>
          <w:rFonts w:ascii="Arial" w:hAnsi="Arial"/>
          <w:color w:val="000000"/>
          <w:sz w:val="20"/>
        </w:rPr>
      </w:pPr>
      <w:r>
        <w:rPr>
          <w:rFonts w:ascii="Arial" w:hAnsi="Arial"/>
          <w:color w:val="000000"/>
          <w:sz w:val="20"/>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pStyle w:val="TextBody"/>
        <w:bidi w:val="0"/>
        <w:spacing w:before="200" w:after="283"/>
        <w:jc w:val="left"/>
        <w:rPr>
          <w:rFonts w:ascii="Times New Roman" w:hAnsi="Times New Roman"/>
          <w:sz w:val="20"/>
        </w:rPr>
      </w:pPr>
      <w:r>
        <w:rPr>
          <w:rFonts w:ascii="Arial" w:hAnsi="Arial"/>
          <w:b/>
          <w:i/>
          <w:color w:val="000000"/>
          <w:sz w:val="20"/>
        </w:rPr>
        <w:t>Mix of Business on Our Platform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compared to domestic payments, which may increase or decrease depending on the industry in which our clients operate. We may experience shifts in the type of revenue we earn (transaction revenue or platform and other revenues) depending on the nature of the activity of our clients and our clients’ customers on our platform.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Investment in Technology and Development and Sales and Marketing</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At the same time, we are optimizing our systems and tools, consolidating our vendor footprint and automating processes. While we expect our expenses related to technology and development to increase, we believe these investments will contribute to long-term growth and profitability.</w:t>
      </w:r>
    </w:p>
    <w:p>
      <w:pPr>
        <w:pStyle w:val="TextBody"/>
        <w:bidi w:val="0"/>
        <w:spacing w:before="200" w:after="283"/>
        <w:jc w:val="left"/>
        <w:rPr>
          <w:rFonts w:ascii="Arial" w:hAnsi="Arial"/>
          <w:color w:val="000000"/>
          <w:sz w:val="20"/>
        </w:rPr>
      </w:pPr>
      <w:r>
        <w:rPr>
          <w:rFonts w:ascii="Arial" w:hAnsi="Arial"/>
          <w:color w:val="000000"/>
          <w:sz w:val="20"/>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pStyle w:val="TextBody"/>
        <w:bidi w:val="0"/>
        <w:spacing w:before="200" w:after="283"/>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pStyle w:val="TextBody"/>
        <w:bidi w:val="0"/>
        <w:spacing w:before="200" w:after="200"/>
        <w:jc w:val="left"/>
        <w:rPr>
          <w:rFonts w:ascii="Times New Roman" w:hAnsi="Times New Roman"/>
          <w:sz w:val="20"/>
        </w:rPr>
      </w:pPr>
      <w:r>
        <w:rPr>
          <w:rFonts w:ascii="Arial" w:hAnsi="Arial"/>
          <w:b/>
          <w:i/>
          <w:color w:val="000000"/>
          <w:sz w:val="20"/>
        </w:rPr>
        <w:t>Economic Conditions and Resulting Consumer Spending Trends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pStyle w:val="TextBody"/>
        <w:bidi w:val="0"/>
        <w:spacing w:before="200" w:after="200"/>
        <w:jc w:val="left"/>
        <w:rPr>
          <w:rFonts w:ascii="Arial" w:hAnsi="Arial"/>
          <w:b/>
          <w:i/>
          <w:color w:val="000000"/>
          <w:sz w:val="20"/>
        </w:rPr>
      </w:pPr>
      <w:r>
        <w:rPr>
          <w:rFonts w:ascii="Arial" w:hAnsi="Arial"/>
          <w:b/>
          <w:i/>
          <w:color w:val="000000"/>
          <w:sz w:val="20"/>
        </w:rPr>
        <w:t>Impacts Resulting From Government Changes to International Student Visa Policies</w:t>
      </w:r>
    </w:p>
    <w:p>
      <w:pPr>
        <w:pStyle w:val="TextBody"/>
        <w:bidi w:val="0"/>
        <w:spacing w:before="0" w:after="200"/>
        <w:jc w:val="left"/>
        <w:rPr>
          <w:rFonts w:ascii="Times New Roman" w:hAnsi="Times New Roman"/>
          <w:sz w:val="20"/>
        </w:rPr>
      </w:pPr>
      <w:r>
        <w:rPr>
          <w:rFonts w:ascii="Arial" w:hAnsi="Arial"/>
          <w:color w:val="000000"/>
          <w:sz w:val="20"/>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first quarter of 2025 and which we anticipate will continue to impact our Canada revenues and revenue growth in 2025.</w:t>
      </w:r>
    </w:p>
    <w:p>
      <w:pPr>
        <w:pStyle w:val="TextBody"/>
        <w:bidi w:val="0"/>
        <w:spacing w:before="0" w:after="200"/>
        <w:jc w:val="left"/>
        <w:rPr>
          <w:rFonts w:ascii="Arial" w:hAnsi="Arial"/>
          <w:color w:val="000000"/>
          <w:sz w:val="20"/>
        </w:rPr>
      </w:pPr>
      <w:r>
        <w:rPr>
          <w:rFonts w:ascii="Arial" w:hAnsi="Arial"/>
          <w:color w:val="000000"/>
          <w:sz w:val="20"/>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These new Australian government policies, including university quotas, slower visa processing, higher fees, and stricter financial and language requirements, has had an adverse impact on our business in the first quarter of 2025 and we anticipate will continue to impact our Australian revenues in 2025.</w:t>
      </w:r>
    </w:p>
    <w:p>
      <w:pPr>
        <w:pStyle w:val="TextBody"/>
        <w:bidi w:val="0"/>
        <w:spacing w:before="0" w:after="200"/>
        <w:jc w:val="left"/>
        <w:rPr>
          <w:rFonts w:ascii="Arial" w:hAnsi="Arial"/>
          <w:color w:val="000000"/>
          <w:sz w:val="20"/>
        </w:rPr>
      </w:pPr>
      <w:r>
        <w:rPr>
          <w:rFonts w:ascii="Arial" w:hAnsi="Arial"/>
          <w:color w:val="000000"/>
          <w:sz w:val="20"/>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first quarter of 2025 due to shifting visa trends. In addition, in the first quarter of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We expect these changes to U.S. immigration policy and heightened trade tensions from the threat or imposition of tariffs will also dampen demands for international study and impact our revenue growth in the U.S. in 2025.</w:t>
      </w:r>
    </w:p>
    <w:p>
      <w:pPr>
        <w:pStyle w:val="TextBody"/>
        <w:bidi w:val="0"/>
        <w:spacing w:before="0" w:after="200"/>
        <w:jc w:val="left"/>
        <w:rPr>
          <w:rFonts w:ascii="Arial" w:hAnsi="Arial"/>
          <w:color w:val="000000"/>
          <w:sz w:val="20"/>
        </w:rPr>
      </w:pPr>
      <w:r>
        <w:rPr>
          <w:rFonts w:ascii="Arial" w:hAnsi="Arial"/>
          <w:color w:val="000000"/>
          <w:sz w:val="20"/>
        </w:rPr>
        <w:t>There is still a degree of uncertainty in terms of the impact the changes to international student visa policy and international trade policies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and international trade policies. Our business continues to remain strong amid these visa-related policy shifts, benefiting from our increasingly global and diversified footprint across verticals, sub-sectors, countries, currencies and clients.</w:t>
      </w:r>
    </w:p>
    <w:p>
      <w:pPr>
        <w:pStyle w:val="TextBody"/>
        <w:bidi w:val="0"/>
        <w:spacing w:before="0" w:after="200"/>
        <w:jc w:val="left"/>
        <w:rPr>
          <w:rFonts w:ascii="Arial" w:hAnsi="Arial"/>
          <w:b/>
          <w:i/>
          <w:color w:val="000000"/>
          <w:sz w:val="20"/>
        </w:rPr>
      </w:pPr>
      <w:r>
        <w:rPr>
          <w:rFonts w:ascii="Arial" w:hAnsi="Arial"/>
          <w:b/>
          <w:i/>
          <w:color w:val="000000"/>
          <w:sz w:val="20"/>
        </w:rPr>
        <w:t>Impact of Inflation</w:t>
      </w:r>
    </w:p>
    <w:p>
      <w:pPr>
        <w:pStyle w:val="TextBody"/>
        <w:bidi w:val="0"/>
        <w:spacing w:before="0" w:after="200"/>
        <w:jc w:val="left"/>
        <w:rPr>
          <w:rFonts w:ascii="Arial" w:hAnsi="Arial"/>
          <w:color w:val="000000"/>
          <w:sz w:val="20"/>
        </w:rPr>
      </w:pPr>
      <w:r>
        <w:rPr>
          <w:rFonts w:ascii="Arial" w:hAnsi="Arial"/>
          <w:color w:val="000000"/>
          <w:sz w:val="20"/>
        </w:rPr>
        <w:t>Inflation did not have a material effect on our cash flows and results of operations during the three months ended March 31, 2025.</w:t>
      </w:r>
    </w:p>
    <w:p>
      <w:pPr>
        <w:pStyle w:val="TextBody"/>
        <w:bidi w:val="0"/>
        <w:spacing w:before="0" w:after="200"/>
        <w:jc w:val="left"/>
        <w:rPr>
          <w:rFonts w:ascii="Times New Roman" w:hAnsi="Times New Roman"/>
          <w:sz w:val="20"/>
        </w:rPr>
      </w:pPr>
      <w:r>
        <w:rPr>
          <w:rFonts w:ascii="Arial" w:hAnsi="Arial"/>
          <w:b/>
          <w:i/>
          <w:color w:val="000000"/>
          <w:sz w:val="20"/>
        </w:rPr>
        <w:t>Diversified Mix of Clients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have a wide range of clients across our education, healthcare, travel and B2B verticals. Volumes and revenue from clients in education, our largest vertical, rely on international enrollments and student school preferences, which can fluctuate over time.</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Dynamic Changes to Client Communication and Product Solutions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pStyle w:val="TextBody"/>
        <w:bidi w:val="0"/>
        <w:spacing w:before="200" w:after="200"/>
        <w:jc w:val="left"/>
        <w:rPr>
          <w:rFonts w:ascii="Times New Roman" w:hAnsi="Times New Roman"/>
          <w:sz w:val="20"/>
        </w:rPr>
      </w:pPr>
      <w:r>
        <w:rPr>
          <w:rFonts w:ascii="Arial" w:hAnsi="Arial"/>
          <w:b/>
          <w:i/>
          <w:color w:val="000000"/>
          <w:sz w:val="20"/>
        </w:rPr>
        <w:t>Business Continuity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have a history of operating losses and while we have experienced significant revenue growth in recent years and achieved profitability on a GAAP basis in the year ended December 31, 2024,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and technologies and systems to improve operating efficiencies, to further develop and enhance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are addressing operating losses by making continued improvements designed to create operating efficiencies and a focus on cost discipline, including investing in automation and product development to further enhance our offerings with a focus on scale and productivity across all areas. Beginning in the first quarter of 2025 and continuing into the second quarter of 2025, we implemented a restructuring plan designed to improve operational efficiencies, reduce operating costs and better align the Company’s workforce with current business needs, top strategic priorities and key growth opportunities. We believe these improvements, our strong product portfolio, client retention and established product market fit along with strong gross margins and cash flows from operations will help us achieve our goal of maintaining positive annual GAAP net income in the future. While we expect that our clients’ business and our business will continue to be adversely impacted, directly or indirectly, by the ongoing macroeconomic and geopolitical issues, as of the date of this report. However, the extent of the ongoing impact of these macroeconomic events on our and our clients’ business, our markets and on global economic activity however, is uncertain and the related financial impact cannot be reasonably estimated with any certainty at this time.</w:t>
      </w:r>
    </w:p>
    <w:p>
      <w:pPr>
        <w:pStyle w:val="TextBody"/>
        <w:bidi w:val="0"/>
        <w:spacing w:before="200" w:after="283"/>
        <w:jc w:val="left"/>
        <w:rPr>
          <w:rFonts w:ascii="Arial" w:hAnsi="Arial"/>
          <w:color w:val="000000"/>
          <w:sz w:val="20"/>
        </w:rPr>
      </w:pPr>
      <w:r>
        <w:rPr>
          <w:rFonts w:ascii="Arial" w:hAnsi="Arial"/>
          <w:color w:val="000000"/>
          <w:sz w:val="20"/>
        </w:rPr>
        <w:t>With the ongoing conflict involving Israel, we continue to engage in active workforce planning to help Israeli FlyMates support the business without interruption and implement safety measures for FlyMates in Israel.</w:t>
      </w:r>
    </w:p>
    <w:p>
      <w:pPr>
        <w:pStyle w:val="TextBody"/>
        <w:bidi w:val="0"/>
        <w:spacing w:before="200" w:after="200"/>
        <w:jc w:val="left"/>
        <w:rPr>
          <w:rFonts w:ascii="Times New Roman" w:hAnsi="Times New Roman"/>
          <w:sz w:val="20"/>
        </w:rPr>
      </w:pPr>
      <w:r>
        <w:rPr>
          <w:rFonts w:ascii="Arial" w:hAnsi="Arial"/>
          <w:b/>
          <w:color w:val="000000"/>
          <w:sz w:val="20"/>
        </w:rPr>
        <w:t>Components of Results of Operations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We generate revenue from transactions and from platform and other fees as described under “Our Revenue Model”.</w:t>
      </w:r>
    </w:p>
    <w:p>
      <w:pPr>
        <w:pStyle w:val="TextBody"/>
        <w:bidi w:val="0"/>
        <w:spacing w:before="0" w:after="200"/>
        <w:jc w:val="left"/>
        <w:rPr>
          <w:rFonts w:ascii="Times New Roman" w:hAnsi="Times New Roman"/>
          <w:sz w:val="20"/>
        </w:rPr>
      </w:pPr>
      <w:r>
        <w:rPr>
          <w:rFonts w:ascii="Arial" w:hAnsi="Arial"/>
          <w:b/>
          <w:i/>
          <w:color w:val="000000"/>
          <w:sz w:val="20"/>
        </w:rPr>
        <w:t>Payment Processing Services Costs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Technology and Development</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stock-based compensation and other expenses, (e) hardware and software engineering, consultant services and other costs associated with our technology platform and products, (f) research materials and facilities, and (g) depreciation and maintenance expense.</w:t>
      </w:r>
    </w:p>
    <w:p>
      <w:pPr>
        <w:pStyle w:val="TextBody"/>
        <w:bidi w:val="0"/>
        <w:spacing w:before="200" w:after="283"/>
        <w:jc w:val="left"/>
        <w:rPr>
          <w:rFonts w:ascii="Arial" w:hAnsi="Arial"/>
          <w:color w:val="000000"/>
          <w:sz w:val="20"/>
        </w:rPr>
      </w:pPr>
      <w:r>
        <w:rPr>
          <w:rFonts w:ascii="Arial" w:hAnsi="Arial"/>
          <w:color w:val="000000"/>
          <w:sz w:val="20"/>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pStyle w:val="TextBody"/>
        <w:bidi w:val="0"/>
        <w:spacing w:before="200" w:after="200"/>
        <w:jc w:val="left"/>
        <w:rPr>
          <w:rFonts w:ascii="Times New Roman" w:hAnsi="Times New Roman"/>
          <w:sz w:val="20"/>
        </w:rPr>
      </w:pPr>
      <w:r>
        <w:rPr>
          <w:rFonts w:ascii="Arial" w:hAnsi="Arial"/>
          <w:b/>
          <w:i/>
          <w:color w:val="000000"/>
          <w:sz w:val="20"/>
        </w:rPr>
        <w:t>Selling and Marketing</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pStyle w:val="TextBody"/>
        <w:bidi w:val="0"/>
        <w:spacing w:before="200" w:after="283"/>
        <w:jc w:val="left"/>
        <w:rPr>
          <w:rFonts w:ascii="Arial" w:hAnsi="Arial"/>
          <w:color w:val="000000"/>
          <w:sz w:val="20"/>
        </w:rPr>
      </w:pPr>
      <w:r>
        <w:rPr>
          <w:rFonts w:ascii="Arial" w:hAnsi="Arial"/>
          <w:color w:val="000000"/>
          <w:sz w:val="20"/>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pStyle w:val="TextBody"/>
        <w:bidi w:val="0"/>
        <w:spacing w:before="200" w:after="200"/>
        <w:jc w:val="left"/>
        <w:rPr>
          <w:rFonts w:ascii="Times New Roman" w:hAnsi="Times New Roman"/>
          <w:sz w:val="20"/>
        </w:rPr>
      </w:pPr>
      <w:r>
        <w:rPr>
          <w:rFonts w:ascii="Arial" w:hAnsi="Arial"/>
          <w:b/>
          <w:i/>
          <w:color w:val="000000"/>
          <w:sz w:val="20"/>
        </w:rPr>
        <w:t>General and Administrative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pStyle w:val="TextBody"/>
        <w:bidi w:val="0"/>
        <w:spacing w:before="200" w:after="200"/>
        <w:jc w:val="left"/>
        <w:rPr>
          <w:rFonts w:ascii="Times New Roman" w:hAnsi="Times New Roman"/>
          <w:sz w:val="20"/>
        </w:rPr>
      </w:pPr>
      <w:r>
        <w:rPr>
          <w:rFonts w:ascii="Arial" w:hAnsi="Arial"/>
          <w:b/>
          <w:i/>
          <w:color w:val="000000"/>
          <w:sz w:val="20"/>
        </w:rPr>
        <w:t>Restructuring</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In February 2025, we announced the Restructuring Plan that is designed to improve operational efficiencies, reduce operating costs and better align our workforce with current business needs, top strategic priorities and key growth opportunities. Restructuring expenses included restructuring and restructuring related expenses incurred as part of the Restructuring Plan announced in February 2025, related to employee transition, notice period, severance, employee benefits and facilitation costs.</w:t>
      </w:r>
    </w:p>
    <w:p>
      <w:pPr>
        <w:pStyle w:val="TextBody"/>
        <w:bidi w:val="0"/>
        <w:spacing w:before="0" w:after="20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Interest expense consists of interest, amortization of debt issuance costs and unused commitment fees on our 2024 Revolving Credit Facility and 2021 Revolving Credit Facility.</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On February 23, 2024, we entered into our 2024 Revolving Credit Facility for a total commitment of $125.0 million. The 2024 Revolving Credit Facility replaced the 2021 Revolving Credit Facility of $50.0 million, which were entered into in July 2021, under which $50.0 million was available to Flywire as of December 31, 2023. As of March 31, 2025 and 2024, there was $60.0 million and $0.0 million in indebtedness outstanding under the 2024 Revolving Credit Facility or 2021 Revolving Credit Facility, respectively.</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i/>
          <w:color w:val="000000"/>
          <w:sz w:val="20"/>
        </w:rPr>
      </w:pPr>
      <w:r>
        <w:rPr>
          <w:rFonts w:ascii="Arial" w:hAnsi="Arial"/>
          <w:b/>
          <w:i/>
          <w:color w:val="000000"/>
          <w:sz w:val="20"/>
        </w:rPr>
        <w:t>Interest Income</w:t>
      </w:r>
    </w:p>
    <w:p>
      <w:pPr>
        <w:pStyle w:val="TextBody"/>
        <w:bidi w:val="0"/>
        <w:spacing w:before="0" w:after="200"/>
        <w:jc w:val="left"/>
        <w:rPr>
          <w:rFonts w:ascii="Arial" w:hAnsi="Arial"/>
          <w:color w:val="000000"/>
          <w:sz w:val="20"/>
        </w:rPr>
      </w:pPr>
      <w:r>
        <w:rPr>
          <w:rFonts w:ascii="Arial" w:hAnsi="Arial"/>
          <w:color w:val="000000"/>
          <w:sz w:val="20"/>
        </w:rPr>
        <w:t>Interest income consists of interest on cash held in interest bearing operating accounts, including money market funds, and investments in available-for-sale debt securities.</w:t>
      </w:r>
    </w:p>
    <w:p>
      <w:pPr>
        <w:pStyle w:val="TextBody"/>
        <w:bidi w:val="0"/>
        <w:jc w:val="left"/>
        <w:rPr>
          <w:rFonts w:ascii="Arial" w:hAnsi="Arial"/>
          <w:b/>
          <w:i/>
          <w:color w:val="000000"/>
          <w:sz w:val="20"/>
        </w:rPr>
      </w:pPr>
      <w:r>
        <w:rPr>
          <w:rFonts w:ascii="Arial" w:hAnsi="Arial"/>
          <w:b/>
          <w:i/>
          <w:color w:val="000000"/>
          <w:sz w:val="20"/>
        </w:rPr>
        <w:t>Gain (Loss) from Remeasurement of Foreign Currency</w:t>
      </w:r>
    </w:p>
    <w:p>
      <w:pPr>
        <w:pStyle w:val="TextBody"/>
        <w:bidi w:val="0"/>
        <w:spacing w:before="200" w:after="200"/>
        <w:jc w:val="left"/>
        <w:rPr>
          <w:rFonts w:ascii="Arial" w:hAnsi="Arial"/>
          <w:color w:val="000000"/>
          <w:sz w:val="20"/>
        </w:rPr>
      </w:pPr>
      <w:r>
        <w:rPr>
          <w:rFonts w:ascii="Arial" w:hAnsi="Arial"/>
          <w:color w:val="000000"/>
          <w:sz w:val="20"/>
        </w:rPr>
        <w:t>Gain (loss) from remeasurement of foreign currency consists of gains and losses from the remeasurement of foreign currency transactions into its functional currency.</w:t>
      </w:r>
    </w:p>
    <w:p>
      <w:pPr>
        <w:pStyle w:val="TextBody"/>
        <w:bidi w:val="0"/>
        <w:spacing w:before="0" w:after="200"/>
        <w:jc w:val="left"/>
        <w:rPr>
          <w:rFonts w:ascii="Arial" w:hAnsi="Arial"/>
          <w:b/>
          <w:i/>
          <w:color w:val="000000"/>
          <w:sz w:val="20"/>
        </w:rPr>
      </w:pPr>
      <w:r>
        <w:rPr>
          <w:rFonts w:ascii="Arial" w:hAnsi="Arial"/>
          <w:b/>
          <w:i/>
          <w:color w:val="000000"/>
          <w:sz w:val="20"/>
        </w:rPr>
        <w:t>(Benefit from) Provision for Income Tax</w:t>
      </w:r>
    </w:p>
    <w:p>
      <w:pPr>
        <w:pStyle w:val="TextBody"/>
        <w:bidi w:val="0"/>
        <w:spacing w:before="0" w:after="200"/>
        <w:jc w:val="left"/>
        <w:rPr>
          <w:rFonts w:ascii="Arial" w:hAnsi="Arial"/>
          <w:color w:val="000000"/>
          <w:sz w:val="20"/>
        </w:rPr>
      </w:pPr>
      <w:r>
        <w:rPr>
          <w:rFonts w:ascii="Arial" w:hAnsi="Arial"/>
          <w:color w:val="000000"/>
          <w:sz w:val="20"/>
        </w:rPr>
        <w:t>(Benefit from) 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(benefit from) provision for income taxes in the future.</w:t>
      </w:r>
    </w:p>
    <w:p>
      <w:pPr>
        <w:pStyle w:val="TextBody"/>
        <w:bidi w:val="0"/>
        <w:spacing w:before="0" w:after="200"/>
        <w:jc w:val="left"/>
        <w:rPr>
          <w:rFonts w:ascii="Arial" w:hAnsi="Arial"/>
          <w:color w:val="000000"/>
          <w:sz w:val="20"/>
        </w:rPr>
      </w:pPr>
      <w:r>
        <w:rPr>
          <w:rFonts w:ascii="Arial" w:hAnsi="Arial"/>
          <w:color w:val="000000"/>
          <w:sz w:val="20"/>
        </w:rPr>
        <w:t>We have a valuation allowance on our net U.S. deferred tax assets, including federal and state NOLs. We expect to maintain these valuation allowances until it becomes more likely than not that the benefit of our deferred tax assets are realized through future taxable income generated in these jurisdictions.</w:t>
      </w:r>
    </w:p>
    <w:p>
      <w:pPr>
        <w:pStyle w:val="TextBody"/>
        <w:bidi w:val="0"/>
        <w:spacing w:before="0" w:after="200"/>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Comparison of results for the three months ended March 31, 2025 and 2024</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All dollar amounts in the tables below are rounded and as a result, certain amounts may not recalculate using the rounded amounts provided.</w:t>
      </w:r>
    </w:p>
    <w:p>
      <w:pPr>
        <w:pStyle w:val="TextBody"/>
        <w:bidi w:val="0"/>
        <w:spacing w:before="0" w:after="200"/>
        <w:jc w:val="left"/>
        <w:rPr>
          <w:rFonts w:ascii="Times New Roman" w:hAnsi="Times New Roman"/>
          <w:sz w:val="20"/>
        </w:rPr>
      </w:pPr>
      <w:r>
        <w:rPr>
          <w:rFonts w:ascii="Arial" w:hAnsi="Arial"/>
          <w:color w:val="000000"/>
          <w:sz w:val="20"/>
        </w:rPr>
        <w:t>The following table sets forth our consolidated results of operations for periods presented: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652"/>
        <w:gridCol w:w="146"/>
        <w:gridCol w:w="260"/>
        <w:gridCol w:w="724"/>
        <w:gridCol w:w="205"/>
        <w:gridCol w:w="180"/>
        <w:gridCol w:w="260"/>
        <w:gridCol w:w="724"/>
        <w:gridCol w:w="166"/>
        <w:gridCol w:w="146"/>
        <w:gridCol w:w="261"/>
        <w:gridCol w:w="595"/>
        <w:gridCol w:w="166"/>
        <w:gridCol w:w="146"/>
        <w:gridCol w:w="168"/>
        <w:gridCol w:w="748"/>
        <w:gridCol w:w="658"/>
      </w:tblGrid>
      <w:tr>
        <w:trPr/>
        <w:tc>
          <w:tcPr>
            <w:tcW w:w="4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costs and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6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Gain (loss)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(181.8</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328.6</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(benefit from)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(156.3</w:t>
            </w:r>
          </w:p>
        </w:tc>
        <w:tc>
          <w:tcPr>
            <w:tcW w:w="6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(292.9</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losses on available-for-sale debt securities,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(78.9</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Times New Roman" w:hAnsi="Times New Roman"/>
          <w:sz w:val="20"/>
        </w:rPr>
      </w:pPr>
      <w:r>
        <w:rPr>
          <w:rFonts w:ascii="Arial" w:hAnsi="Arial"/>
          <w:i/>
          <w:color w:val="000000"/>
          <w:sz w:val="20"/>
        </w:rPr>
        <w:t>Revenue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Revenue was $133.5 million for the three months ended March 31, 2025, compared to $114.1 million for the three months ended March 31, 2024, an increase of $19.4 million or 17.0%. Revenue is comprised of transaction revenue and platform and other revenues as follows:</w:t>
      </w:r>
      <w:r>
        <w:rPr>
          <w:rFonts w:ascii="Times New Roman" w:hAnsi="Times New Roman"/>
          <w:color w:val="000000"/>
          <w:sz w:val="20"/>
        </w:rPr>
        <w:t xml:space="preserve"> </w:t>
      </w:r>
    </w:p>
    <w:tbl>
      <w:tblPr>
        <w:tblW w:w="8242" w:type="dxa"/>
        <w:jc w:val="left"/>
        <w:tblInd w:w="0" w:type="dxa"/>
        <w:tblLayout w:type="fixed"/>
        <w:tblCellMar>
          <w:top w:w="28" w:type="dxa"/>
          <w:left w:w="28" w:type="dxa"/>
          <w:bottom w:w="28" w:type="dxa"/>
          <w:right w:w="28" w:type="dxa"/>
        </w:tblCellMar>
      </w:tblPr>
      <w:tblGrid>
        <w:gridCol w:w="2581"/>
        <w:gridCol w:w="146"/>
        <w:gridCol w:w="285"/>
        <w:gridCol w:w="792"/>
        <w:gridCol w:w="197"/>
        <w:gridCol w:w="197"/>
        <w:gridCol w:w="285"/>
        <w:gridCol w:w="792"/>
        <w:gridCol w:w="146"/>
        <w:gridCol w:w="146"/>
        <w:gridCol w:w="261"/>
        <w:gridCol w:w="595"/>
        <w:gridCol w:w="146"/>
        <w:gridCol w:w="146"/>
        <w:gridCol w:w="213"/>
        <w:gridCol w:w="703"/>
        <w:gridCol w:w="6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Platform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Times New Roman" w:hAnsi="Times New Roman"/>
          <w:sz w:val="20"/>
        </w:rPr>
      </w:pPr>
      <w:r>
        <w:rPr>
          <w:rFonts w:ascii="Arial" w:hAnsi="Arial"/>
          <w:color w:val="000000"/>
          <w:sz w:val="20"/>
        </w:rPr>
        <w:t>Transaction revenue was $108.5 million for the three months ended March 31, 2025, compared to $95.2 million for the three months ended March 31, 2024, an increase of $13.3 million or 14.0%. The increase in transaction revenue was primarily driven by growth in transaction payment volumes inclusive of the Sertifi acquisition for the three months ended March 31, 2025 from both our existing clients and new clients added during the three months ended March 31, 2025 compared to three months ended March 31, 2024. Our transaction payment volume outpaced our revenue growth during the three months ended March 31, 2025, primarily due to the increase in domestic transactions that have a lower average monetization rate. We experienced growth in transaction payment volume across most regions and verticals during the period, excluding Canada, which decreased primarily due to Canada’s international student permit applications cap introduced earlier in 2024. Transaction payment volume increased approximately 28% during the three months ended March 31, 2025 to $6.4 billion compared to $5.0 billion during the three months ended March 31, 2024.</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Platform and other revenues were $25.0 million for the three months ended March 31, 2025, compared to $18.9 million for the three months ended March 31, 2024, an increase of $6.1 million or 32.3%. The increase in platform and other revenues was driven by the Sertifi and Invoiced acquisitions, an increase in healthcare platform products, revenue from interest earned on funds held for customers in interest-bearing accounts, offset by a decrease in revenue for insurance products.</w:t>
      </w:r>
    </w:p>
    <w:p>
      <w:pPr>
        <w:pStyle w:val="TextBody"/>
        <w:bidi w:val="0"/>
        <w:spacing w:before="0" w:after="200"/>
        <w:jc w:val="left"/>
        <w:rPr>
          <w:rFonts w:ascii="Times New Roman" w:hAnsi="Times New Roman"/>
          <w:sz w:val="20"/>
        </w:rPr>
      </w:pPr>
      <w:r>
        <w:rPr>
          <w:rFonts w:ascii="Arial" w:hAnsi="Arial"/>
          <w:i/>
          <w:color w:val="000000"/>
          <w:sz w:val="20"/>
        </w:rPr>
        <w:t>Payment Processing Services Costs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Payment processing services costs were $50.6 million for the three months ended March 31, 2025, compared to $41.7 million for the three months ended March 31, 2024, an increase of $8.9 million or 21.3%.The increase in payment processing services costs is correlated with the increase in transaction payment volume of 28% over the same period.</w:t>
      </w:r>
    </w:p>
    <w:p>
      <w:pPr>
        <w:pStyle w:val="TextBody"/>
        <w:bidi w:val="0"/>
        <w:spacing w:before="0" w:after="200"/>
        <w:jc w:val="left"/>
        <w:rPr>
          <w:rFonts w:ascii="Times New Roman" w:hAnsi="Times New Roman"/>
          <w:sz w:val="20"/>
        </w:rPr>
      </w:pPr>
      <w:r>
        <w:rPr>
          <w:rFonts w:ascii="Arial" w:hAnsi="Arial"/>
          <w:i/>
          <w:color w:val="000000"/>
          <w:sz w:val="20"/>
        </w:rPr>
        <w:t>Technology and Development</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Technology and development expenses were $16.9 million for the three months ended March 31, 2025, compared to $16.7 million for the three months ended March 31, 2024, an increase of $0.2 million or 1.2%. The increase in technology and development cost was primarily driven by an increase in personnel costs and stock-based compensation expense, offset by a decrease in software tools. Personnel costs were $10.8 million for the three months ended March 31, 2025 compared to $10.4 million for the three months ended March 31, 2024, an increase of $0.4 million or 3.8%. The increase in personnel costs was primarily driven by an increase in headcount within our technology and development teams prior to the restructuring that occurred during the three months ended March 31, 2025. Stock-based compensation expense was $3.2 million for the three months ended March 31, 2025, compared to $2.6 million for the three months ended March 31, 2024, an increase of $0.6 million or 23.1%. The increase in stock-based compensation is attributable to equity grants awarded to existing and new FlyMates. Software tools were $1.1 million for the three months ended March 31, 2025, compared to $1.6 million for the three months ended March 31, 2024, a decrease of $0.5 million or 31.3%. The decrease in software tools was primarily due to optimization of our technology infrastructure.</w:t>
      </w:r>
    </w:p>
    <w:p>
      <w:pPr>
        <w:pStyle w:val="TextBody"/>
        <w:bidi w:val="0"/>
        <w:spacing w:before="0" w:after="200"/>
        <w:jc w:val="left"/>
        <w:rPr>
          <w:rFonts w:ascii="Arial" w:hAnsi="Arial"/>
          <w:i/>
          <w:color w:val="000000"/>
          <w:sz w:val="20"/>
        </w:rPr>
      </w:pPr>
      <w:r>
        <w:rPr>
          <w:rFonts w:ascii="Arial" w:hAnsi="Arial"/>
          <w:i/>
          <w:color w:val="000000"/>
          <w:sz w:val="20"/>
        </w:rPr>
        <w:t>Selling and Marketing</w:t>
      </w:r>
    </w:p>
    <w:p>
      <w:pPr>
        <w:pStyle w:val="TextBody"/>
        <w:bidi w:val="0"/>
        <w:spacing w:before="0" w:after="200"/>
        <w:jc w:val="left"/>
        <w:rPr>
          <w:rFonts w:ascii="Times New Roman" w:hAnsi="Times New Roman"/>
          <w:sz w:val="20"/>
        </w:rPr>
      </w:pPr>
      <w:r>
        <w:rPr>
          <w:rFonts w:ascii="Arial" w:hAnsi="Arial"/>
          <w:color w:val="000000"/>
          <w:sz w:val="20"/>
        </w:rPr>
        <w:t>Selling and marketing expenses were $36.6 million for the three months ended March 31, 2025, compared to $30.1 million for the three months ended March 31, 2024, an increase of $6.5 million or 21.6%. The increase in selling and marketing expenses was primarily driven by an increase in personnel costs, stock-based compensation expense, professional fees, software tools and depreciation and amortization expense. Personnel costs were $18.5 million for the three months ended March 31, 2025, compared to $16.3 million for the three months ended March 31, 2024, an increase of $2.2 million or 13.5%. The increase in personnel costs was primarily driven by an increase in headcount within our selling and marketing teams prior to the restructuring that occurred during the three months ended March 31, 2025. Stock-based compensation expense was $4.6 million for the three months ended March 31, 2025, compared to $4.0 million for the three months ended March 31, 2024, an increase of $0.6 million or 15.0%. The increase in stock-based compensation was attributable to equity grants awarded to existing and new FlyMates. Professional fees were $6.1 million for the three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months ended March 31, 2025, compared to $4.4 million for the three months ended March 31, 2024, an increase of $1.7 million or 38.6%. The increase in professional fees was primarily due to increases in third party commissions. Software tools were $1.1 million for the three months ended March 31, 2025, compared to $0.7 million for the three months ended March 31, 2024, a decrease of $0.4 million or 57.1%. The increase in software tools was primarily due to the acquisition of Sertifi. Depreciation and amortization was $3.0 million for the three months ended March 31, 2025, compared to $1.9 million for the three months ended March 31, 2024, an increase of $1.1 million or 57.9%. The increase in depreciation and amortization expense was primarily due to acquired intangible assets related to the Sertifi and Invoiced acquisitions.</w:t>
      </w:r>
      <w:r>
        <w:rPr>
          <w:rFonts w:ascii="Times New Roman" w:hAnsi="Times New Roman"/>
          <w:color w:val="000000"/>
          <w:sz w:val="20"/>
        </w:rPr>
        <w:t xml:space="preserve"> </w:t>
      </w:r>
    </w:p>
    <w:p>
      <w:pPr>
        <w:pStyle w:val="TextBody"/>
        <w:bidi w:val="0"/>
        <w:spacing w:before="0" w:after="200"/>
        <w:jc w:val="left"/>
        <w:rPr>
          <w:rFonts w:ascii="Arial" w:hAnsi="Arial"/>
          <w:i/>
          <w:color w:val="000000"/>
          <w:sz w:val="20"/>
        </w:rPr>
      </w:pPr>
      <w:r>
        <w:rPr>
          <w:rFonts w:ascii="Arial" w:hAnsi="Arial"/>
          <w:i/>
          <w:color w:val="000000"/>
          <w:sz w:val="20"/>
        </w:rPr>
        <w:t>General and Administrative</w:t>
      </w:r>
    </w:p>
    <w:p>
      <w:pPr>
        <w:pStyle w:val="TextBody"/>
        <w:bidi w:val="0"/>
        <w:spacing w:before="0" w:after="200"/>
        <w:jc w:val="left"/>
        <w:rPr>
          <w:rFonts w:ascii="Arial" w:hAnsi="Arial"/>
          <w:color w:val="000000"/>
          <w:sz w:val="20"/>
        </w:rPr>
      </w:pPr>
      <w:r>
        <w:rPr>
          <w:rFonts w:ascii="Arial" w:hAnsi="Arial"/>
          <w:color w:val="000000"/>
          <w:sz w:val="20"/>
        </w:rPr>
        <w:t>General and administrative expenses were $33.1 million for the three months ended March 31, 2025, compared to $31.6 million for the three months ended March 31, 2024, an increase of $1.5 million or 4.7%. The increase in general and administrative expenses was primarily driven by increases in acquisition costs and the change in fair value of contingent consideration, partially offset by a decrease in personnel costs. Acquisition costs were $2.5 million for the three months ended March 31, 2025, compared to less than $0.1 million for the three months ended March 31, 2024, an increase of $2.4 million. The increase in acquisition costs was attributable to the Sertifi acquisition during the three months ended March 31, 2025. The increase in the fair value of contingent consideration was $0.2 million for the three months ended March 31, 2025, compared to a reduction of $0.5 million for the three months ended March 31, 2024, representing a change of $0.7 million. The increase in the fair value of contingent consideration during the three months ended March 31, 2025 was due to the time value of money as we progress closer to payment of the contingent consideration liability for the StudyLink and Invoiced acquisitions and the decrease in the fair value of contingent consideration during the three months ending March 31, 2024, was primarily due to a revised estimate on a cross-sell target related to the StudyLink acquisition. Personnel costs were $11.9 million for the three months ended March 31, 2025, compared to $13.2 million for the three months ended March 31, 2024, a decrease of $1.3 million or 9.8%. The decrease in personnel costs was primarily driven by a decrease in bonus expense for a reduction in annual incentives.</w:t>
      </w:r>
    </w:p>
    <w:p>
      <w:pPr>
        <w:pStyle w:val="TextBody"/>
        <w:bidi w:val="0"/>
        <w:spacing w:before="0" w:after="200"/>
        <w:jc w:val="left"/>
        <w:rPr>
          <w:rFonts w:ascii="Arial" w:hAnsi="Arial"/>
          <w:i/>
          <w:color w:val="000000"/>
          <w:sz w:val="20"/>
        </w:rPr>
      </w:pPr>
      <w:r>
        <w:rPr>
          <w:rFonts w:ascii="Arial" w:hAnsi="Arial"/>
          <w:i/>
          <w:color w:val="000000"/>
          <w:sz w:val="20"/>
        </w:rPr>
        <w:t>Restructuring</w:t>
      </w:r>
    </w:p>
    <w:p>
      <w:pPr>
        <w:pStyle w:val="TextBody"/>
        <w:bidi w:val="0"/>
        <w:spacing w:before="0" w:after="200"/>
        <w:jc w:val="left"/>
        <w:rPr>
          <w:rFonts w:ascii="Times New Roman" w:hAnsi="Times New Roman"/>
          <w:sz w:val="20"/>
        </w:rPr>
      </w:pPr>
      <w:r>
        <w:rPr>
          <w:rFonts w:ascii="Arial" w:hAnsi="Arial"/>
          <w:color w:val="000000"/>
          <w:sz w:val="20"/>
        </w:rPr>
        <w:t>Restructuring expenses were $7.3 million for the three months ended March 31, 2025. There were no restructuring expenses during the three months ended March 31, 2024. Restructuring expenses included restructuring and restructuring-related expenses incurred as part of the Restructuring Plan announced in February 2025, related primarily to severance payments and other related expenses</w:t>
      </w:r>
      <w:r>
        <w:rPr>
          <w:rFonts w:ascii="Times New Roman" w:hAnsi="Times New Roman"/>
          <w:color w:val="000000"/>
          <w:sz w:val="20"/>
        </w:rPr>
        <w:t xml:space="preserve"> </w:t>
      </w:r>
      <w:r>
        <w:rPr>
          <w:rFonts w:ascii="Arial" w:hAnsi="Arial"/>
          <w:color w:val="000000"/>
          <w:sz w:val="20"/>
        </w:rPr>
        <w:t>of $5.1 million and $2.2 million of expense related to the acceleration of stock-based compensation for terminated employees</w:t>
      </w:r>
      <w:r>
        <w:rPr>
          <w:rFonts w:ascii="Times New Roman" w:hAnsi="Times New Roman"/>
          <w:color w:val="000000"/>
          <w:sz w:val="20"/>
        </w:rPr>
        <w:t>.</w:t>
      </w:r>
    </w:p>
    <w:p>
      <w:pPr>
        <w:pStyle w:val="TextBody"/>
        <w:bidi w:val="0"/>
        <w:spacing w:before="0" w:after="200"/>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Interest expense was $0.7</w:t>
      </w:r>
      <w:r>
        <w:rPr>
          <w:rFonts w:ascii="Times New Roman" w:hAnsi="Times New Roman"/>
          <w:color w:val="000000"/>
          <w:sz w:val="20"/>
        </w:rPr>
        <w:t xml:space="preserve"> </w:t>
      </w:r>
      <w:r>
        <w:rPr>
          <w:rFonts w:ascii="Arial" w:hAnsi="Arial"/>
          <w:color w:val="000000"/>
          <w:sz w:val="20"/>
        </w:rPr>
        <w:t>million for the three months ended March 31, 2025, compared to $0.1 million for the three months ended 2024. During the three months ended March 31, 2025, we drew down $125.0 million and repaid $65.0 million from our 2024 Revolving Credit Facility. As of March 31, 2025, there was $60.0 million outstanding indebtedness under the 2024 Revolving Credit Facility. Interest expense consists primarily of interest expense, amortization of debt issuance costs and unused commitment fees related to our 2024 Revolving Credit Facility and our former 2021 Revolving Credit Facility.</w:t>
      </w:r>
    </w:p>
    <w:p>
      <w:pPr>
        <w:pStyle w:val="TextBody"/>
        <w:bidi w:val="0"/>
        <w:spacing w:before="0" w:after="200"/>
        <w:jc w:val="left"/>
        <w:rPr>
          <w:rFonts w:ascii="Arial" w:hAnsi="Arial"/>
          <w:i/>
          <w:color w:val="000000"/>
          <w:sz w:val="20"/>
        </w:rPr>
      </w:pPr>
      <w:r>
        <w:rPr>
          <w:rFonts w:ascii="Arial" w:hAnsi="Arial"/>
          <w:i/>
          <w:color w:val="000000"/>
          <w:sz w:val="20"/>
        </w:rPr>
        <w:t>Interest Income</w:t>
      </w:r>
    </w:p>
    <w:p>
      <w:pPr>
        <w:pStyle w:val="TextBody"/>
        <w:bidi w:val="0"/>
        <w:spacing w:before="0" w:after="200"/>
        <w:jc w:val="left"/>
        <w:rPr>
          <w:rFonts w:ascii="Arial" w:hAnsi="Arial"/>
          <w:color w:val="000000"/>
          <w:sz w:val="20"/>
        </w:rPr>
      </w:pPr>
      <w:r>
        <w:rPr>
          <w:rFonts w:ascii="Arial" w:hAnsi="Arial"/>
          <w:color w:val="000000"/>
          <w:sz w:val="20"/>
        </w:rPr>
        <w:t>Interest income was $2.9 million for the three months ended March 31, 2025, compared to $5.9 million for the three months ended March 31, 2024, a decrease of $3.0 million or 50.8%. The decrease in interest income was primarily attributable to the decrease in our cash balance as a result of spending cash on our share repurchase program and the acquisition of Sertifi.</w:t>
      </w:r>
    </w:p>
    <w:p>
      <w:pPr>
        <w:pStyle w:val="TextBody"/>
        <w:bidi w:val="0"/>
        <w:spacing w:before="0" w:after="200"/>
        <w:jc w:val="left"/>
        <w:rPr>
          <w:rFonts w:ascii="Times New Roman" w:hAnsi="Times New Roman"/>
          <w:sz w:val="20"/>
        </w:rPr>
      </w:pPr>
      <w:r>
        <w:rPr>
          <w:rFonts w:ascii="Arial" w:hAnsi="Arial"/>
          <w:i/>
          <w:color w:val="000000"/>
          <w:sz w:val="20"/>
        </w:rPr>
        <w:t>Gain (loss) from Remeasurement of Foreign Currency</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Gain (loss) from remeasurement of foreign currency was $3.6 million for the three months ended March 31, 2025, compared to $(4.4) million for the three months ended March 31, 2024, an increase of $8.0 million or 181.8%. The increase was primarily the result of the remeasurement of foreign currency intercompany loans and impact of fluctuations in exchange rates during respective remeasurement periods.</w:t>
      </w:r>
    </w:p>
    <w:p>
      <w:pPr>
        <w:pStyle w:val="TextBody"/>
        <w:bidi w:val="0"/>
        <w:spacing w:before="0" w:after="200"/>
        <w:jc w:val="left"/>
        <w:rPr>
          <w:rFonts w:ascii="Arial" w:hAnsi="Arial"/>
          <w:i/>
          <w:color w:val="000000"/>
          <w:sz w:val="20"/>
        </w:rPr>
      </w:pPr>
      <w:r>
        <w:rPr>
          <w:rFonts w:ascii="Arial" w:hAnsi="Arial"/>
          <w:i/>
          <w:color w:val="000000"/>
          <w:sz w:val="20"/>
        </w:rPr>
        <w:t>Gain on available-for-sale debt securities</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Gain from sale of available-for-sale debt securities was $0.2 million for the three months ended March 31, 2025 compared to no gain, as there were no available-for-sale debt security investments during the three months ended March 31, 2024.</w:t>
      </w:r>
    </w:p>
    <w:p>
      <w:pPr>
        <w:pStyle w:val="TextBody"/>
        <w:bidi w:val="0"/>
        <w:spacing w:before="0" w:after="200"/>
        <w:jc w:val="left"/>
        <w:rPr>
          <w:rFonts w:ascii="Times New Roman" w:hAnsi="Times New Roman"/>
          <w:sz w:val="20"/>
        </w:rPr>
      </w:pPr>
      <w:r>
        <w:rPr>
          <w:rFonts w:ascii="Arial" w:hAnsi="Arial"/>
          <w:i/>
          <w:color w:val="000000"/>
          <w:sz w:val="20"/>
        </w:rPr>
        <w:t>(Benefit from) Provision for Income Taxes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(Benefit from) provision for income taxes was $(0.9) million during the three months ended March 31, 2025, compared to $1.6 million during the three months ended March 31, 2024, an increase of $2.5 million or 156.3%.The income tax benefit for the three months ended March 31, 2025, was driven by the Company's pre-tax loss position in the period. The income tax provision for the three months ended March 31, 2024 was primarily attributable to activity in the Company's foreign subsidiaries and U.S. state taxes.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Our effective tax rate was 17.5 % for the three months ended March 31, 2025, compared to (35.1%) for the three months ended March 31, 2024.</w:t>
      </w:r>
    </w:p>
    <w:p>
      <w:pPr>
        <w:pStyle w:val="TextBody"/>
        <w:bidi w:val="0"/>
        <w:spacing w:before="0" w:after="200"/>
        <w:jc w:val="left"/>
        <w:rPr>
          <w:rFonts w:ascii="Times New Roman" w:hAnsi="Times New Roman"/>
          <w:sz w:val="20"/>
        </w:rPr>
      </w:pPr>
      <w:r>
        <w:rPr>
          <w:rFonts w:ascii="Arial" w:hAnsi="Arial"/>
          <w:b/>
          <w:color w:val="000000"/>
          <w:sz w:val="20"/>
        </w:rPr>
        <w:t>Key Operating Metrics and Non-GAAP Financial Measures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tbl>
      <w:tblPr>
        <w:tblW w:w="6027" w:type="dxa"/>
        <w:jc w:val="left"/>
        <w:tblInd w:w="0" w:type="dxa"/>
        <w:tblLayout w:type="fixed"/>
        <w:tblCellMar>
          <w:top w:w="28" w:type="dxa"/>
          <w:left w:w="28" w:type="dxa"/>
          <w:bottom w:w="28" w:type="dxa"/>
          <w:right w:w="28" w:type="dxa"/>
        </w:tblCellMar>
      </w:tblPr>
      <w:tblGrid>
        <w:gridCol w:w="3001"/>
        <w:gridCol w:w="146"/>
        <w:gridCol w:w="228"/>
        <w:gridCol w:w="813"/>
        <w:gridCol w:w="309"/>
        <w:gridCol w:w="158"/>
        <w:gridCol w:w="228"/>
        <w:gridCol w:w="813"/>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8,371.0</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color w:val="000000"/>
          <w:sz w:val="20"/>
        </w:rPr>
      </w:pPr>
      <w:r>
        <w:rPr>
          <w:rFonts w:ascii="Arial" w:hAnsi="Arial"/>
          <w:color w:val="000000"/>
          <w:sz w:val="20"/>
        </w:rPr>
        <w:t>For the three months ended March 31, 2025, transaction revenue and platform and other revenues represented 81.3% and 18.7% of our revenue, respectively. For the three months ended March 31, 2025, transaction revenue and platform and other revenues represented 84.0% and 16.0% of our total revenue less ancillary services, respectively. For the three months ended March 31, 2024, transaction revenue and platform and other revenues represented 83.4% and 16.6% of our revenue, respectively. For the three months ended March 31, 2024, transaction revenue and platform and other revenues represented 86.1% and 13.9% of our total revenue less ancillary services, respectively.</w:t>
      </w:r>
    </w:p>
    <w:p>
      <w:pPr>
        <w:pStyle w:val="TextBody"/>
        <w:bidi w:val="0"/>
        <w:spacing w:before="0" w:after="200"/>
        <w:jc w:val="left"/>
        <w:rPr>
          <w:rFonts w:ascii="Arial" w:hAnsi="Arial"/>
          <w:color w:val="000000"/>
          <w:sz w:val="20"/>
        </w:rPr>
      </w:pPr>
      <w:r>
        <w:rPr>
          <w:rFonts w:ascii="Arial" w:hAnsi="Arial"/>
          <w:color w:val="000000"/>
          <w:sz w:val="20"/>
        </w:rPr>
        <w:t>For the three months ended March 31, 2025, our total payment volume was approximately $8.4 billion, consisting of $6.4 billion of total payment volume from transactions included in transaction revenue, and $2.0 billion of total payment volume from transactions included in platform and other revenues. For the three months ended March 31, 2024, our total payment volume was approximately $7.0 billion, consisting of $5.0 billion of total payment volume from transactions included in transaction revenue, and $2.0 billion of total payment volume from transactions included in platform and other revenues.</w:t>
      </w:r>
    </w:p>
    <w:p>
      <w:pPr>
        <w:pStyle w:val="TextBody"/>
        <w:bidi w:val="0"/>
        <w:spacing w:before="0" w:after="200"/>
        <w:jc w:val="left"/>
        <w:rPr>
          <w:rFonts w:ascii="Arial" w:hAnsi="Arial"/>
          <w:b/>
          <w:i/>
          <w:color w:val="000000"/>
          <w:sz w:val="20"/>
        </w:rPr>
      </w:pPr>
      <w:r>
        <w:rPr>
          <w:rFonts w:ascii="Arial" w:hAnsi="Arial"/>
          <w:b/>
          <w:i/>
          <w:color w:val="000000"/>
          <w:sz w:val="20"/>
        </w:rPr>
        <w:t>Revenue Less Ancillary Services, FX Neutral Revenue Less Ancillary Services, Adjusted Gross Profit, Adjusted Gross Margin, EBITDA, Adjusted EBITDA, Adjusted EBITDA Margin and Non-GAAP Operating Expenses</w:t>
      </w:r>
    </w:p>
    <w:p>
      <w:pPr>
        <w:pStyle w:val="TextBody"/>
        <w:bidi w:val="0"/>
        <w:spacing w:before="0" w:after="200"/>
        <w:jc w:val="left"/>
        <w:rPr>
          <w:rFonts w:ascii="Times New Roman" w:hAnsi="Times New Roman"/>
          <w:sz w:val="20"/>
        </w:rPr>
      </w:pPr>
      <w:r>
        <w:rPr>
          <w:rFonts w:ascii="Arial" w:hAnsi="Arial"/>
          <w:color w:val="000000"/>
          <w:sz w:val="20"/>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period-to-period comparisons. There are limitations to the use of the non-GAAP financial measures presented here. Our non-GAAP financial measures may not be comparable to similarly titled measures of other companies. Other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companies, including companies in our industry, may calculate non-GAAP financial measures differently than we do, limiting the usefulness of those measures for comparative purposes.</w:t>
      </w:r>
    </w:p>
    <w:p>
      <w:pPr>
        <w:pStyle w:val="TextBody"/>
        <w:bidi w:val="0"/>
        <w:jc w:val="left"/>
        <w:rPr>
          <w:rFonts w:ascii="Arial" w:hAnsi="Arial"/>
          <w:color w:val="000000"/>
          <w:sz w:val="20"/>
        </w:rPr>
      </w:pPr>
      <w:r>
        <w:rPr>
          <w:rFonts w:ascii="Arial" w:hAnsi="Arial"/>
          <w:color w:val="000000"/>
          <w:sz w:val="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i/>
          <w:color w:val="000000"/>
          <w:sz w:val="20"/>
        </w:rPr>
        <w:t>Revenue Less Ancillary Services</w:t>
      </w:r>
      <w:r>
        <w:rPr>
          <w:color w:val="000000"/>
        </w:rPr>
        <w:t xml:space="preserve"> </w:t>
      </w:r>
      <w:r>
        <w:rPr>
          <w:rFonts w:ascii="Arial" w:hAnsi="Arial"/>
          <w:color w:val="000000"/>
          <w:sz w:val="20"/>
        </w:rPr>
        <w:t>-</w:t>
      </w:r>
      <w:r>
        <w:rPr>
          <w:color w:val="000000"/>
        </w:rPr>
        <w:t xml:space="preserve"> </w:t>
      </w:r>
      <w:r>
        <w:rPr>
          <w:rFonts w:ascii="Arial" w:hAnsi="Arial"/>
          <w:color w:val="000000"/>
          <w:sz w:val="20"/>
        </w:rPr>
        <w:t xml:space="preserve">Revenue Less Ancillary Services represents our consolidated revenue in accordance with GAAP less (i) pass-through cost for printing and mailing services and (ii) marketing fees. We exclude these amounts to arrive at this supplemental non-GAAP financial measure as we view these services as ancillary to the primary services we provide to our clients.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i/>
          <w:color w:val="000000"/>
          <w:sz w:val="20"/>
        </w:rPr>
        <w:t xml:space="preserve">FX Neutral Revenue Less Ancillary Services </w:t>
      </w:r>
      <w:r>
        <w:rPr>
          <w:rFonts w:ascii="Arial" w:hAnsi="Arial"/>
          <w:color w:val="000000"/>
          <w:sz w:val="20"/>
        </w:rPr>
        <w:t>- FX Neutral Revenue Less Ancillary Services represents Revenue Less Ancillary Services adjusted to show presentation on a FX Neutral basis. The constant currency information presented is calculated by translating current period results using prior period weighted average foreign currency exchange rates. We analyze FX Neutral Revenue Less Ancillary Services to provide a comparable framework for assessing how the business performed excluding the effect of foreign currency fluctuations.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i/>
          <w:color w:val="000000"/>
          <w:sz w:val="20"/>
        </w:rPr>
        <w:t>Adjusted Gross Profit</w:t>
      </w:r>
      <w:r>
        <w:rPr>
          <w:color w:val="000000"/>
        </w:rPr>
        <w:t xml:space="preserve"> </w:t>
      </w:r>
      <w:r>
        <w:rPr>
          <w:rFonts w:ascii="Arial" w:hAnsi="Arial"/>
          <w:color w:val="000000"/>
          <w:sz w:val="20"/>
        </w:rPr>
        <w:t>-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i/>
          <w:color w:val="000000"/>
          <w:sz w:val="20"/>
        </w:rPr>
        <w:t xml:space="preserve">Adjusted Gross Margin - </w:t>
      </w:r>
      <w:r>
        <w:rPr>
          <w:rFonts w:ascii="Arial" w:hAnsi="Arial"/>
          <w:color w:val="000000"/>
          <w:sz w:val="20"/>
        </w:rPr>
        <w:t xml:space="preserve">Adjusted Gross Margin represents Adjusted Gross Profit divided by Revenue Less Ancillary Services. Management believes this presentation supplements the GAAP presentation of gross margin with a useful measure of the gross margin of our payment-related services, which are the primary services we provide to our clients.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i/>
          <w:color w:val="000000"/>
          <w:sz w:val="20"/>
        </w:rPr>
        <w:t xml:space="preserve">EBITDA - </w:t>
      </w:r>
      <w:r>
        <w:rPr>
          <w:rFonts w:ascii="Arial" w:hAnsi="Arial"/>
          <w:color w:val="000000"/>
          <w:sz w:val="20"/>
        </w:rPr>
        <w:t>EBITDA represents our consolidated net income (loss) in accordance with GAAP adjusted to include (i) interest expense, (ii) interest income, (iii) (benefit from) provision for income taxes and (iv) depreciation and amortization.</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i/>
          <w:color w:val="000000"/>
          <w:sz w:val="20"/>
        </w:rPr>
        <w:t xml:space="preserve">Adjusted EBITDA </w:t>
      </w:r>
      <w:r>
        <w:rPr>
          <w:rFonts w:ascii="Arial" w:hAnsi="Arial"/>
          <w:color w:val="000000"/>
          <w:sz w:val="20"/>
        </w:rPr>
        <w:t>-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and (viii) gain (loss) from investments. Management believes that the exclusion of these amounts to calculate Adjusted EBITDA provides useful measures for period-to-period comparisons of our business.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i/>
          <w:color w:val="000000"/>
          <w:sz w:val="20"/>
        </w:rPr>
        <w:t>Adjusted EBITDA Margin</w:t>
      </w:r>
      <w:r>
        <w:rPr>
          <w:color w:val="000000"/>
        </w:rPr>
        <w:t xml:space="preserve"> </w:t>
      </w:r>
      <w:r>
        <w:rPr>
          <w:rFonts w:ascii="Arial" w:hAnsi="Arial"/>
          <w:color w:val="000000"/>
          <w:sz w:val="20"/>
        </w:rPr>
        <w:t>- Adjusted EBITDA Margin represents Adjusted EBITDA divided by Revenue Less Ancillary Services. Management believes this presentation supplements the GAAP presentation of gross margin with a useful measure of the gross margin of our payment-related services, which are the primary services we provide to our clients.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Non-GAAP Operating Expenses - Non-GAAP Operating Expenses represents GAAP Operating Expenses adjusted by excluding (i) stock-based compensation expense and related payroll taxes, (ii) depreciation and amortization, (iii) acquisition related transaction costs, (iv) employee retention costs, such as incentive compensation associated with acquisition activities, (v) the impact from the change in fair value measurement for contingent consideration associated with acquisitions and (vi) restructuring.</w:t>
      </w:r>
    </w:p>
    <w:p>
      <w:pPr>
        <w:pStyle w:val="TextBody"/>
        <w:bidi w:val="0"/>
        <w:spacing w:before="200" w:after="283"/>
        <w:jc w:val="left"/>
        <w:rPr>
          <w:rFonts w:ascii="Times New Roman" w:hAnsi="Times New Roman"/>
          <w:sz w:val="20"/>
        </w:rPr>
      </w:pPr>
      <w:r>
        <w:rPr>
          <w:rFonts w:ascii="Arial" w:hAnsi="Arial"/>
          <w:color w:val="000000"/>
          <w:sz w:val="20"/>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Adjusted Gross Profit, Adjusted Gross Margin, FX Neutral Revenue Less Ancillary Services, EBITDA, Adjusted EBITDA, Adjusted EBITDA Margin and Non-GAAP Operating Expenses to the most directly comparable GAAP financial measure are presented below. We encourage you to review these reconciliations in conjunction with the presentation of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 non-GAAP financial measures for each of the periods presented. In future fiscal periods, we may exclude such items and may incur income and expenses similar to these excluded items.</w:t>
      </w:r>
    </w:p>
    <w:p>
      <w:pPr>
        <w:pStyle w:val="TextBody"/>
        <w:bidi w:val="0"/>
        <w:spacing w:before="200" w:after="200"/>
        <w:jc w:val="left"/>
        <w:rPr>
          <w:rFonts w:ascii="Times New Roman" w:hAnsi="Times New Roman"/>
          <w:sz w:val="20"/>
        </w:rPr>
      </w:pPr>
      <w:r>
        <w:rPr>
          <w:rFonts w:ascii="Arial" w:hAnsi="Arial"/>
          <w:b/>
          <w:i/>
          <w:color w:val="000000"/>
          <w:sz w:val="20"/>
        </w:rPr>
        <w:t>Reconciliations of Non-GAAP Financial Measures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pStyle w:val="TextBody"/>
        <w:bidi w:val="0"/>
        <w:spacing w:before="200" w:after="200"/>
        <w:jc w:val="left"/>
        <w:rPr>
          <w:rFonts w:ascii="Arial" w:hAnsi="Arial"/>
          <w:i/>
          <w:color w:val="000000"/>
          <w:sz w:val="20"/>
        </w:rPr>
      </w:pPr>
      <w:r>
        <w:rPr>
          <w:rFonts w:ascii="Arial" w:hAnsi="Arial"/>
          <w:i/>
          <w:color w:val="000000"/>
          <w:sz w:val="20"/>
        </w:rPr>
        <w:t>Revenue Less Ancillary Services, Adjusted Gross Profit and Adjusted Gross Margin:</w:t>
      </w:r>
    </w:p>
    <w:tbl>
      <w:tblPr>
        <w:tblW w:w="10010" w:type="dxa"/>
        <w:jc w:val="left"/>
        <w:tblInd w:w="0" w:type="dxa"/>
        <w:tblLayout w:type="fixed"/>
        <w:tblCellMar>
          <w:top w:w="28" w:type="dxa"/>
          <w:left w:w="28" w:type="dxa"/>
          <w:bottom w:w="28" w:type="dxa"/>
          <w:right w:w="28" w:type="dxa"/>
        </w:tblCellMar>
      </w:tblPr>
      <w:tblGrid>
        <w:gridCol w:w="6826"/>
        <w:gridCol w:w="146"/>
        <w:gridCol w:w="265"/>
        <w:gridCol w:w="737"/>
        <w:gridCol w:w="360"/>
        <w:gridCol w:w="183"/>
        <w:gridCol w:w="265"/>
        <w:gridCol w:w="737"/>
        <w:gridCol w:w="491"/>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Hosting and amortization costs within technology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Exclude printing and mailing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Offset marketing fees against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Exclude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pPr>
      <w:r>
        <w:rPr/>
        <w:t> </w:t>
      </w:r>
    </w:p>
    <w:tbl>
      <w:tblPr>
        <w:tblW w:w="10205" w:type="dxa"/>
        <w:jc w:val="left"/>
        <w:tblInd w:w="0" w:type="dxa"/>
        <w:tblLayout w:type="fixed"/>
        <w:tblCellMar>
          <w:top w:w="28" w:type="dxa"/>
          <w:left w:w="28" w:type="dxa"/>
          <w:bottom w:w="28" w:type="dxa"/>
          <w:right w:w="28" w:type="dxa"/>
        </w:tblCellMar>
      </w:tblPr>
      <w:tblGrid>
        <w:gridCol w:w="1908"/>
        <w:gridCol w:w="146"/>
        <w:gridCol w:w="258"/>
        <w:gridCol w:w="718"/>
        <w:gridCol w:w="286"/>
        <w:gridCol w:w="146"/>
        <w:gridCol w:w="296"/>
        <w:gridCol w:w="679"/>
        <w:gridCol w:w="286"/>
        <w:gridCol w:w="146"/>
        <w:gridCol w:w="211"/>
        <w:gridCol w:w="586"/>
        <w:gridCol w:w="286"/>
        <w:gridCol w:w="146"/>
        <w:gridCol w:w="297"/>
        <w:gridCol w:w="679"/>
        <w:gridCol w:w="286"/>
        <w:gridCol w:w="146"/>
        <w:gridCol w:w="296"/>
        <w:gridCol w:w="679"/>
        <w:gridCol w:w="286"/>
        <w:gridCol w:w="146"/>
        <w:gridCol w:w="211"/>
        <w:gridCol w:w="586"/>
        <w:gridCol w:w="495"/>
      </w:tblGrid>
      <w:tr>
        <w:trPr/>
        <w:tc>
          <w:tcPr>
            <w:tcW w:w="1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 March 31,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 March 31, 2024</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Transaction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Platform and other revenues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Transaction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Platform and other revenues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Revenue</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95.2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114.1</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90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(0.3</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9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128.8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94.9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110.2</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9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Percentage of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spacing w:before="200" w:after="200"/>
        <w:jc w:val="left"/>
        <w:rPr>
          <w:rFonts w:ascii="Arial" w:hAnsi="Arial"/>
          <w:i/>
          <w:color w:val="000000"/>
          <w:sz w:val="20"/>
        </w:rPr>
      </w:pPr>
      <w:r>
        <w:rPr>
          <w:rFonts w:ascii="Arial" w:hAnsi="Arial"/>
          <w:i/>
          <w:color w:val="000000"/>
          <w:sz w:val="20"/>
        </w:rPr>
        <w:t>FX Neutral Revenue Less Ancillary Services:</w:t>
      </w:r>
    </w:p>
    <w:tbl>
      <w:tblPr>
        <w:tblW w:w="8035" w:type="dxa"/>
        <w:jc w:val="left"/>
        <w:tblInd w:w="0" w:type="dxa"/>
        <w:tblLayout w:type="fixed"/>
        <w:tblCellMar>
          <w:top w:w="28" w:type="dxa"/>
          <w:left w:w="28" w:type="dxa"/>
          <w:bottom w:w="28" w:type="dxa"/>
          <w:right w:w="28" w:type="dxa"/>
        </w:tblCellMar>
      </w:tblPr>
      <w:tblGrid>
        <w:gridCol w:w="3991"/>
        <w:gridCol w:w="146"/>
        <w:gridCol w:w="282"/>
        <w:gridCol w:w="784"/>
        <w:gridCol w:w="222"/>
        <w:gridCol w:w="195"/>
        <w:gridCol w:w="282"/>
        <w:gridCol w:w="784"/>
        <w:gridCol w:w="166"/>
        <w:gridCol w:w="146"/>
        <w:gridCol w:w="223"/>
        <w:gridCol w:w="483"/>
        <w:gridCol w:w="33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Growth</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Ancillary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Effects of foreign currency rate fluctuations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FX Neutral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EBITDA, Adjusted EBITDA and Adjusted EBITDA Margin:</w:t>
      </w:r>
    </w:p>
    <w:tbl>
      <w:tblPr>
        <w:tblW w:w="8038" w:type="dxa"/>
        <w:jc w:val="left"/>
        <w:tblInd w:w="0" w:type="dxa"/>
        <w:tblLayout w:type="fixed"/>
        <w:tblCellMar>
          <w:top w:w="28" w:type="dxa"/>
          <w:left w:w="28" w:type="dxa"/>
          <w:bottom w:w="28" w:type="dxa"/>
          <w:right w:w="28" w:type="dxa"/>
        </w:tblCellMar>
      </w:tblPr>
      <w:tblGrid>
        <w:gridCol w:w="4846"/>
        <w:gridCol w:w="146"/>
        <w:gridCol w:w="293"/>
        <w:gridCol w:w="668"/>
        <w:gridCol w:w="230"/>
        <w:gridCol w:w="397"/>
        <w:gridCol w:w="293"/>
        <w:gridCol w:w="668"/>
        <w:gridCol w:w="166"/>
        <w:gridCol w:w="33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(Benefit from)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(Gain) loss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Indirect taxes related to intercompany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 related transaction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bl>
    <w:p>
      <w:pPr>
        <w:pStyle w:val="TextBody"/>
        <w:pBdr>
          <w:bottom w:val="single" w:sz="6" w:space="1" w:color="000000"/>
        </w:pBdr>
        <w:bidi w:val="0"/>
        <w:spacing w:before="0" w:after="40"/>
        <w:jc w:val="left"/>
        <w:rPr/>
      </w:pPr>
      <w:r>
        <w:rPr/>
        <w:t> </w:t>
      </w:r>
    </w:p>
    <w:p>
      <w:pPr>
        <w:pStyle w:val="TextBody"/>
        <w:bidi w:val="0"/>
        <w:spacing w:before="0" w:after="80"/>
        <w:jc w:val="left"/>
        <w:rPr>
          <w:rFonts w:ascii="Arial" w:hAnsi="Arial"/>
          <w:color w:val="000000"/>
          <w:sz w:val="16"/>
        </w:rPr>
      </w:pPr>
      <w:r>
        <w:rPr>
          <w:rFonts w:ascii="Arial" w:hAnsi="Arial"/>
          <w:color w:val="000000"/>
          <w:sz w:val="16"/>
        </w:rPr>
        <w:t>(1)</w:t>
      </w:r>
    </w:p>
    <w:p>
      <w:pPr>
        <w:pStyle w:val="TextBody"/>
        <w:bidi w:val="0"/>
        <w:spacing w:before="0" w:after="80"/>
        <w:jc w:val="left"/>
        <w:rPr>
          <w:rFonts w:ascii="Arial" w:hAnsi="Arial"/>
          <w:color w:val="000000"/>
          <w:sz w:val="16"/>
        </w:rPr>
      </w:pPr>
      <w:r>
        <w:rPr>
          <w:rFonts w:ascii="Arial" w:hAnsi="Arial"/>
          <w:color w:val="000000"/>
          <w:sz w:val="16"/>
        </w:rPr>
        <w:t>Acquisition related transaction costs consisted of legal and advisory fees incurred in connection with the Sertifi acquisition.</w:t>
      </w:r>
    </w:p>
    <w:p>
      <w:pPr>
        <w:pStyle w:val="TextBody"/>
        <w:bidi w:val="0"/>
        <w:spacing w:before="120" w:after="200"/>
        <w:jc w:val="left"/>
        <w:rPr>
          <w:rFonts w:ascii="Arial" w:hAnsi="Arial"/>
          <w:i/>
          <w:color w:val="000000"/>
          <w:sz w:val="20"/>
        </w:rPr>
      </w:pPr>
      <w:r>
        <w:rPr>
          <w:rFonts w:ascii="Arial" w:hAnsi="Arial"/>
          <w:i/>
          <w:color w:val="000000"/>
          <w:sz w:val="20"/>
        </w:rPr>
        <w:t>Net Margin, EBITDA Margin, Adjusted EBITDA Margin and Adjusted EBITDA Margin:</w:t>
      </w:r>
    </w:p>
    <w:tbl>
      <w:tblPr>
        <w:tblW w:w="7107" w:type="dxa"/>
        <w:jc w:val="left"/>
        <w:tblInd w:w="0" w:type="dxa"/>
        <w:tblLayout w:type="fixed"/>
        <w:tblCellMar>
          <w:top w:w="28" w:type="dxa"/>
          <w:left w:w="28" w:type="dxa"/>
          <w:bottom w:w="28" w:type="dxa"/>
          <w:right w:w="28" w:type="dxa"/>
        </w:tblCellMar>
      </w:tblPr>
      <w:tblGrid>
        <w:gridCol w:w="3916"/>
        <w:gridCol w:w="146"/>
        <w:gridCol w:w="263"/>
        <w:gridCol w:w="730"/>
        <w:gridCol w:w="206"/>
        <w:gridCol w:w="356"/>
        <w:gridCol w:w="263"/>
        <w:gridCol w:w="730"/>
        <w:gridCol w:w="166"/>
        <w:gridCol w:w="33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EBITDA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margin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margin using RLAS (C/B)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EBITDA Margin (D/A)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 (E/A)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EBITDA Margin using RLAS (D/B)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 using RLAS (E/B)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pPr>
      <w:r>
        <w:rPr/>
        <w:t> </w:t>
      </w:r>
    </w:p>
    <w:p>
      <w:pPr>
        <w:pStyle w:val="TextBody"/>
        <w:bidi w:val="0"/>
        <w:spacing w:before="0" w:after="200"/>
        <w:jc w:val="left"/>
        <w:rPr>
          <w:rFonts w:ascii="Arial" w:hAnsi="Arial"/>
          <w:i/>
          <w:color w:val="000000"/>
          <w:sz w:val="20"/>
        </w:rPr>
      </w:pPr>
      <w:r>
        <w:rPr>
          <w:rFonts w:ascii="Arial" w:hAnsi="Arial"/>
          <w:i/>
          <w:color w:val="000000"/>
          <w:sz w:val="20"/>
        </w:rPr>
        <w:t>Reconciliation of GAAP Operating Expenses to Non-GAAP Operating Expenses:</w:t>
      </w:r>
    </w:p>
    <w:tbl>
      <w:tblPr>
        <w:tblW w:w="8271" w:type="dxa"/>
        <w:jc w:val="left"/>
        <w:tblInd w:w="0" w:type="dxa"/>
        <w:tblLayout w:type="fixed"/>
        <w:tblCellMar>
          <w:top w:w="28" w:type="dxa"/>
          <w:left w:w="28" w:type="dxa"/>
          <w:bottom w:w="28" w:type="dxa"/>
          <w:right w:w="28" w:type="dxa"/>
        </w:tblCellMar>
      </w:tblPr>
      <w:tblGrid>
        <w:gridCol w:w="5226"/>
        <w:gridCol w:w="146"/>
        <w:gridCol w:w="317"/>
        <w:gridCol w:w="723"/>
        <w:gridCol w:w="249"/>
        <w:gridCol w:w="219"/>
        <w:gridCol w:w="317"/>
        <w:gridCol w:w="723"/>
        <w:gridCol w:w="35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GAAP 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3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GAAP 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2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w:t>
            </w:r>
          </w:p>
        </w:tc>
        <w:tc>
          <w:tcPr>
            <w:tcW w:w="3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GAAP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 Acquisition related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w:t>
            </w:r>
          </w:p>
        </w:tc>
        <w:tc>
          <w:tcPr>
            <w:tcW w:w="3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b/>
          <w:color w:val="000000"/>
          <w:sz w:val="20"/>
        </w:rPr>
      </w:pPr>
      <w:r>
        <w:rPr>
          <w:rFonts w:ascii="Arial" w:hAnsi="Arial"/>
          <w:b/>
          <w:color w:val="000000"/>
          <w:sz w:val="20"/>
        </w:rPr>
        <w:t>Liquidity and Capital Resources</w:t>
      </w:r>
    </w:p>
    <w:p>
      <w:pPr>
        <w:pStyle w:val="TextBody"/>
        <w:bidi w:val="0"/>
        <w:spacing w:before="0" w:after="200"/>
        <w:jc w:val="left"/>
        <w:rPr>
          <w:rFonts w:ascii="Arial" w:hAnsi="Arial"/>
          <w:color w:val="000000"/>
          <w:sz w:val="20"/>
        </w:rPr>
      </w:pPr>
      <w:r>
        <w:rPr>
          <w:rFonts w:ascii="Arial" w:hAnsi="Arial"/>
          <w:color w:val="000000"/>
          <w:sz w:val="20"/>
        </w:rPr>
        <w:t>As of March 31, 2025, our principal source of liquidity is cash and cash equivalents of $190.5 million, short-term available-for-sale debt securities of $64.8 million and the available balance under our 2024 Revolving Credit Facility of $65.0 million. Cash equivalents is comprised primarily of money market funds and bank deposits. Our short-term available-for-sale debt securities are comprised of corporate bonds, U.S. Government obligations and asset backed securities.</w:t>
      </w:r>
    </w:p>
    <w:p>
      <w:pPr>
        <w:pStyle w:val="TextBody"/>
        <w:bidi w:val="0"/>
        <w:spacing w:before="0" w:after="200"/>
        <w:jc w:val="left"/>
        <w:rPr>
          <w:rFonts w:ascii="Times New Roman" w:hAnsi="Times New Roman"/>
          <w:sz w:val="20"/>
        </w:rPr>
      </w:pPr>
      <w:r>
        <w:rPr>
          <w:rFonts w:ascii="Arial" w:hAnsi="Arial"/>
          <w:color w:val="000000"/>
          <w:sz w:val="20"/>
        </w:rPr>
        <w:t>On August 6, 2024, the Company announced a share repurchase program of up to $150 million of outstanding voting and non-voting common stock for an indefinite period as part of the Company’s Repurchase Program. For additional information on our Repurchase Program, see</w:t>
      </w:r>
      <w:r>
        <w:rPr>
          <w:rFonts w:ascii="Times New Roman" w:hAnsi="Times New Roman"/>
          <w:color w:val="000000"/>
          <w:sz w:val="20"/>
        </w:rPr>
        <w:t xml:space="preserve"> </w:t>
      </w:r>
      <w:r>
        <w:rPr>
          <w:rFonts w:ascii="Arial" w:hAnsi="Arial"/>
          <w:i/>
          <w:color w:val="000000"/>
          <w:sz w:val="20"/>
        </w:rPr>
        <w:t>Note 13- Stockholders’ Equity</w:t>
      </w:r>
      <w:r>
        <w:rPr>
          <w:rFonts w:ascii="Times New Roman" w:hAnsi="Times New Roman"/>
          <w:color w:val="000000"/>
          <w:sz w:val="20"/>
        </w:rPr>
        <w:t xml:space="preserve"> </w:t>
      </w:r>
      <w:r>
        <w:rPr>
          <w:rFonts w:ascii="Arial" w:hAnsi="Arial"/>
          <w:color w:val="000000"/>
          <w:sz w:val="20"/>
        </w:rPr>
        <w:t>in our condensed consolidated financial statements included elsewhere in this Quarterly Report on Form 10-Q. During the three months ended March 31, 2025, the Company repurchased 3,562,643 shares of its common stock for an aggregate amount, including commissions and accrued excise tax, of $48.4 million under the Repurchase Program. The repurchased shares are currently being held as treasury stock. As of March 31, 2025, approximately $57.0 million of the originally authorized amount under the Repurchase Program remained available for future repurchases.</w:t>
      </w:r>
    </w:p>
    <w:p>
      <w:pPr>
        <w:pStyle w:val="TextBody"/>
        <w:bidi w:val="0"/>
        <w:spacing w:before="0" w:after="200"/>
        <w:jc w:val="left"/>
        <w:rPr>
          <w:rFonts w:ascii="Arial" w:hAnsi="Arial"/>
          <w:color w:val="000000"/>
          <w:sz w:val="20"/>
        </w:rPr>
      </w:pPr>
      <w:r>
        <w:rPr>
          <w:rFonts w:ascii="Arial" w:hAnsi="Arial"/>
          <w:color w:val="000000"/>
          <w:sz w:val="20"/>
        </w:rPr>
        <w:t>On February 23, 2024, we entered into our 2024 Revolving Credit Facility for a total commitment of $125.0 million, which replaced the Revolving Credit Facility of $50.0 that was in effect as of December 31, 2023. During the three months ended March 31, 2025, we drew down $125.0 million under the 2024 Revolving Credit Facility in connection with the acquisition of Sertifi. During the three months ended March 31, 2025, we repaid 65.0 million against the 2024 Revolving Credit Facility. The outstanding balance of the 2024 Revolving Credit Facility was $60.0 million at March 31, 2025. There was no outstanding balance of the 2024 Revolving Credit Facility at December 31, 2024.</w:t>
      </w:r>
    </w:p>
    <w:p>
      <w:pPr>
        <w:pStyle w:val="TextBody"/>
        <w:bidi w:val="0"/>
        <w:spacing w:before="0" w:after="200"/>
        <w:jc w:val="left"/>
        <w:rPr>
          <w:rFonts w:ascii="Arial" w:hAnsi="Arial"/>
          <w:color w:val="000000"/>
          <w:sz w:val="20"/>
        </w:rPr>
      </w:pPr>
      <w:r>
        <w:rPr>
          <w:rFonts w:ascii="Arial" w:hAnsi="Arial"/>
          <w:color w:val="000000"/>
          <w:sz w:val="20"/>
        </w:rPr>
        <w:t>On August 14, 2023 and September 12, 2023, we completed our follow-on public offering which resulted in aggregate net proceeds of $260.1 million, after underwriting discounts and commissions of $10.9 million and other issuance costs of $1.1 million.</w:t>
      </w:r>
    </w:p>
    <w:p>
      <w:pPr>
        <w:pStyle w:val="TextBody"/>
        <w:bidi w:val="0"/>
        <w:spacing w:before="0" w:after="200"/>
        <w:jc w:val="left"/>
        <w:rPr>
          <w:rFonts w:ascii="Times New Roman" w:hAnsi="Times New Roman"/>
          <w:sz w:val="20"/>
        </w:rPr>
      </w:pPr>
      <w:r>
        <w:rPr>
          <w:rFonts w:ascii="Arial" w:hAnsi="Arial"/>
          <w:color w:val="000000"/>
          <w:sz w:val="20"/>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bidi w:val="0"/>
        <w:spacing w:before="0" w:after="200"/>
        <w:jc w:val="left"/>
        <w:rPr>
          <w:rFonts w:ascii="Arial" w:hAnsi="Arial"/>
          <w:b/>
          <w:i/>
          <w:color w:val="000000"/>
          <w:sz w:val="20"/>
        </w:rPr>
      </w:pPr>
      <w:r>
        <w:rPr>
          <w:rFonts w:ascii="Arial" w:hAnsi="Arial"/>
          <w:b/>
          <w:i/>
          <w:color w:val="000000"/>
          <w:sz w:val="20"/>
        </w:rPr>
        <w:t>Cash Flows</w:t>
      </w:r>
    </w:p>
    <w:p>
      <w:pPr>
        <w:pStyle w:val="TextBody"/>
        <w:bidi w:val="0"/>
        <w:spacing w:before="0" w:after="200"/>
        <w:jc w:val="left"/>
        <w:rPr>
          <w:rFonts w:ascii="Arial" w:hAnsi="Arial"/>
          <w:color w:val="000000"/>
          <w:sz w:val="20"/>
        </w:rPr>
      </w:pPr>
      <w:r>
        <w:rPr>
          <w:rFonts w:ascii="Arial" w:hAnsi="Arial"/>
          <w:color w:val="000000"/>
          <w:sz w:val="20"/>
        </w:rPr>
        <w:t>The following table sets forth a summary of our cash flow information for the periods presented:</w:t>
      </w:r>
    </w:p>
    <w:tbl>
      <w:tblPr>
        <w:tblW w:w="8776" w:type="dxa"/>
        <w:jc w:val="left"/>
        <w:tblInd w:w="0" w:type="dxa"/>
        <w:tblLayout w:type="fixed"/>
        <w:tblCellMar>
          <w:top w:w="28" w:type="dxa"/>
          <w:left w:w="28" w:type="dxa"/>
          <w:bottom w:w="28" w:type="dxa"/>
          <w:right w:w="28" w:type="dxa"/>
        </w:tblCellMar>
      </w:tblPr>
      <w:tblGrid>
        <w:gridCol w:w="5611"/>
        <w:gridCol w:w="146"/>
        <w:gridCol w:w="280"/>
        <w:gridCol w:w="857"/>
        <w:gridCol w:w="220"/>
        <w:gridCol w:w="193"/>
        <w:gridCol w:w="280"/>
        <w:gridCol w:w="718"/>
        <w:gridCol w:w="47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decrease in cash,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(304.7</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Net cash used in operating activities consists of net loss adjusted for certain non-cash items and changes in other assets and liabilities.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During the three months ended March 31, 2025, net cash used by operating activities of $78.9 million was primarily the result of net loss of $4.2 million, adjusted for non-cash expenses of $25.0 million, which primarily included stock-based compensation expenses of $18.2 million and depreciation and amortization of $5.5 million, offset by $99.7 million related to changes in our operating assets and liabilities, net of acquisitions.</w:t>
      </w:r>
    </w:p>
    <w:p>
      <w:pPr>
        <w:pStyle w:val="TextBody"/>
        <w:bidi w:val="0"/>
        <w:spacing w:before="0" w:after="200"/>
        <w:jc w:val="left"/>
        <w:rPr>
          <w:rFonts w:ascii="Arial" w:hAnsi="Arial"/>
          <w:color w:val="000000"/>
          <w:sz w:val="20"/>
        </w:rPr>
      </w:pPr>
      <w:r>
        <w:rPr>
          <w:rFonts w:ascii="Arial" w:hAnsi="Arial"/>
          <w:color w:val="000000"/>
          <w:sz w:val="20"/>
        </w:rPr>
        <w:t>During the three months ended March 31, 2024, cash used in operating activities of $38.1 million was primarily the result of net loss of $6.2 million adjusted for non-cash expenses of $18.3 million, which primarily include stock-based compensation expenses of $14.8 million and depreciation and amortization of $4.3 million, offset by changes in our operating assets and liabilities of $50.2 million.</w:t>
      </w:r>
    </w:p>
    <w:p>
      <w:pPr>
        <w:pStyle w:val="TextBody"/>
        <w:bidi w:val="0"/>
        <w:spacing w:before="0" w:after="200"/>
        <w:jc w:val="left"/>
        <w:rPr>
          <w:rFonts w:ascii="Arial" w:hAnsi="Arial"/>
          <w:color w:val="000000"/>
          <w:sz w:val="20"/>
        </w:rPr>
      </w:pPr>
      <w:r>
        <w:rPr>
          <w:rFonts w:ascii="Arial" w:hAnsi="Arial"/>
          <w:color w:val="000000"/>
          <w:sz w:val="20"/>
        </w:rPr>
        <w:t>Net cash used in operating activities was $78.9 million during the three months ended March 31, 2025, compared to $38.1 million during the three months ended March 31, 2024. The decrease of $40.8 million in our net cash used in operating activities was primarily related to a net decrease in our operating assets and liabilities, net of acquisitions of $99.7 million during the three months ended March 31, 2025, compared to a net decrease of $50.2 million during the three months ended March 31, 2024. This decrease was driven by an increase in funds payable to clients of $24.4 million compared to the prior year period primarily as a result of the timing of payments to our clients in the applicable period, a decrease in funds receivable from payment partners of $11.9 million, as a result of the timing of collections from our partners in the applicable period and a decrease in prepaid expense, other current assets and other assets of $11.0 million, as a result of the timing of payments for certain prepaid subscriptions and other receivables. The timing of payments to our clients will vary from period to period based on when our client’s customer payment for a particular transaction is made and when we are contractually required to remit such payment to our client. The timing of collections from our partners will vary from period to period based on when our clients’ customer payment for a particular transaction is made, as well as the customer’s payment method which impacts the timing of settlement of the payment. This net increase in cash used in operating activities was also impacted by our operating cash flows from our net income (after adjustments for an increase in non-cash expenses of $5.3 million) which increased by $6.7 million for the three months ended March 31, 2025, compared to the prior period, reflective of the growth in transaction payment volumes, from both our existing clients and new clients and gains in foreign currency translation remeasurement of foreign currency, offset by increases in our costs and operating expenses, the largest of which was our payment processing services costs.</w:t>
      </w:r>
    </w:p>
    <w:p>
      <w:pPr>
        <w:pStyle w:val="TextBody"/>
        <w:bidi w:val="0"/>
        <w:spacing w:before="0" w:after="200"/>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During the three months ended March 31, 2025, cash used in investing activities of $237.9 million was primarily the result of our acquisition of Sertifi for cash purchase consideration of $319.8 million, net of cash acquired and purchase of short-term and long-term investments for $15.3 million, offset by the proceeds from the maturity and sale of short and long-term investments of $98.7 million.</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During the three months ended March 31, 2024, cash used in investing activities of $1.5 million was the result of approximately $1.3 million of capitalization of internally developed software and approximately $0.3 million of purchase of property and equipment.</w:t>
      </w:r>
    </w:p>
    <w:p>
      <w:pPr>
        <w:pStyle w:val="TextBody"/>
        <w:bidi w:val="0"/>
        <w:spacing w:before="0" w:after="200"/>
        <w:jc w:val="left"/>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During the three months ended March 31, 2025, cash provided by financing activities of $11.6 million was primarily the result of drawdowns from our 2024 Credit Facility of $125.0 million offset by the repayment of $65.0 million on our 2024 Credit Facility and common stock repurchase under our share repurchase program of $49.3 million.</w:t>
      </w:r>
    </w:p>
    <w:p>
      <w:pPr>
        <w:pStyle w:val="TextBody"/>
        <w:bidi w:val="0"/>
        <w:spacing w:before="0" w:after="200"/>
        <w:jc w:val="left"/>
        <w:rPr>
          <w:rFonts w:ascii="Arial" w:hAnsi="Arial"/>
          <w:color w:val="000000"/>
          <w:sz w:val="20"/>
        </w:rPr>
      </w:pPr>
      <w:r>
        <w:rPr>
          <w:rFonts w:ascii="Arial" w:hAnsi="Arial"/>
          <w:color w:val="000000"/>
          <w:sz w:val="20"/>
        </w:rPr>
        <w:t>During the three months ended March 31, 2024, cash provided by financing activities of $2.2 million was the result of proceeds from exercise of stock options of $1.6 million, proceeds from issuance of stock under the ESPP of $1.4 million, offset by payments of debt issuance costs of $0.8 million.</w:t>
      </w:r>
    </w:p>
    <w:p>
      <w:pPr>
        <w:pStyle w:val="TextBody"/>
        <w:bidi w:val="0"/>
        <w:spacing w:before="0" w:after="200"/>
        <w:jc w:val="left"/>
        <w:rPr>
          <w:rFonts w:ascii="Arial" w:hAnsi="Arial"/>
          <w:color w:val="000000"/>
          <w:sz w:val="20"/>
        </w:rPr>
      </w:pPr>
      <w:r>
        <w:rPr>
          <w:rFonts w:ascii="Arial" w:hAnsi="Arial"/>
          <w:color w:val="000000"/>
          <w:sz w:val="20"/>
        </w:rPr>
        <w:t>As of March 31, 2025 and 2024, there was $60.0 million and $0.0 million outstanding indebtedness under the 2024 Revolving Credit Facility, respectively.</w:t>
      </w:r>
    </w:p>
    <w:p>
      <w:pPr>
        <w:pStyle w:val="TextBody"/>
        <w:bidi w:val="0"/>
        <w:spacing w:before="0" w:after="200"/>
        <w:jc w:val="left"/>
        <w:rPr>
          <w:rFonts w:ascii="Arial" w:hAnsi="Arial"/>
          <w:b/>
          <w:color w:val="000000"/>
          <w:sz w:val="20"/>
        </w:rPr>
      </w:pPr>
      <w:r>
        <w:rPr>
          <w:rFonts w:ascii="Arial" w:hAnsi="Arial"/>
          <w:b/>
          <w:color w:val="000000"/>
          <w:sz w:val="20"/>
        </w:rPr>
        <w:t>Critical Accounting Policies</w:t>
      </w:r>
    </w:p>
    <w:p>
      <w:pPr>
        <w:pStyle w:val="TextBody"/>
        <w:bidi w:val="0"/>
        <w:spacing w:before="0" w:after="200"/>
        <w:jc w:val="left"/>
        <w:rPr>
          <w:rFonts w:ascii="Arial" w:hAnsi="Arial"/>
          <w:color w:val="000000"/>
          <w:sz w:val="20"/>
        </w:rPr>
      </w:pPr>
      <w:r>
        <w:rPr>
          <w:rFonts w:ascii="Arial" w:hAnsi="Arial"/>
          <w:color w:val="000000"/>
          <w:sz w:val="20"/>
        </w:rPr>
        <w:t>Our condensed consolidated financial statements and the related notes thereto included elsewhere in this Quarterly Report on Form 10-Q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00"/>
        <w:jc w:val="left"/>
        <w:rPr>
          <w:rFonts w:ascii="Times New Roman" w:hAnsi="Times New Roman"/>
          <w:sz w:val="20"/>
        </w:rPr>
      </w:pPr>
      <w:r>
        <w:rPr>
          <w:rFonts w:ascii="Arial" w:hAnsi="Arial"/>
          <w:color w:val="000000"/>
          <w:sz w:val="20"/>
        </w:rPr>
        <w:t xml:space="preserve">There have been no material changes to our critical accounting policies as compared to the critical accounting policies and estimates described in the </w:t>
      </w:r>
      <w:r>
        <w:rPr>
          <w:rFonts w:ascii="Arial" w:hAnsi="Arial"/>
          <w:i/>
          <w:color w:val="000000"/>
          <w:sz w:val="20"/>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20"/>
        </w:rPr>
        <w:t>section of our Annual Report on Form 10-K for the year ended December 31, 2024.</w:t>
      </w:r>
      <w:r>
        <w:rPr>
          <w:rFonts w:ascii="Times New Roman" w:hAnsi="Times New Roman"/>
          <w:color w:val="000000"/>
          <w:sz w:val="20"/>
        </w:rPr>
        <w:t xml:space="preserve"> </w:t>
      </w:r>
    </w:p>
    <w:p>
      <w:pPr>
        <w:pStyle w:val="TextBody"/>
        <w:bidi w:val="0"/>
        <w:spacing w:before="0" w:after="200"/>
        <w:jc w:val="left"/>
        <w:rPr>
          <w:rFonts w:ascii="Arial" w:hAnsi="Arial"/>
          <w:b/>
          <w:color w:val="000000"/>
          <w:sz w:val="20"/>
        </w:rPr>
      </w:pPr>
      <w:r>
        <w:rPr>
          <w:rFonts w:ascii="Arial" w:hAnsi="Arial"/>
          <w:b/>
          <w:color w:val="000000"/>
          <w:sz w:val="20"/>
        </w:rPr>
        <w:t>Recent Accounting Pronouncements</w:t>
      </w:r>
    </w:p>
    <w:p>
      <w:pPr>
        <w:pStyle w:val="TextBody"/>
        <w:bidi w:val="0"/>
        <w:spacing w:before="0" w:after="200"/>
        <w:jc w:val="left"/>
        <w:rPr>
          <w:rFonts w:ascii="Times New Roman" w:hAnsi="Times New Roman"/>
          <w:sz w:val="20"/>
        </w:rPr>
      </w:pPr>
      <w:r>
        <w:rPr>
          <w:rFonts w:ascii="Arial" w:hAnsi="Arial"/>
          <w:color w:val="000000"/>
          <w:sz w:val="20"/>
        </w:rPr>
        <w:t xml:space="preserve">We have reviewed all recently issued standards and have determined that, other than as disclosed in </w:t>
      </w:r>
      <w:r>
        <w:rPr>
          <w:rFonts w:ascii="Arial" w:hAnsi="Arial"/>
          <w:i/>
          <w:color w:val="000000"/>
          <w:sz w:val="20"/>
        </w:rPr>
        <w:t xml:space="preserve">Note 1 </w:t>
      </w:r>
      <w:r>
        <w:rPr>
          <w:rFonts w:ascii="Arial" w:hAnsi="Arial"/>
          <w:color w:val="000000"/>
          <w:sz w:val="20"/>
        </w:rPr>
        <w:t xml:space="preserve">- </w:t>
      </w:r>
      <w:r>
        <w:rPr>
          <w:rFonts w:ascii="Arial" w:hAnsi="Arial"/>
          <w:i/>
          <w:color w:val="000000"/>
          <w:sz w:val="20"/>
        </w:rPr>
        <w:t>Business Overview and Summary of Significant Accounting Policies</w:t>
      </w:r>
      <w:r>
        <w:rPr>
          <w:rFonts w:ascii="Times New Roman" w:hAnsi="Times New Roman"/>
          <w:color w:val="000000"/>
          <w:sz w:val="20"/>
        </w:rPr>
        <w:t xml:space="preserve"> </w:t>
      </w:r>
      <w:r>
        <w:rPr>
          <w:rFonts w:ascii="Arial" w:hAnsi="Arial"/>
          <w:color w:val="000000"/>
          <w:sz w:val="20"/>
        </w:rPr>
        <w:t>to our unaudited condensed consolidated financial statements appearing elsewhere in this Quarterly Report on Form 10-Q, such standards are not expected to have a material impact on our consolidated financial statements or do not otherwise apply to our operations.</w:t>
      </w:r>
    </w:p>
    <w:p>
      <w:pPr>
        <w:pStyle w:val="TextBody"/>
        <w:bidi w:val="0"/>
        <w:spacing w:before="160" w:after="200"/>
        <w:jc w:val="left"/>
        <w:rPr>
          <w:rFonts w:ascii="Arial" w:hAnsi="Arial"/>
          <w:b/>
          <w:color w:val="000000"/>
          <w:sz w:val="20"/>
        </w:rPr>
      </w:pPr>
      <w:bookmarkStart w:id="33" w:name="item_3_quantitative"/>
      <w:bookmarkEnd w:id="33"/>
      <w:r>
        <w:rPr>
          <w:rFonts w:ascii="Arial" w:hAnsi="Arial"/>
          <w:b/>
          <w:color w:val="000000"/>
          <w:sz w:val="20"/>
        </w:rPr>
        <w:t>Item 3. Quantitative and Qualitative Disclosures About Market Risk</w:t>
      </w:r>
    </w:p>
    <w:p>
      <w:pPr>
        <w:pStyle w:val="TextBody"/>
        <w:bidi w:val="0"/>
        <w:spacing w:before="0" w:after="200"/>
        <w:jc w:val="left"/>
        <w:rPr>
          <w:rFonts w:ascii="Arial" w:hAnsi="Arial"/>
          <w:color w:val="000000"/>
          <w:sz w:val="20"/>
        </w:rPr>
      </w:pPr>
      <w:r>
        <w:rPr>
          <w:rFonts w:ascii="Arial" w:hAnsi="Arial"/>
          <w:color w:val="000000"/>
          <w:sz w:val="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pStyle w:val="TextBody"/>
        <w:bidi w:val="0"/>
        <w:spacing w:before="0" w:after="200"/>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treasury bill, foreign agency securities, commercial paper, agency bond and asset-backed debt securities. An immediate 10% increase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or decrease in interest rates would not have a material effect on our financial position, resulting of operations or cash flows.</w:t>
      </w:r>
    </w:p>
    <w:p>
      <w:pPr>
        <w:pStyle w:val="TextBody"/>
        <w:bidi w:val="0"/>
        <w:spacing w:before="200" w:after="283"/>
        <w:jc w:val="left"/>
        <w:rPr>
          <w:rFonts w:ascii="Arial" w:hAnsi="Arial"/>
          <w:color w:val="000000"/>
          <w:sz w:val="20"/>
        </w:rPr>
      </w:pPr>
      <w:r>
        <w:rPr>
          <w:rFonts w:ascii="Arial" w:hAnsi="Arial"/>
          <w:color w:val="000000"/>
          <w:sz w:val="20"/>
        </w:rPr>
        <w:t>We are also exposed to interest rate risk related to our 2024 Revolving Credit Facility. Our 2024 Revolving Credit Facility consists of ABR borrowings or Term SOFR borrowings, at our option.</w:t>
      </w:r>
    </w:p>
    <w:p>
      <w:pPr>
        <w:pStyle w:val="TextBody"/>
        <w:bidi w:val="0"/>
        <w:spacing w:before="200" w:after="283"/>
        <w:jc w:val="left"/>
        <w:rPr>
          <w:rFonts w:ascii="Times New Roman" w:hAnsi="Times New Roman"/>
          <w:sz w:val="20"/>
        </w:rPr>
      </w:pPr>
      <w:r>
        <w:rPr>
          <w:rFonts w:ascii="Arial" w:hAnsi="Arial"/>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Revolving Credit Facility incurs a commitment fee ranging from 0.25% to 0.35% based upon our consolidated total net leverage ratio as of the most recent consolidated financial information assessed on the average available commitment.</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As of March 31, 2025, there was $60.0 million outstanding indebtedness under the 2024 Revolving Credit Facility. As of December 31, 2024, there was no outstanding indebtedness under the 2024 Revolving Credit Facility. An immediate 10% increase or decrease in interest rates would not have a material effect on our financial position, results of operations or cash flows.</w:t>
      </w:r>
    </w:p>
    <w:p>
      <w:pPr>
        <w:pStyle w:val="TextBody"/>
        <w:bidi w:val="0"/>
        <w:spacing w:before="0" w:after="200"/>
        <w:jc w:val="left"/>
        <w:rPr>
          <w:rFonts w:ascii="Times New Roman" w:hAnsi="Times New Roman"/>
          <w:sz w:val="20"/>
        </w:rPr>
      </w:pPr>
      <w:r>
        <w:rPr>
          <w:rFonts w:ascii="Arial" w:hAnsi="Arial"/>
          <w:color w:val="000000"/>
          <w:sz w:val="20"/>
        </w:rPr>
        <w:t>Information provided by the sensitivity analysis is not a prediction of future events and does not necessarily represent the actual changes that would occur.</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0"/>
        </w:rPr>
        <w:t>Foreign Currency Exchange Risk</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pStyle w:val="TextBody"/>
        <w:bidi w:val="0"/>
        <w:spacing w:before="200" w:after="283"/>
        <w:jc w:val="left"/>
        <w:rPr>
          <w:rFonts w:ascii="Arial" w:hAnsi="Arial"/>
          <w:color w:val="000000"/>
          <w:sz w:val="20"/>
        </w:rPr>
      </w:pPr>
      <w:r>
        <w:rPr>
          <w:rFonts w:ascii="Arial" w:hAnsi="Arial"/>
          <w:color w:val="000000"/>
          <w:sz w:val="20"/>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 British Pound, relative to the prior year, these foreign exchange impacts decreased our reported revenue in U.S. Dollars by approximately $(2.0) million compared to the prior year on a FX Neutral basis.</w:t>
      </w:r>
    </w:p>
    <w:p>
      <w:pPr>
        <w:pStyle w:val="TextBody"/>
        <w:bidi w:val="0"/>
        <w:spacing w:before="200" w:after="200"/>
        <w:jc w:val="left"/>
        <w:rPr>
          <w:rFonts w:ascii="Arial" w:hAnsi="Arial"/>
          <w:color w:val="000000"/>
          <w:sz w:val="20"/>
        </w:rPr>
      </w:pPr>
      <w:r>
        <w:rPr>
          <w:rFonts w:ascii="Arial" w:hAnsi="Arial"/>
          <w:color w:val="000000"/>
          <w:sz w:val="20"/>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condensed consolidated statements of operations and comprehensive loss. A potential change in foreign exchange rates of 10% from such remeasurement would have impacted income (loss) before income taxes by approximately $21.0 million and $24.7 million at March 31, 2025 and December 31, 2024, respectively.</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color w:val="000000"/>
          <w:sz w:val="20"/>
        </w:rPr>
        <w:t>Inflation Risk</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Inflation did not have a material effect on our cash flows and results of operations during the three months ended March 31, 2025. If our costs were to become subject to significant inflationary pressures, we may not be able to fully offset such higher costs through increase in prices of our product offerings.</w:t>
      </w:r>
    </w:p>
    <w:p>
      <w:pPr>
        <w:pStyle w:val="TextBody"/>
        <w:bidi w:val="0"/>
        <w:spacing w:before="160" w:after="283"/>
        <w:jc w:val="left"/>
        <w:rPr>
          <w:rFonts w:ascii="Arial" w:hAnsi="Arial"/>
          <w:b/>
          <w:color w:val="000000"/>
          <w:sz w:val="20"/>
        </w:rPr>
      </w:pPr>
      <w:bookmarkStart w:id="34" w:name="item_4"/>
      <w:bookmarkEnd w:id="34"/>
      <w:r>
        <w:rPr>
          <w:rFonts w:ascii="Arial" w:hAnsi="Arial"/>
          <w:b/>
          <w:color w:val="000000"/>
          <w:sz w:val="20"/>
        </w:rPr>
        <w:t>Item 4. Controls and Procedures</w:t>
      </w:r>
    </w:p>
    <w:p>
      <w:pPr>
        <w:pStyle w:val="TextBody"/>
        <w:bidi w:val="0"/>
        <w:spacing w:before="200" w:after="200"/>
        <w:jc w:val="left"/>
        <w:rPr>
          <w:rFonts w:ascii="Times New Roman" w:hAnsi="Times New Roman"/>
          <w:sz w:val="20"/>
        </w:rPr>
      </w:pPr>
      <w:r>
        <w:rPr>
          <w:rFonts w:ascii="Arial" w:hAnsi="Arial"/>
          <w:b/>
          <w:color w:val="000000"/>
          <w:sz w:val="20"/>
        </w:rPr>
        <w:t>Evaluation of Disclosure Controls and Procedures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March 31, 2025. The term “disclosure controls and procedures,” as defined in Rules 13a 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March 31, 2025, our disclosure controls and procedures were effective at the reasonable assurance level.</w:t>
      </w:r>
    </w:p>
    <w:p>
      <w:pPr>
        <w:pStyle w:val="TextBody"/>
        <w:bidi w:val="0"/>
        <w:spacing w:before="0" w:after="200"/>
        <w:jc w:val="left"/>
        <w:rPr>
          <w:rFonts w:ascii="Times New Roman" w:hAnsi="Times New Roman"/>
          <w:sz w:val="20"/>
        </w:rPr>
      </w:pPr>
      <w:r>
        <w:rPr>
          <w:rFonts w:ascii="Arial" w:hAnsi="Arial"/>
          <w:b/>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There were no changes in our internal control over financial reporting identified in connection with the evaluation required by Rule 13a- 15(d) and 15d-15(d) of the Exchange Act that occurred during the quarter ended March 31, 2025 that has materially affected, or is reasonably likely to materially affect, our internal control over financial reporting.</w:t>
      </w:r>
    </w:p>
    <w:p>
      <w:pPr>
        <w:pStyle w:val="TextBody"/>
        <w:bidi w:val="0"/>
        <w:spacing w:before="0" w:after="200"/>
        <w:jc w:val="left"/>
        <w:rPr>
          <w:rFonts w:ascii="Times New Roman" w:hAnsi="Times New Roman"/>
          <w:sz w:val="20"/>
        </w:rPr>
      </w:pPr>
      <w:r>
        <w:rPr>
          <w:rFonts w:ascii="Arial" w:hAnsi="Arial"/>
          <w:b/>
          <w:color w:val="000000"/>
          <w:sz w:val="20"/>
        </w:rPr>
        <w:t>Inherent Limitations on Effectiveness of Controls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00"/>
        <w:jc w:val="left"/>
        <w:rPr>
          <w:rFonts w:ascii="Arial" w:hAnsi="Arial"/>
          <w:b/>
          <w:color w:val="000000"/>
          <w:sz w:val="20"/>
        </w:rPr>
      </w:pPr>
      <w:bookmarkStart w:id="35" w:name="other_info"/>
      <w:bookmarkEnd w:id="35"/>
      <w:r>
        <w:rPr>
          <w:rFonts w:ascii="Arial" w:hAnsi="Arial"/>
          <w:b/>
          <w:color w:val="000000"/>
          <w:sz w:val="20"/>
        </w:rPr>
        <w:t>PART II - OTHER INFORMATION</w:t>
      </w:r>
    </w:p>
    <w:p>
      <w:pPr>
        <w:pStyle w:val="TextBody"/>
        <w:bidi w:val="0"/>
        <w:spacing w:before="0" w:after="200"/>
        <w:jc w:val="left"/>
        <w:rPr>
          <w:rFonts w:ascii="Arial" w:hAnsi="Arial"/>
          <w:b/>
          <w:color w:val="000000"/>
          <w:sz w:val="20"/>
        </w:rPr>
      </w:pPr>
      <w:bookmarkStart w:id="36" w:name="item_1"/>
      <w:bookmarkEnd w:id="36"/>
      <w:r>
        <w:rPr>
          <w:rFonts w:ascii="Arial" w:hAnsi="Arial"/>
          <w:b/>
          <w:color w:val="000000"/>
          <w:sz w:val="20"/>
        </w:rPr>
        <w:t>Item 1. Legal Proceedings</w:t>
      </w:r>
    </w:p>
    <w:p>
      <w:pPr>
        <w:pStyle w:val="TextBody"/>
        <w:bidi w:val="0"/>
        <w:spacing w:before="0" w:after="200"/>
        <w:jc w:val="left"/>
        <w:rPr>
          <w:rFonts w:ascii="Arial" w:hAnsi="Arial"/>
          <w:color w:val="000000"/>
          <w:sz w:val="20"/>
        </w:rPr>
      </w:pPr>
      <w:r>
        <w:rPr>
          <w:rFonts w:ascii="Arial" w:hAnsi="Arial"/>
          <w:color w:val="000000"/>
          <w:sz w:val="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200"/>
        <w:jc w:val="left"/>
        <w:rPr>
          <w:rFonts w:ascii="Arial" w:hAnsi="Arial"/>
          <w:color w:val="000000"/>
          <w:sz w:val="20"/>
        </w:rPr>
      </w:pPr>
      <w:r>
        <w:rPr>
          <w:rFonts w:ascii="Arial" w:hAnsi="Arial"/>
          <w:color w:val="000000"/>
          <w:sz w:val="20"/>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pStyle w:val="TextBody"/>
        <w:bidi w:val="0"/>
        <w:spacing w:before="0" w:after="200"/>
        <w:jc w:val="left"/>
        <w:rPr>
          <w:rFonts w:ascii="Times New Roman" w:hAnsi="Times New Roman"/>
          <w:sz w:val="20"/>
        </w:rPr>
      </w:pPr>
      <w:bookmarkStart w:id="37" w:name="item_1a"/>
      <w:bookmarkEnd w:id="37"/>
      <w:r>
        <w:rPr>
          <w:rFonts w:ascii="Arial" w:hAnsi="Arial"/>
          <w:b/>
          <w:color w:val="000000"/>
          <w:sz w:val="20"/>
        </w:rPr>
        <w:t>It</w:t>
      </w:r>
      <w:bookmarkStart w:id="38" w:name="item_1a_risk_factors_1"/>
      <w:bookmarkEnd w:id="38"/>
      <w:r>
        <w:rPr>
          <w:rFonts w:ascii="Arial" w:hAnsi="Arial"/>
          <w:b/>
          <w:color w:val="000000"/>
          <w:sz w:val="20"/>
        </w:rPr>
        <w:t>em 1A. Risk Factors</w:t>
      </w:r>
    </w:p>
    <w:p>
      <w:pPr>
        <w:pStyle w:val="TextBody"/>
        <w:bidi w:val="0"/>
        <w:spacing w:before="0" w:after="200"/>
        <w:jc w:val="left"/>
        <w:rPr>
          <w:rFonts w:ascii="Arial" w:hAnsi="Arial"/>
          <w:i/>
          <w:color w:val="000000"/>
          <w:sz w:val="20"/>
        </w:rPr>
      </w:pPr>
      <w:r>
        <w:rPr>
          <w:rFonts w:ascii="Arial" w:hAnsi="Arial"/>
          <w:i/>
          <w:color w:val="000000"/>
          <w:sz w:val="20"/>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pStyle w:val="TextBody"/>
        <w:bidi w:val="0"/>
        <w:spacing w:before="0" w:after="200"/>
        <w:jc w:val="left"/>
        <w:rPr>
          <w:rFonts w:ascii="Times New Roman" w:hAnsi="Times New Roman"/>
          <w:sz w:val="20"/>
        </w:rPr>
      </w:pPr>
      <w:r>
        <w:rPr>
          <w:rFonts w:ascii="Arial" w:hAnsi="Arial"/>
          <w:b/>
          <w:color w:val="000000"/>
          <w:sz w:val="20"/>
        </w:rPr>
        <w:t>Risk Factors Summary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summary of risks below is intended to provide an overview of the risks we face and should not be considered a substitute for the more fulsome risk factors discussed immediately following this summary.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Risks Related to Our Business and Industry</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have a history of operating losses and may not achieve or sustain profitability in the future.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have a short operating history at our current scale in a rapidly evolving industry.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We may experience quarterly fluctuations in operating results.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may be unable to retain our current clients, attract new clients, and increase the number of our clients’ customers that use our solutions or sell additional functionality to our clients.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Our operational and business portfolio reviews may not result in improvements to our financial performance, strategy, or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We may be unable to expand our direct and channel sales capabilities, grow our marketing reach and increase sales productivity.</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expect our revenue mix to vary over time, which could affect our gross profit, gross margin and results of operations.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financial and operating results are subject to seasonality and cyclicality.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are exposed to fluctuations in foreign currency exchange rates that could materially and adversely affect our cash flows and results of operations.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Certain of our key performance indicators are subject to inherent challenges in measurement.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business depends, in large part, on our proprietary network of global, regional, and local banking partners and our relationships with other third parties.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Our markets are highly competitive.</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estimates of market opportunity and our ability to capture a meaningful share of this payment volume may prove to be inaccurate.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Our education business may be adversely affected by decreases in enrollment or tuition, cutbacks in governmental financial support, limitations or other restrictions on student visas to international students or increased operating expenses for our clients.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healthcare industry is rapidly evolving.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travel business may be sensitive to events affecting the travel industry in general.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may be unable to enter or expand into new verticals or sub-verticals, including our B2B vertical.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There could be consolidation in the payment processing or enablement industry.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may be adversely impacted by worldwide global economic and political instability. </w:t>
      </w:r>
    </w:p>
    <w:p>
      <w:pPr>
        <w:pStyle w:val="TextBody"/>
        <w:bidi w:val="0"/>
        <w:spacing w:before="200" w:after="283"/>
        <w:jc w:val="left"/>
        <w:rPr>
          <w:rFonts w:ascii="Times New Roman" w:hAnsi="Times New Roman"/>
          <w:sz w:val="20"/>
        </w:rPr>
      </w:pPr>
      <w:r>
        <w:rPr>
          <w:rFonts w:ascii="Arial" w:hAnsi="Arial"/>
          <w:b/>
          <w:i/>
          <w:color w:val="000000"/>
          <w:sz w:val="20"/>
        </w:rPr>
        <w:t>Risks Related to Our Operations</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may not be able to scale our business quickly enough to meet our growing client base.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enable the transfer of large sums of funds to our clients daily and are subject to the risk of errors.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Volatility in the banking and financial services sectors may impact our bank partnerships and relationships, which could adversely affect our operations and liquidity.</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Our management of our operating funds and those of our clients may be reliant on a limited number of our banking partners and other financial institutions.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may be unable to maintain or expand our ability to offer a variety of local and international payments.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Improper or unauthorized use of, disclosure of, or access to personal or sensitive data could harm our reputation.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may fail to adapt and respond effectively to rapidly changing technology, evolving industry standards, changing regulations, and changing business needs, requirements, or preferences.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Changes to payment card networks fees or rules could harm our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If we lose key members of our management team or are unable to attract and retain executives and employees we need to support our operations and growth, our business may be harmed.</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20"/>
        </w:rPr>
        <w:t>Risks Related to Our Legal, Regulatory and Compliance Landscape</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Payments and other financial services-related regulations and oversight are material to our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are subject to governmental laws and requirements regarding economic and trade sanctions, AML, CFT and those applicable to a MSB.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are subject to governmental regulation and other legal obligations, particularly those related to privacy, data protection, information security, anti-corruption, anti-bribery, and similar laws. </w:t>
      </w:r>
    </w:p>
    <w:p>
      <w:pPr>
        <w:pStyle w:val="TextBody"/>
        <w:bidi w:val="0"/>
        <w:spacing w:before="200" w:after="283"/>
        <w:jc w:val="left"/>
        <w:rPr>
          <w:rFonts w:ascii="Times New Roman" w:hAnsi="Times New Roman"/>
          <w:sz w:val="20"/>
        </w:rPr>
      </w:pPr>
      <w:r>
        <w:rPr>
          <w:rFonts w:ascii="Arial" w:hAnsi="Arial"/>
          <w:b/>
          <w:i/>
          <w:color w:val="000000"/>
          <w:sz w:val="20"/>
        </w:rPr>
        <w:t>Risks Related to Being a Public Company</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may fail to continue to maintain proper effective internal control over financial reporting.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Estimates relating to our critical accounting policies may prove to be incorrect.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We will continue to incur increased costs as a public company. </w:t>
      </w:r>
    </w:p>
    <w:p>
      <w:pPr>
        <w:pStyle w:val="TextBody"/>
        <w:bidi w:val="0"/>
        <w:spacing w:before="200" w:after="283"/>
        <w:jc w:val="left"/>
        <w:rPr>
          <w:rFonts w:ascii="Times New Roman" w:hAnsi="Times New Roman"/>
          <w:sz w:val="20"/>
        </w:rPr>
      </w:pPr>
      <w:r>
        <w:rPr>
          <w:rFonts w:ascii="Arial" w:hAnsi="Arial"/>
          <w:b/>
          <w:i/>
          <w:color w:val="000000"/>
          <w:sz w:val="20"/>
        </w:rPr>
        <w:t>Risks Related to Ownership of Our Common Stock</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Raising additional capital may cause dilution to our existing stockholders, restrict our operations, or require us to relinquish rights to our intellectual property on unfavorable terms.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Our repurchase program may not achieve our goals or meet expectations.</w:t>
      </w:r>
    </w:p>
    <w:p>
      <w:pPr>
        <w:pStyle w:val="TextBody"/>
        <w:bidi w:val="0"/>
        <w:spacing w:before="200" w:after="200"/>
        <w:jc w:val="left"/>
        <w:rPr>
          <w:rFonts w:ascii="Times New Roman" w:hAnsi="Times New Roman"/>
          <w:sz w:val="20"/>
        </w:rPr>
      </w:pPr>
      <w:r>
        <w:rPr>
          <w:rFonts w:ascii="Arial" w:hAnsi="Arial"/>
          <w:b/>
          <w:color w:val="000000"/>
          <w:sz w:val="20"/>
        </w:rPr>
        <w:t>Risks Related to Our Business and Industry</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We have a history of operating losses and may not achieve or sustain profitability in the future.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We were incorporated in 2009 and although we have generated net income for the year ended December 31, 2024, we have incurred net losses in the past, and may continue to incur net losses in the future. We generated net income of $2.9 million for the year ended December 31, 2024, and generated net losses of $8.6 million and $39.3 million for the years ended December 31, 2023 and 2022, respectively, and net loss of $4.2 million during the three months ended March 31, 2025. In addition, as of March 31, 2025, we had an accumulated deficit of $175.0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and selectively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w:t>
      </w:r>
      <w:r>
        <w:rPr>
          <w:rFonts w:ascii="Times New Roman" w:hAnsi="Times New Roman"/>
          <w:color w:val="000000"/>
          <w:sz w:val="20"/>
        </w:rPr>
        <w:t xml:space="preserve"> </w:t>
      </w:r>
      <w:r>
        <w:rPr>
          <w:rFonts w:ascii="Arial" w:hAnsi="Arial"/>
          <w:color w:val="000000"/>
          <w:sz w:val="20"/>
        </w:rPr>
        <w:t>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In addition, we expect to continue to expend substantial management time, financial and other resources on:</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sales, marketing, relationship management and client support, including an expansion of our sales organization, and new client support and payer retention initiatives;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technology infrastructure, including systems architecture, scalability, availability, performance, and security;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technology development, including investments in our technology development team and the development of new solutions and new functionality;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expanding into more international markets;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retaining existing clients, attracting new clients and increasing the number of our clients’ customers that use our solutions;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acquisitions or strategic investments;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regulatory compliance and risk management;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general administration, including increased insurance, legal and accounting expenses associated with being a public company. </w:t>
      </w:r>
    </w:p>
    <w:p>
      <w:pPr>
        <w:pStyle w:val="TextBody"/>
        <w:bidi w:val="0"/>
        <w:spacing w:before="200" w:after="283"/>
        <w:jc w:val="left"/>
        <w:rPr>
          <w:rFonts w:ascii="Arial" w:hAnsi="Arial"/>
          <w:color w:val="000000"/>
          <w:sz w:val="20"/>
        </w:rPr>
      </w:pPr>
      <w:r>
        <w:rPr>
          <w:rFonts w:ascii="Arial" w:hAnsi="Arial"/>
          <w:color w:val="000000"/>
          <w:sz w:val="20"/>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pStyle w:val="TextBody"/>
        <w:bidi w:val="0"/>
        <w:spacing w:before="200" w:after="283"/>
        <w:jc w:val="left"/>
        <w:rPr>
          <w:rFonts w:ascii="Times New Roman" w:hAnsi="Times New Roman"/>
          <w:sz w:val="20"/>
        </w:rPr>
      </w:pPr>
      <w:r>
        <w:rPr>
          <w:rFonts w:ascii="Arial" w:hAnsi="Arial"/>
          <w:b/>
          <w:i/>
          <w:color w:val="000000"/>
          <w:sz w:val="20"/>
        </w:rPr>
        <w:t>We have a short operating history at our current scale in a rapidly and significantly evolving industry and, as a result, our past results may not be indicative of future operating performance.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future success will depend in large part upon our ability to,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cost-effectively acquire new clients, retain existing clients, increase the number of our clients’ customers that use our solutions and sell additional functionality to our clients;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and increase our market share;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avoid pricing pressure on our solutions which would compress our margins;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effectively market our solutions;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enhance our existing solutions and develop new solutions;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increase awareness of our brand and maintain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 new technologies, adapt to technology changes and evolving industry standards and to incorporate new technologies, such as artificial intelligence, into our solutions;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offer seamless experience for our clients and their customers, including all user facing attributes ranging from the user interface to client and customer support;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anticipate and respond to microeconomic and macroeconomic changes;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expand our solutions and geographic reach, including with respect to B2B and travel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decision to exit certain markets, or our inability to process payments from certain jurisdictions we had previously served;</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anticipate and effectively respond to changing trends and the preferences of clients and their customers;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compete effectively;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avoid interruptions in our business from information technology (IT) downtime, an inability to manage emerging technology risks (including those posed by generative AI or other tools), cybersecurity breaches, or labor stoppages;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effectively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effectively identify and manage risks, including foreign currency exchange risk;</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hire, integrate, and retain talented people at all levels of our organization;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maintain the quality of our technology infrastructure;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compliance with multiple, conflicting and changing governmental laws and regulations, including with respect to employment, tax, competition, workplace and sustainability and other social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pandemics, such as COVID-19, or other public health emergencies;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retain our existing proprietary global network of banking and other payment partners and add new banking and other payment partners to scale our business;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retain our existing technology partners that allow us to provide alternative payment methods and add new technology partners to scale our business. </w:t>
      </w:r>
    </w:p>
    <w:p>
      <w:pPr>
        <w:pStyle w:val="TextBody"/>
        <w:bidi w:val="0"/>
        <w:spacing w:before="200" w:after="283"/>
        <w:jc w:val="left"/>
        <w:rPr>
          <w:rFonts w:ascii="Arial" w:hAnsi="Arial"/>
          <w:color w:val="000000"/>
          <w:sz w:val="20"/>
        </w:rPr>
      </w:pPr>
      <w:r>
        <w:rPr>
          <w:rFonts w:ascii="Arial" w:hAnsi="Arial"/>
          <w:color w:val="000000"/>
          <w:sz w:val="20"/>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pStyle w:val="TextBody"/>
        <w:bidi w:val="0"/>
        <w:spacing w:before="200" w:after="283"/>
        <w:jc w:val="left"/>
        <w:rPr>
          <w:rFonts w:ascii="Times New Roman" w:hAnsi="Times New Roman"/>
          <w:sz w:val="20"/>
        </w:rPr>
      </w:pPr>
      <w:r>
        <w:rPr>
          <w:rFonts w:ascii="Arial" w:hAnsi="Arial"/>
          <w:b/>
          <w:i/>
          <w:color w:val="000000"/>
          <w:sz w:val="20"/>
        </w:rPr>
        <w:t>If we are unable to retain our current clients, attract new clients and increase the number of our clients’ customers that use our solutions or sell additional functionality to our clients, our revenue growth and operating results will be adversely affected.</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pStyle w:val="TextBody"/>
        <w:bidi w:val="0"/>
        <w:spacing w:before="200" w:after="283"/>
        <w:jc w:val="left"/>
        <w:rPr>
          <w:rFonts w:ascii="Times New Roman" w:hAnsi="Times New Roman"/>
          <w:sz w:val="20"/>
        </w:rPr>
      </w:pPr>
      <w:r>
        <w:rPr>
          <w:rFonts w:ascii="Arial" w:hAnsi="Arial"/>
          <w:color w:val="000000"/>
          <w:sz w:val="20"/>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functionality. If our efforts to sell additional functionality to our clients are not successful, our business and growth prospects would suffer.</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pStyle w:val="TextBody"/>
        <w:bidi w:val="0"/>
        <w:spacing w:before="200" w:after="283"/>
        <w:jc w:val="left"/>
        <w:rPr>
          <w:rFonts w:ascii="Times New Roman" w:hAnsi="Times New Roman"/>
          <w:sz w:val="20"/>
        </w:rPr>
      </w:pPr>
      <w:r>
        <w:rPr>
          <w:rFonts w:ascii="Arial" w:hAnsi="Arial"/>
          <w:b/>
          <w:i/>
          <w:color w:val="000000"/>
          <w:sz w:val="20"/>
        </w:rPr>
        <w:t>We may experience quarterly fluctuations in our operating results, as well as our key metrics, due to a number of factors which make our future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demand for our solutions and the number, volume and timing of payments processed;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timing of tuition payments;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actual or threatened government restrictions or related limitations or delays on the issuances of visas, such as recently enacted policies in Canada, Australia and the U.S.;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market acceptance of our current and future solutions;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revenue mix in a particular quarter;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mix of payment methods and currencies utilized by our clients’ customers in a particular quarter;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 slowdown or delay in spending on IT and software by our current and/or prospective clients;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sales cycles and performance of our direct and indirect sales force;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budgeting and implementation cycles of our current or potential clients;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foreign currency exchange rate fluctuations;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management, performance and expansion of our domestic and international operations;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rate of renewals of contracts with our clients;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changes in the competitive dynamics of our markets;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ability to control and predict costs, including our operating expenses;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clients delaying purchasing decisions, including in anticipation of new products or product enhancements by us or our competitors;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seasonality and cyclical nature of our business;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failure to successfully manage or integrate any acquisitions, including our most recent acquisitions of Sertifi, Cohort Go, StudyLink and Invoiced;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outcome or publicity surrounding any pending or threatened lawsuits or government investigations;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general economic and political conditions in our domestic and international markets, including heightened interest rates, imposition of tariffs, inflation and fluctuations in supply chains, regional or global economic recession, and restrictions on cross-border travel or commerce;</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changes in the level of scrutiny applied by regulators, clients and investors on our social impact efforts;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unexpected events, including those resulting from climate change, international or civil conflicts and wars, or other geopolitical events;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global pandemics, such as COVID-19, or other public health emergencies and the responses thereto. </w:t>
      </w:r>
    </w:p>
    <w:p>
      <w:pPr>
        <w:pStyle w:val="TextBody"/>
        <w:bidi w:val="0"/>
        <w:spacing w:before="200" w:after="283"/>
        <w:jc w:val="left"/>
        <w:rPr>
          <w:rFonts w:ascii="Times New Roman" w:hAnsi="Times New Roman"/>
          <w:sz w:val="20"/>
        </w:rPr>
      </w:pPr>
      <w:r>
        <w:rPr>
          <w:rFonts w:ascii="Arial" w:hAnsi="Arial"/>
          <w:color w:val="000000"/>
          <w:sz w:val="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pStyle w:val="TextBody"/>
        <w:bidi w:val="0"/>
        <w:spacing w:before="200" w:after="200"/>
        <w:jc w:val="left"/>
        <w:rPr>
          <w:rFonts w:ascii="Times New Roman" w:hAnsi="Times New Roman"/>
          <w:sz w:val="20"/>
        </w:rPr>
      </w:pPr>
      <w:r>
        <w:rPr>
          <w:rFonts w:ascii="Arial" w:hAnsi="Arial"/>
          <w:b/>
          <w:i/>
          <w:color w:val="000000"/>
          <w:sz w:val="20"/>
        </w:rPr>
        <w:t>Our restructuring plan may not yield its intended efficiencies and could strain resources, negatively impact workforce morale, and slow down execution of our strategic plans.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In February 2025, we announced a restructuring plan that is designed to improve operational efficiencies, reduce operating costs and better align our workforce with current business needs, top strategic priorities and key growth opportunities (Restructuring Plan). As part of the Restructuring Plan we have reduced our workforce by approximately 10%. This reduction in force, and any other future reductions, and the attrition that may occur following them could result in the loss of institutional knowledge and expertise and the reallocation and combination of certain roles and responsibilities across our company, all of which could adversely affect our operations. These actions and other additional measures we might take to reduce costs may potentially result in a strain our workforce, divert management attention, yield attrition beyond our intended reduction in force, negatively impact employee morale and productivity,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are implementing, though currently planned to be temporary, may negatively impact our ability to attract, integrate, retain and motivate highly qualified employees, make it difficult for us to pursue new opportunities and initiatives, and may harm our reputation with current or prospective employees.</w:t>
      </w:r>
    </w:p>
    <w:p>
      <w:pPr>
        <w:pStyle w:val="TextBody"/>
        <w:bidi w:val="0"/>
        <w:spacing w:before="0" w:after="200"/>
        <w:jc w:val="left"/>
        <w:rPr>
          <w:rFonts w:ascii="Arial" w:hAnsi="Arial"/>
          <w:b/>
          <w:i/>
          <w:color w:val="000000"/>
          <w:sz w:val="20"/>
        </w:rPr>
      </w:pPr>
      <w:r>
        <w:rPr>
          <w:rFonts w:ascii="Arial" w:hAnsi="Arial"/>
          <w:b/>
          <w:i/>
          <w:color w:val="000000"/>
          <w:sz w:val="20"/>
        </w:rPr>
        <w:t>Our operational and business portfolio reviews may not result in improvements to our financial performance, strategy, or operations, and we face a number of risks related to such reviews.</w:t>
      </w:r>
    </w:p>
    <w:p>
      <w:pPr>
        <w:pStyle w:val="TextBody"/>
        <w:bidi w:val="0"/>
        <w:jc w:val="left"/>
        <w:rPr>
          <w:rFonts w:ascii="Times New Roman" w:hAnsi="Times New Roman"/>
          <w:sz w:val="20"/>
        </w:rPr>
      </w:pPr>
      <w:r>
        <w:rPr>
          <w:rFonts w:ascii="Arial" w:hAnsi="Arial"/>
          <w:color w:val="000000"/>
          <w:sz w:val="20"/>
        </w:rPr>
        <w:t>We are currently undertaking a comprehensive operational and business portfolio review that is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strategic, operational, and financial benefits of any actions taken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pStyle w:val="TextBody"/>
        <w:bidi w:val="0"/>
        <w:spacing w:before="200" w:after="283"/>
        <w:jc w:val="left"/>
        <w:rPr>
          <w:rFonts w:ascii="Arial" w:hAnsi="Arial"/>
          <w:color w:val="000000"/>
          <w:sz w:val="20"/>
        </w:rPr>
      </w:pPr>
      <w:r>
        <w:rPr>
          <w:rFonts w:ascii="Arial" w:hAnsi="Arial"/>
          <w:color w:val="000000"/>
          <w:sz w:val="20"/>
        </w:rPr>
        <w:t>Our operational and business portfolio reviews are ongoing, and we are continuing to carefully consider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pStyle w:val="TextBody"/>
        <w:bidi w:val="0"/>
        <w:spacing w:before="200" w:after="200"/>
        <w:jc w:val="left"/>
        <w:rPr>
          <w:rFonts w:ascii="Times New Roman" w:hAnsi="Times New Roman"/>
          <w:sz w:val="20"/>
        </w:rPr>
      </w:pPr>
      <w:r>
        <w:rPr>
          <w:rFonts w:ascii="Arial" w:hAnsi="Arial"/>
          <w:b/>
          <w:i/>
          <w:color w:val="000000"/>
          <w:sz w:val="20"/>
        </w:rPr>
        <w:t>We expect our revenue mix to vary over time, which could affect our gross profit, gross margin and results of operations.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bidi w:val="0"/>
        <w:spacing w:before="200" w:after="283"/>
        <w:jc w:val="left"/>
        <w:rPr>
          <w:rFonts w:ascii="Times New Roman" w:hAnsi="Times New Roman"/>
          <w:sz w:val="20"/>
        </w:rPr>
      </w:pPr>
      <w:r>
        <w:rPr>
          <w:rFonts w:ascii="Arial" w:hAnsi="Arial"/>
          <w:b/>
          <w:i/>
          <w:color w:val="000000"/>
          <w:sz w:val="20"/>
        </w:rPr>
        <w:t>If our efforts to attract new clients and increase the number of our clients’ customers that use our solutions are unsuccessful, our revenue growth and operating results will be adversely affected.</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pStyle w:val="TextBody"/>
        <w:bidi w:val="0"/>
        <w:spacing w:before="200" w:after="283"/>
        <w:jc w:val="left"/>
        <w:rPr>
          <w:rFonts w:ascii="Times New Roman" w:hAnsi="Times New Roman"/>
          <w:sz w:val="20"/>
        </w:rPr>
      </w:pPr>
      <w:r>
        <w:rPr>
          <w:rFonts w:ascii="Arial" w:hAnsi="Arial"/>
          <w:b/>
          <w:i/>
          <w:color w:val="000000"/>
          <w:sz w:val="20"/>
        </w:rPr>
        <w:t>If we are unable to expand our direct and channel sales capabilities, grow our marketing reach and increase sales productivity, we may not be able to generate increased revenues.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Our business could be adversely affected if our clients or their customers are not satisfied with the timing or quality of implementation services provided by us or our partners.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Our financial and operating results are subject to seasonality and cyclicality.</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pStyle w:val="TextBody"/>
        <w:bidi w:val="0"/>
        <w:spacing w:before="200" w:after="283"/>
        <w:jc w:val="left"/>
        <w:rPr>
          <w:rFonts w:ascii="Times New Roman" w:hAnsi="Times New Roman"/>
          <w:sz w:val="20"/>
        </w:rPr>
      </w:pPr>
      <w:r>
        <w:rPr>
          <w:rFonts w:ascii="Arial" w:hAnsi="Arial"/>
          <w:b/>
          <w:i/>
          <w:color w:val="000000"/>
          <w:sz w:val="20"/>
        </w:rPr>
        <w:t>We are exposed to fluctuations in foreign currency exchange rates that could materially and adversely affect our results of operations.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three months ended March 31, 2025, as the U.S. Dollar weakened against several currencies, including the British Pound, relative to the prior year, these foreign exchange impacts decreased our reported revenue in U.S. Dollars by approximately $(2.0) million compared to the three months ended March 31, 2024 on a FX Neutral basis.</w:t>
      </w:r>
    </w:p>
    <w:p>
      <w:pPr>
        <w:pStyle w:val="TextBody"/>
        <w:bidi w:val="0"/>
        <w:spacing w:before="200" w:after="283"/>
        <w:jc w:val="left"/>
        <w:rPr>
          <w:rFonts w:ascii="Times New Roman" w:hAnsi="Times New Roman"/>
          <w:sz w:val="20"/>
        </w:rPr>
      </w:pPr>
      <w:r>
        <w:rPr>
          <w:rFonts w:ascii="Arial" w:hAnsi="Arial"/>
          <w:color w:val="000000"/>
          <w:sz w:val="20"/>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20"/>
        </w:rPr>
        <w:t>Certain of our key performance indicators are subject to inherent challenges in measurement, and real or perceived inaccuracies in such metrics may harm our reputation and negatively affect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Our business depends, in large part, on our proprietary network of global, regional and local banking partners.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 addition, our existing banking partners may at any time and from time to time cease serving certain categories of payments due to perceived risk or similar reasons as well as payments originating from, or being paid to, certain high-risk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pStyle w:val="TextBody"/>
        <w:bidi w:val="0"/>
        <w:spacing w:before="200" w:after="283"/>
        <w:jc w:val="left"/>
        <w:rPr>
          <w:rFonts w:ascii="Arial" w:hAnsi="Arial"/>
          <w:color w:val="000000"/>
          <w:sz w:val="20"/>
        </w:rPr>
      </w:pPr>
      <w:r>
        <w:rPr>
          <w:rFonts w:ascii="Arial" w:hAnsi="Arial"/>
          <w:color w:val="000000"/>
          <w:sz w:val="20"/>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pStyle w:val="TextBody"/>
        <w:bidi w:val="0"/>
        <w:spacing w:before="200" w:after="283"/>
        <w:jc w:val="left"/>
        <w:rPr>
          <w:rFonts w:ascii="Times New Roman" w:hAnsi="Times New Roman"/>
          <w:sz w:val="20"/>
        </w:rPr>
      </w:pPr>
      <w:r>
        <w:rPr>
          <w:rFonts w:ascii="Arial" w:hAnsi="Arial"/>
          <w:color w:val="000000"/>
          <w:sz w:val="20"/>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20"/>
        </w:rPr>
        <w:t>Our growth depends in part on the success of our relationships with other (non-banking) third parties.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The markets in which we participate are competitive, and if we do not compete effectively, our operating results could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pStyle w:val="TextBody"/>
        <w:bidi w:val="0"/>
        <w:spacing w:before="200" w:after="283"/>
        <w:jc w:val="left"/>
        <w:rPr>
          <w:rFonts w:ascii="Times New Roman" w:hAnsi="Times New Roman"/>
          <w:sz w:val="20"/>
        </w:rPr>
      </w:pPr>
      <w:r>
        <w:rPr>
          <w:rFonts w:ascii="Arial" w:hAnsi="Arial"/>
          <w:b/>
          <w:i/>
          <w:color w:val="000000"/>
          <w:sz w:val="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pStyle w:val="TextBody"/>
        <w:bidi w:val="0"/>
        <w:spacing w:before="200" w:after="283"/>
        <w:jc w:val="left"/>
        <w:rPr>
          <w:rFonts w:ascii="Times New Roman" w:hAnsi="Times New Roman"/>
          <w:sz w:val="20"/>
        </w:rPr>
      </w:pPr>
      <w:r>
        <w:rPr>
          <w:rFonts w:ascii="Arial" w:hAnsi="Arial"/>
          <w:b/>
          <w:i/>
          <w:color w:val="000000"/>
          <w:sz w:val="20"/>
        </w:rPr>
        <w:t>Our clients in the education sector may be adversely affected by decreases in enrollment, limitations or other restrictions on student visas, pressure on tuition costs, or increased operating expenses, which may reduce demand for our solutions.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Declines in international student enrollment. Global conflict, geopolitical tensions and restrictions on immigration and revocations, or increased limitations on the award of, student visas (such as those being implemented in the U.S., Canada and Australia) has and is expected to continue to negatively impact the cross-border education industry and schools that rely on foreign student populations.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Government supported institutions may experience losses or reduction in public funding. Many of our clients rely considerably upon public funding or support, which may not always be available due to budget constraints.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Changing perceptions about in-person classes. Students may reject the opportunity to attend courses in person, when online or virtual classes are offered as an option, due to growing familiarity and perceived convenience of remote learning or a lower price point for online classes.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Our clients’ rankings, reputation and marketing efforts strongly affect enrollments, none of which we control. If we fail to maintain or add clients with strong, stable reputations and rankings, they will fail to achieve consistent enrollments.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General economic conditions. Any contraction in the economy could be expected to reduce enrollment in higher education, whether by reducing funding, reducing corporate allowances for continuing education, general reductions in employment or savings or other factors. </w:t>
      </w:r>
    </w:p>
    <w:p>
      <w:pPr>
        <w:pStyle w:val="TextBody"/>
        <w:bidi w:val="0"/>
        <w:spacing w:before="200" w:after="283"/>
        <w:jc w:val="left"/>
        <w:rPr>
          <w:rFonts w:ascii="Times New Roman" w:hAnsi="Times New Roman"/>
          <w:sz w:val="20"/>
        </w:rPr>
      </w:pPr>
      <w:r>
        <w:rPr>
          <w:rFonts w:ascii="Arial" w:hAnsi="Arial"/>
          <w:color w:val="000000"/>
          <w:sz w:val="20"/>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 Sustained economic weakness in the United States or global economic conditions triggered by imposition of tariffs or other recessionary economic conditions, may disrupt international migration patterns, which are likely to reduce money transfer volumes and harm our operating results.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first quarter of 2025 and which we anticipate will continue to impact our Canada revenues in 2025.</w:t>
      </w:r>
    </w:p>
    <w:p>
      <w:pPr>
        <w:pStyle w:val="TextBody"/>
        <w:bidi w:val="0"/>
        <w:spacing w:before="200" w:after="283"/>
        <w:jc w:val="left"/>
        <w:rPr>
          <w:rFonts w:ascii="Times New Roman" w:hAnsi="Times New Roman"/>
          <w:sz w:val="20"/>
        </w:rPr>
      </w:pPr>
      <w:r>
        <w:rPr>
          <w:rFonts w:ascii="Arial" w:hAnsi="Arial"/>
          <w:color w:val="000000"/>
          <w:sz w:val="20"/>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These new Australian government policies, including university quotas, slower visa processing, higher fees, and stricter financial and language requirements, has had an adverse impact on our business in the first quarter of 2025 and we anticipate will continue to impact our Australian revenues in 2025.</w:t>
      </w:r>
    </w:p>
    <w:p>
      <w:pPr>
        <w:pStyle w:val="TextBody"/>
        <w:bidi w:val="0"/>
        <w:spacing w:before="200" w:after="200"/>
        <w:jc w:val="left"/>
        <w:rPr>
          <w:rFonts w:ascii="Arial" w:hAnsi="Arial"/>
          <w:color w:val="000000"/>
          <w:sz w:val="20"/>
        </w:rPr>
      </w:pPr>
      <w:r>
        <w:rPr>
          <w:rFonts w:ascii="Arial" w:hAnsi="Arial"/>
          <w:color w:val="000000"/>
          <w:sz w:val="20"/>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first quarter of 2025 due to shifting visa trends. In addition, in the first quarter of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 Changes to U.S. immigration policy and heightened trade tensions from the imposition of tariffs can also dampen demands for international study.</w:t>
      </w:r>
    </w:p>
    <w:p>
      <w:pPr>
        <w:pStyle w:val="TextBody"/>
        <w:bidi w:val="0"/>
        <w:jc w:val="left"/>
        <w:rPr>
          <w:rFonts w:ascii="Times New Roman" w:hAnsi="Times New Roman"/>
          <w:sz w:val="20"/>
        </w:rPr>
      </w:pPr>
      <w:r>
        <w:rPr>
          <w:rFonts w:ascii="Arial" w:hAnsi="Arial"/>
          <w:color w:val="000000"/>
          <w:sz w:val="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A number of recent actual and proposed U.S. policy changes and enforcement practices could reshape the U.S. higher education landscape, impacting students, our client educational institutions, and the wider educational framework in the United States.</w:t>
      </w:r>
    </w:p>
    <w:p>
      <w:pPr>
        <w:pStyle w:val="TextBody"/>
        <w:bidi w:val="0"/>
        <w:spacing w:before="200" w:after="283"/>
        <w:jc w:val="left"/>
        <w:rPr>
          <w:rFonts w:ascii="Arial" w:hAnsi="Arial"/>
          <w:color w:val="000000"/>
          <w:sz w:val="20"/>
        </w:rPr>
      </w:pPr>
      <w:r>
        <w:rPr>
          <w:rFonts w:ascii="Arial" w:hAnsi="Arial"/>
          <w:color w:val="000000"/>
          <w:sz w:val="20"/>
        </w:rPr>
        <w:t>In the first quarter of 2025, there have been a number of actions and policies proposed or taken which have unsettled the U.S. higher education sector, a historically significant source of clients and revenue for us. Any one or combination of these potential acts and policies coming to fruition or further developing – or even a perception or fear of occurrence – could negatively affect student enrollment at U.S. colleges and universities, lead to diminishing operating budgets, and adversely affect our business and operating results and financial condition. Among these proposed or actual policies 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Restrictions on issuances and revocations of student visas, and deportation of students studying in the U.S. High profile instances of students with traditionally protective immigration status being arrested, deported, or having their student visas revoked have drawn widespread media attention. There have similarly been proposals put forth to expand the scope of bans on visa issuances. Diplomatic tensions between the U.S. and other countries can evoke visa restrictions specifically targeting students which would impact their ability to study in the U.S. Changes in U.S. immigration regulations or other laws, practices and frequency or methods of enforcement which discourage immigration or international study could adversely affect our education</w:t>
      </w:r>
      <w:r>
        <w:rPr>
          <w:color w:val="000000"/>
        </w:rPr>
        <w:t xml:space="preserve"> </w:t>
      </w:r>
      <w:r>
        <w:rPr>
          <w:rFonts w:ascii="Arial" w:hAnsi="Arial"/>
          <w:color w:val="000000"/>
          <w:sz w:val="20"/>
        </w:rPr>
        <w:t>vertical or growth rate in the future. Reduced or disrupted international study patterns are likely to reduce the payment volumes we process and harm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Reductions in government funding. There have been a number of instances of actual or threatened withholdings of federal funding to U.S. institutions of higher learning in general as well as to higher-profile U.S. colleges and universities. While some schools have worked out a negotiated arrangement with the U.S. government to allow for funding to continue in whole or in part – subject to specified conditions – others have not, and unreconciled instances continue to create an environment of uncertainty. Changes at the federal level regarding education policy could have a ripple effect on state funding for higher education. This could result in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pPr>
      <w:r>
        <w:rPr>
          <w:rFonts w:ascii="Arial" w:hAnsi="Arial"/>
          <w:color w:val="000000"/>
          <w:sz w:val="20"/>
        </w:rPr>
        <w:t>financial uncertainty for public universities that rely on state support, potentially leading to tougher budgetary constraints. Any such reductions could adversely affect the financial health of colleges and universities, leading to diminished operational budgets, fewer student services, and declines in enrollment, which could reduce the demand for our services and negatively impact our operating results.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Cutbacks to, or elimination of, student loan programs and the U.S. Department of Education. Alterations in student loan regulations or a reduction in U.S. government support for loan programs – particularly for international study – could exacerbate the financial burden on students and their families and make the cost of attending college prohibitively expensive for families. This situation might discourage prospective students from enrolling, thereby affecting overall college attendance rates. We have historically, and expect to continue to, process U.S. student loan payments and a loss of these payment flows or a reduction in the number of students enrolling in higher education institutions that accept U.S. student loan payments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Public image and perception. The perception of these real or proposed policies – especially with respect to immigration and availability of student visas – and their potential to make it more challenging for international students to study in the United States could result in a significant drop in enrollment numbers. This decline would particularly impact our U.S. client institutions that rely heavily on tuition revenue generated from international students. In addition, other nations may implement more attractive visa policies, which could entice international students to choose educational opportunities outside of the United States. Although we have client institutions in countries around the world where international students may choose to study if they are increasingly uncomfortable studying in the U.S., the cost of attending a school in these jurisdictions may be significantly less than in the U.S., and our payment volumes may suffer as a result. </w:t>
      </w:r>
    </w:p>
    <w:p>
      <w:pPr>
        <w:pStyle w:val="TextBody"/>
        <w:bidi w:val="0"/>
        <w:spacing w:before="200" w:after="283"/>
        <w:jc w:val="left"/>
        <w:rPr>
          <w:rFonts w:ascii="Times New Roman" w:hAnsi="Times New Roman"/>
          <w:sz w:val="20"/>
        </w:rPr>
      </w:pPr>
      <w:r>
        <w:rPr>
          <w:rFonts w:ascii="Arial" w:hAnsi="Arial"/>
          <w:b/>
          <w:i/>
          <w:color w:val="000000"/>
          <w:sz w:val="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brought to market, we may lose existing clients or be unable to obtain new clients and our results of operations may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pStyle w:val="TextBody"/>
        <w:bidi w:val="0"/>
        <w:spacing w:before="200" w:after="200"/>
        <w:jc w:val="left"/>
        <w:rPr>
          <w:rFonts w:ascii="Times New Roman" w:hAnsi="Times New Roman"/>
          <w:sz w:val="20"/>
        </w:rPr>
      </w:pPr>
      <w:r>
        <w:rPr>
          <w:rFonts w:ascii="Arial" w:hAnsi="Arial"/>
          <w:b/>
          <w:i/>
          <w:color w:val="000000"/>
          <w:sz w:val="20"/>
        </w:rPr>
        <w:t>Our business serving clients in the travel sector may be sensitive to events affecting the travel industry in general.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recessionary trends, heightened interest rates and inflation.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such as the imposition of tariffs or sanctions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w:t>
      </w:r>
      <w:r>
        <w:rPr>
          <w:rFonts w:ascii="Times New Roman" w:hAnsi="Times New Roman"/>
          <w:color w:val="000000"/>
          <w:sz w:val="20"/>
        </w:rPr>
        <w:t xml:space="preserve"> </w:t>
      </w:r>
      <w:r>
        <w:rPr>
          <w:rFonts w:ascii="Arial" w:hAnsi="Arial"/>
          <w:color w:val="000000"/>
          <w:sz w:val="20"/>
        </w:rPr>
        <w:t>The payment volume from our travel vertical represented less than 10% of our total payment volume during the year ended December 31, 2024. Because we seek to grow the payment volume and the revenue from this vertical in the future through various initiatives, including the recently announced Sertifi acquisition, failure to grow our payment volume and resulting revenue from this industry, may have an adverse effect on our business, operating results and financial condition.</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20"/>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Our payment volume and resulting revenue from serving the B2B vertical is highly sensitive to restrictions on the cross-border commerce on which our clients rely, and declining economic conditions, increases in the costs or unavailability of imported goods and services due to imposition of tariffs, sanctions or other restrictions, could adversely affect our development of this vertical or our overall operating results and financial condition. The payment volume and resulting revenue from our B2B payment vertical during the year ended December 31, 2024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Consolidation in the payment processing or enablement industry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We may be adversely affected by global economic and political instability.</w:t>
      </w:r>
    </w:p>
    <w:p>
      <w:pPr>
        <w:pStyle w:val="TextBody"/>
        <w:bidi w:val="0"/>
        <w:spacing w:before="200" w:after="283"/>
        <w:jc w:val="left"/>
        <w:rPr>
          <w:rFonts w:ascii="Times New Roman" w:hAnsi="Times New Roman"/>
          <w:sz w:val="20"/>
        </w:rPr>
      </w:pPr>
      <w:r>
        <w:rPr>
          <w:rFonts w:ascii="Arial" w:hAnsi="Arial"/>
          <w:color w:val="000000"/>
          <w:sz w:val="20"/>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diplomatic and trade friction between Canada and India and the U.S. and countries such as Canada, Mexico and China, and the resulting impact on business continuity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pStyle w:val="TextBody"/>
        <w:bidi w:val="0"/>
        <w:spacing w:before="200" w:after="283"/>
        <w:jc w:val="left"/>
        <w:rPr>
          <w:rFonts w:ascii="Times New Roman" w:hAnsi="Times New Roman"/>
          <w:sz w:val="20"/>
        </w:rPr>
      </w:pPr>
      <w:r>
        <w:rPr>
          <w:rFonts w:ascii="Arial" w:hAnsi="Arial"/>
          <w:color w:val="000000"/>
          <w:sz w:val="20"/>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Although recent cease-fires have in some instances reduced hostilities, armed conflict is continuing and could intensify if cease-fires are not sustained, and conflict could spread between Israel and Iran, and also further affect Lebanon.</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Israel Defense Force (IDF), the national military of Israel, is a conscripted military service, subject to certain exceptions. Since the outbreak of hostilities,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pStyle w:val="TextBody"/>
        <w:bidi w:val="0"/>
        <w:spacing w:before="200" w:after="283"/>
        <w:jc w:val="left"/>
        <w:rPr>
          <w:rFonts w:ascii="Arial" w:hAnsi="Arial"/>
          <w:color w:val="000000"/>
          <w:sz w:val="20"/>
        </w:rPr>
      </w:pPr>
      <w:r>
        <w:rPr>
          <w:rFonts w:ascii="Arial" w:hAnsi="Arial"/>
          <w:color w:val="000000"/>
          <w:sz w:val="20"/>
        </w:rPr>
        <w:t>Shelter-in-place and work-from-home measures, government-imposed restrictions on movement and travel and other precautions taken to address the ongoing conflict may temporarily disrupt our employees’ ability to effectively perform their daily tasks.</w:t>
      </w:r>
    </w:p>
    <w:p>
      <w:pPr>
        <w:pStyle w:val="TextBody"/>
        <w:bidi w:val="0"/>
        <w:spacing w:before="200" w:after="283"/>
        <w:jc w:val="left"/>
        <w:rPr>
          <w:rFonts w:ascii="Arial" w:hAnsi="Arial"/>
          <w:color w:val="000000"/>
          <w:sz w:val="20"/>
        </w:rPr>
      </w:pPr>
      <w:r>
        <w:rPr>
          <w:rFonts w:ascii="Arial" w:hAnsi="Arial"/>
          <w:color w:val="000000"/>
          <w:sz w:val="20"/>
        </w:rPr>
        <w:t>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pStyle w:val="TextBody"/>
        <w:bidi w:val="0"/>
        <w:spacing w:before="200" w:after="283"/>
        <w:jc w:val="left"/>
        <w:rPr>
          <w:rFonts w:ascii="Arial" w:hAnsi="Arial"/>
          <w:color w:val="000000"/>
          <w:sz w:val="20"/>
        </w:rPr>
      </w:pPr>
      <w:r>
        <w:rPr>
          <w:rFonts w:ascii="Arial" w:hAnsi="Arial"/>
          <w:color w:val="000000"/>
          <w:sz w:val="20"/>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pStyle w:val="TextBody"/>
        <w:bidi w:val="0"/>
        <w:spacing w:before="200" w:after="283"/>
        <w:jc w:val="left"/>
        <w:rPr>
          <w:rFonts w:ascii="Times New Roman" w:hAnsi="Times New Roman"/>
          <w:sz w:val="20"/>
        </w:rPr>
      </w:pPr>
      <w:r>
        <w:rPr>
          <w:rFonts w:ascii="Arial" w:hAnsi="Arial"/>
          <w:color w:val="000000"/>
          <w:sz w:val="20"/>
        </w:rPr>
        <w:t>In addition, political tensions between the U.S. and countries, such as Canada, Mexico and China, have recently escalated due to, among other things, U.S. policy shifts, and could have an adverse effect on our operating results.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Since February 2025, the U.S. government has enacted, and continues to enact, a series of new tariffs, including a tariff on all imports and additional “reciprocal” tariffs targeting imports from specified countries. These tariffs and other changes in U.S. trade policy have triggered, and could continue to trigger, retaliatory actions by affected countries, including retaliatory measures other protectionist measures that could harm our business, results of operations and financial condition. The tariff policy environment has been and can be 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Any of these factors could have a material adverse effect on our business, prospects, financial condition and results of operations. We cannot assure you that, if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political tension between the U.S. and other countries intensifies and further regulations affecting our business are passed, our business will not be materially and adversely affected.</w:t>
      </w:r>
    </w:p>
    <w:p>
      <w:pPr>
        <w:pStyle w:val="TextBody"/>
        <w:bidi w:val="0"/>
        <w:spacing w:before="200" w:after="283"/>
        <w:jc w:val="left"/>
        <w:rPr>
          <w:rFonts w:ascii="Times New Roman" w:hAnsi="Times New Roman"/>
          <w:sz w:val="20"/>
        </w:rPr>
      </w:pPr>
      <w:r>
        <w:rPr>
          <w:rFonts w:ascii="Arial" w:hAnsi="Arial"/>
          <w:color w:val="000000"/>
          <w:sz w:val="20"/>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50 basis points on September 18, 2024,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color w:val="000000"/>
          <w:sz w:val="20"/>
        </w:rPr>
        <w:t>Risks Related to Our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We may not be able to scale our business quickly enough to meet our growing client base, and if we are not able to grow efficiently, our operating results could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enable the transfer of large sums of funds to our clients daily, and are subject to the risk of errors, which could result in financial losses, damage to our reputation, or loss of trust in our brand, which would harm our business and financial results.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For the year ended December 31, 2024, we processed over $29.7 billion in payments on our solutions, compared to over $24.0 billion for the year ended December 31, 2023. For the three months ended March 31, 2025, we processed approximately $8.4 billion in payments on our solutions.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pStyle w:val="TextBody"/>
        <w:bidi w:val="0"/>
        <w:jc w:val="left"/>
        <w:rPr>
          <w:rFonts w:ascii="Times New Roman" w:hAnsi="Times New Roman"/>
          <w:sz w:val="20"/>
        </w:rPr>
      </w:pPr>
      <w:r>
        <w:rPr>
          <w:rFonts w:ascii="Arial" w:hAnsi="Arial"/>
          <w:color w:val="000000"/>
          <w:sz w:val="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loss of clients or a reduction in use of our solutions by our clients’ customers;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lost or delayed market acceptance and acquisition of new clients;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legal claims against us;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regulatory enforcement action; or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diversion of our resources, including through increased service expenses or financial concessions, and increased insurance costs. </w:t>
      </w:r>
    </w:p>
    <w:p>
      <w:pPr>
        <w:pStyle w:val="TextBody"/>
        <w:bidi w:val="0"/>
        <w:spacing w:before="200" w:after="283"/>
        <w:jc w:val="left"/>
        <w:rPr>
          <w:rFonts w:ascii="Times New Roman" w:hAnsi="Times New Roman"/>
          <w:sz w:val="20"/>
        </w:rPr>
      </w:pPr>
      <w:r>
        <w:rPr>
          <w:rFonts w:ascii="Arial" w:hAnsi="Arial"/>
          <w:color w:val="000000"/>
          <w:sz w:val="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Our management of our operating funds and client funds may be reliant on a limited number of our banking partners and other financial institutions.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Our marketable securities portfolio is subject to credit, liquidity, market, and interest rate risks that could cause its value to decline significantly and materially adversely affect our business, financial condition, results of operations, and prospects.</w:t>
      </w:r>
    </w:p>
    <w:p>
      <w:pPr>
        <w:pStyle w:val="TextBody"/>
        <w:bidi w:val="0"/>
        <w:spacing w:before="0" w:after="200"/>
        <w:jc w:val="left"/>
        <w:rPr>
          <w:rFonts w:ascii="Arial" w:hAnsi="Arial"/>
          <w:color w:val="000000"/>
          <w:sz w:val="20"/>
        </w:rPr>
      </w:pPr>
      <w:r>
        <w:rPr>
          <w:rFonts w:ascii="Arial" w:hAnsi="Arial"/>
          <w:color w:val="000000"/>
          <w:sz w:val="20"/>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pStyle w:val="TextBody"/>
        <w:bidi w:val="0"/>
        <w:jc w:val="left"/>
        <w:rPr>
          <w:rFonts w:ascii="Arial" w:hAnsi="Arial"/>
          <w:b/>
          <w:i/>
          <w:color w:val="000000"/>
          <w:sz w:val="20"/>
        </w:rPr>
      </w:pPr>
      <w:r>
        <w:rPr>
          <w:rFonts w:ascii="Arial" w:hAnsi="Arial"/>
          <w:b/>
          <w:i/>
          <w:color w:val="000000"/>
          <w:sz w:val="20"/>
        </w:rPr>
        <w:t>Volatility in the banking and financial services ecosystems may impact our bank partnerships and relationships, which could adversely affect our operations and liquidity.</w:t>
      </w:r>
    </w:p>
    <w:p>
      <w:pPr>
        <w:pStyle w:val="TextBody"/>
        <w:bidi w:val="0"/>
        <w:spacing w:before="200" w:after="283"/>
        <w:jc w:val="left"/>
        <w:rPr>
          <w:rFonts w:ascii="Times New Roman" w:hAnsi="Times New Roman"/>
          <w:sz w:val="20"/>
        </w:rPr>
      </w:pPr>
      <w:r>
        <w:rPr>
          <w:rFonts w:ascii="Arial" w:hAnsi="Arial"/>
          <w:color w:val="000000"/>
          <w:sz w:val="20"/>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withdraw such funds in a timely manner, which could adversely affect our brand, business and results of operations, and may lead to regulatory or other claims or litigation, which may be costly to address.</w:t>
      </w:r>
    </w:p>
    <w:p>
      <w:pPr>
        <w:pStyle w:val="TextBody"/>
        <w:bidi w:val="0"/>
        <w:spacing w:before="200" w:after="283"/>
        <w:jc w:val="left"/>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200" w:after="283"/>
        <w:jc w:val="left"/>
        <w:rPr>
          <w:rFonts w:ascii="Times New Roman" w:hAnsi="Times New Roman"/>
          <w:sz w:val="20"/>
        </w:rPr>
      </w:pPr>
      <w:r>
        <w:rPr>
          <w:rFonts w:ascii="Arial" w:hAnsi="Arial"/>
          <w:b/>
          <w:i/>
          <w:color w:val="000000"/>
          <w:sz w:val="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proceedings or actions against us by the payment networks, governmental entities, clients, client customers or others and damage our reputation.</w:t>
      </w:r>
    </w:p>
    <w:p>
      <w:pPr>
        <w:pStyle w:val="TextBody"/>
        <w:bidi w:val="0"/>
        <w:spacing w:before="200" w:after="283"/>
        <w:jc w:val="left"/>
        <w:rPr>
          <w:rFonts w:ascii="Times New Roman" w:hAnsi="Times New Roman"/>
          <w:sz w:val="20"/>
        </w:rPr>
      </w:pPr>
      <w:r>
        <w:rPr>
          <w:rFonts w:ascii="Arial" w:hAnsi="Arial"/>
          <w:color w:val="000000"/>
          <w:sz w:val="20"/>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pStyle w:val="TextBody"/>
        <w:bidi w:val="0"/>
        <w:spacing w:before="200" w:after="283"/>
        <w:jc w:val="left"/>
        <w:rPr>
          <w:rFonts w:ascii="Times New Roman" w:hAnsi="Times New Roman"/>
          <w:sz w:val="20"/>
        </w:rPr>
      </w:pPr>
      <w:r>
        <w:rPr>
          <w:rFonts w:ascii="Arial" w:hAnsi="Arial"/>
          <w:color w:val="000000"/>
          <w:sz w:val="20"/>
        </w:rPr>
        <w:t>Additionally, it is also possible that unauthorized access to sensitive customer and business data may be obtained through inadequate use of security controls by our clients, suppliers or other vendors.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pStyle w:val="TextBody"/>
        <w:bidi w:val="0"/>
        <w:spacing w:before="200" w:after="283"/>
        <w:jc w:val="left"/>
        <w:rPr>
          <w:rFonts w:ascii="Times New Roman" w:hAnsi="Times New Roman"/>
          <w:sz w:val="20"/>
        </w:rPr>
      </w:pPr>
      <w:r>
        <w:rPr>
          <w:rFonts w:ascii="Arial" w:hAnsi="Arial"/>
          <w:color w:val="000000"/>
          <w:sz w:val="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Cyberattacks and security vulnerabilities can disrupt our business and harm our competitive position.</w:t>
      </w:r>
    </w:p>
    <w:p>
      <w:pPr>
        <w:pStyle w:val="TextBody"/>
        <w:bidi w:val="0"/>
        <w:spacing w:before="200" w:after="283"/>
        <w:jc w:val="left"/>
        <w:rPr>
          <w:rFonts w:ascii="Arial" w:hAnsi="Arial"/>
          <w:color w:val="000000"/>
          <w:sz w:val="20"/>
        </w:rPr>
      </w:pPr>
      <w:r>
        <w:rPr>
          <w:rFonts w:ascii="Arial" w:hAnsi="Arial"/>
          <w:color w:val="000000"/>
          <w:sz w:val="20"/>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pStyle w:val="TextBody"/>
        <w:bidi w:val="0"/>
        <w:spacing w:before="200" w:after="283"/>
        <w:jc w:val="left"/>
        <w:rPr>
          <w:rFonts w:ascii="Times New Roman" w:hAnsi="Times New Roman"/>
          <w:sz w:val="20"/>
        </w:rPr>
      </w:pPr>
      <w:r>
        <w:rPr>
          <w:rFonts w:ascii="Arial" w:hAnsi="Arial"/>
          <w:color w:val="000000"/>
          <w:sz w:val="20"/>
        </w:rPr>
        <w:t>Our business policies and internal security controls may not keep pace with these evolving threats. Despite the internal control measures, and security procedures we employ to safeguard our systems, we may still be vulnerable to a</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pStyle w:val="TextBody"/>
        <w:bidi w:val="0"/>
        <w:spacing w:before="200" w:after="283"/>
        <w:jc w:val="left"/>
        <w:rPr>
          <w:rFonts w:ascii="Times New Roman" w:hAnsi="Times New Roman"/>
          <w:sz w:val="20"/>
        </w:rPr>
      </w:pPr>
      <w:r>
        <w:rPr>
          <w:rFonts w:ascii="Arial" w:hAnsi="Arial"/>
          <w:b/>
          <w:i/>
          <w:color w:val="000000"/>
          <w:sz w:val="20"/>
        </w:rPr>
        <w:t>Our risk management efforts may not be effective to prevent fraudulent activities by our clients, FlyMates or other third parties, which could expose us to material financial losses and liability and otherwise harm our business.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pStyle w:val="TextBody"/>
        <w:bidi w:val="0"/>
        <w:spacing w:before="200" w:after="283"/>
        <w:jc w:val="left"/>
        <w:rPr>
          <w:rFonts w:ascii="Arial" w:hAnsi="Arial"/>
          <w:color w:val="000000"/>
          <w:sz w:val="20"/>
        </w:rPr>
      </w:pPr>
      <w:r>
        <w:rPr>
          <w:rFonts w:ascii="Arial" w:hAnsi="Arial"/>
          <w:color w:val="000000"/>
          <w:sz w:val="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pStyle w:val="TextBody"/>
        <w:bidi w:val="0"/>
        <w:spacing w:before="200" w:after="283"/>
        <w:jc w:val="left"/>
        <w:rPr>
          <w:rFonts w:ascii="Times New Roman" w:hAnsi="Times New Roman"/>
          <w:sz w:val="20"/>
        </w:rPr>
      </w:pPr>
      <w:r>
        <w:rPr>
          <w:rFonts w:ascii="Arial" w:hAnsi="Arial"/>
          <w:color w:val="000000"/>
          <w:sz w:val="20"/>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We use artificial intelligence (AI) in our solutions and services which may result in operational challenges, legal liability, reputational harm, competitive risks and regulatory and enhanced fraud concerns that could adversely affect our business and results of operations.</w:t>
      </w:r>
    </w:p>
    <w:p>
      <w:pPr>
        <w:pStyle w:val="TextBody"/>
        <w:bidi w:val="0"/>
        <w:spacing w:before="200" w:after="283"/>
        <w:jc w:val="left"/>
        <w:rPr>
          <w:rFonts w:ascii="Arial" w:hAnsi="Arial"/>
          <w:color w:val="000000"/>
          <w:sz w:val="20"/>
        </w:rPr>
      </w:pPr>
      <w:r>
        <w:rPr>
          <w:rFonts w:ascii="Arial" w:hAnsi="Arial"/>
          <w:color w:val="000000"/>
          <w:sz w:val="20"/>
        </w:rPr>
        <w:t>We incorporate AI, including generative AI, into our solutions and services, including into our payor virtual assistant self-help chatbot. We may also incorporate or resell third-party AI technology into the services we provide to our clients. These technologies are complex and rapidly evolving and building them requires significant investment in infrastructure and personnel with no assurance that we will realize the desired or anticipated benefits. There is no assurance that the usage of such AI-powered solutions, whether developed in-house or sourced from third-parties, will enhance our business, or otherwise help our operations become more effective, efficient, or profitable.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or delivery to our clients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or clients or clients’ customers or partners, or otherwise interfere with the performance of our business.</w:t>
      </w:r>
    </w:p>
    <w:p>
      <w:pPr>
        <w:pStyle w:val="TextBody"/>
        <w:bidi w:val="0"/>
        <w:spacing w:before="200" w:after="283"/>
        <w:jc w:val="left"/>
        <w:rPr>
          <w:rFonts w:ascii="Arial" w:hAnsi="Arial"/>
          <w:color w:val="000000"/>
          <w:sz w:val="20"/>
        </w:rPr>
      </w:pPr>
      <w:r>
        <w:rPr>
          <w:rFonts w:ascii="Arial" w:hAnsi="Arial"/>
          <w:color w:val="000000"/>
          <w:sz w:val="20"/>
        </w:rPr>
        <w:t>Our competitors may more successfully or more quickly incorporate AI into their products and achieve higher market acceptance of their AI solutions, which could impair our ability to compete effectively and adversely affect our results of operations, and we may also encounter new risks, challenges, and unintended consequences as a result of our use of AI. For example, the issue of intellectual property ownership and license rights surrounding AI technologies has not been fully addressed by U.S. or international courts or federal or state laws and regulations. We may not have adequate rights to use the data on which our AI-powered solutions rely. To the extent that we do not have sufficient rights to use the data used in, or produced by, the AI-powered solutions employed in our business and operations, we could be exposed to intellectual property claims or mandatory compliance with open-source software or other license terms. Further, any content or other output created by us using AI-powered solutions may not be subject to copyright protection, which may adversely affect our ability to commercialize or use, or the validity or enforceability of any IP rights in, such content or other output.</w:t>
      </w:r>
    </w:p>
    <w:p>
      <w:pPr>
        <w:pStyle w:val="TextBody"/>
        <w:bidi w:val="0"/>
        <w:spacing w:before="200" w:after="283"/>
        <w:jc w:val="left"/>
        <w:rPr>
          <w:rFonts w:ascii="Arial" w:hAnsi="Arial"/>
          <w:color w:val="000000"/>
          <w:sz w:val="20"/>
        </w:rPr>
      </w:pPr>
      <w:r>
        <w:rPr>
          <w:rFonts w:ascii="Arial" w:hAnsi="Arial"/>
          <w:color w:val="000000"/>
          <w:sz w:val="20"/>
        </w:rPr>
        <w:t>Our use of AI may also lead to novel cybersecurity or privacy risks, including those that implicate the confidential and personal information of users of AI-powered solutions, which may adversely affect our operations and reputation and expose us to legal liability or regulatory risks, including with respect to third-party IP rights or privacy, publicity, contractual, or other rights. If any of our employees, contractors,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 protect, defend, and enforce our IP rights in, such information or otherwise harm our competitive position, reputation, or business.</w:t>
      </w:r>
    </w:p>
    <w:p>
      <w:pPr>
        <w:pStyle w:val="TextBody"/>
        <w:bidi w:val="0"/>
        <w:spacing w:before="200" w:after="283"/>
        <w:jc w:val="left"/>
        <w:rPr>
          <w:rFonts w:ascii="Times New Roman" w:hAnsi="Times New Roman"/>
          <w:sz w:val="20"/>
        </w:rPr>
      </w:pPr>
      <w:r>
        <w:rPr>
          <w:rFonts w:ascii="Arial" w:hAnsi="Arial"/>
          <w:color w:val="000000"/>
          <w:sz w:val="20"/>
        </w:rPr>
        <w:t>The European Union’s Artificial Intelligence Act (the EU AI Act), which would apply beyond the European Union's borders, came into force in August 2024, and various other governments have proposed or adopted policy and regulatory responses to oversee the use of AI. There is a risk that our current or future AI-powered solutions may obligate us to comply with the applicable requirements of the EU AI Act, which may impose additional costs on us, increase our risk of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liability and fines, or otherwise adversely affect our business, financial condition, operating results, and future prospects. Compliance with other regulations as well as social and ethical standards and client expectations relating to AI may require significant research and development costs as well as management and employee attention. Any actual or perceived failure to comply with these laws, regulations, ethical standards or expectations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pStyle w:val="TextBody"/>
        <w:bidi w:val="0"/>
        <w:spacing w:before="200" w:after="283"/>
        <w:jc w:val="left"/>
        <w:rPr>
          <w:rFonts w:ascii="Arial" w:hAnsi="Arial"/>
          <w:color w:val="000000"/>
          <w:sz w:val="20"/>
        </w:rPr>
      </w:pPr>
      <w:r>
        <w:rPr>
          <w:rFonts w:ascii="Arial" w:hAnsi="Arial"/>
          <w:color w:val="000000"/>
          <w:sz w:val="20"/>
        </w:rPr>
        <w:t>In addition, the nefarious and fraudulent uses of AI by bad actors could lead to reputational damage if we fail, or are perceived to fail, to align our AML, KYC, sanctions and verification screening policies, procedures and protocols to detect fraudulent activity relating to the use of AI. Such failures may result in financial loss to our business, other fines, penalties or disciplinary actions imposed by regulators, lawsuits and claims from negatively impacted clients or payors, and may also erode trust in the use of our services by clients and our clients’ customers. Although we take steps designed to mitigate the risks associated with the use of AI in our business and operations, our use or the use of AI for fraudulent purposes by bad actors may present ethical, reputational, technical, operational, legal, competitive, or regulatory risks, any of which could adversely affect our business, financial condition, operating results, and future prospects.</w:t>
      </w:r>
    </w:p>
    <w:p>
      <w:pPr>
        <w:pStyle w:val="TextBody"/>
        <w:bidi w:val="0"/>
        <w:spacing w:before="200" w:after="283"/>
        <w:jc w:val="left"/>
        <w:rPr>
          <w:rFonts w:ascii="Times New Roman" w:hAnsi="Times New Roman"/>
          <w:sz w:val="20"/>
        </w:rPr>
      </w:pPr>
      <w:r>
        <w:rPr>
          <w:rFonts w:ascii="Arial" w:hAnsi="Arial"/>
          <w:b/>
          <w:i/>
          <w:color w:val="000000"/>
          <w:sz w:val="20"/>
        </w:rPr>
        <w:t>Changes to payment card networks fees or rules could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particular, if we are unable to adapt to such changes, we may not be able to utilize these strategic partners and we may lose access to large numbers of clients as a result.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If we fail to maintain, protect and enhance our brand, our ability to expand our client base will be impaired and our business, operating results, and financial condition may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believe that further developing, maintaining, protecting and enhancing our brand domestically and on a global basis is important to support the marketing and sale of our existing and future solutions to existing and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pStyle w:val="TextBody"/>
        <w:bidi w:val="0"/>
        <w:spacing w:before="200" w:after="283"/>
        <w:jc w:val="left"/>
        <w:rPr>
          <w:rFonts w:ascii="Times New Roman" w:hAnsi="Times New Roman"/>
          <w:sz w:val="20"/>
        </w:rPr>
      </w:pPr>
      <w:r>
        <w:rPr>
          <w:rFonts w:ascii="Arial" w:hAnsi="Arial"/>
          <w:b/>
          <w:i/>
          <w:color w:val="000000"/>
          <w:sz w:val="20"/>
        </w:rPr>
        <w:t>If we lose key members of our management team or are unable to attract and retain executives and employees we need to support our operations and growth, our business may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The failure to attract and retain additional qualified personnel could prevent us from executing our business strategy and growth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If we cannot maintain our company culture as we grow, our success and our business may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Our sales cycles may be long and vary.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devote significant resources to establish relationships with new clients and deepen relationships with existing clients. The sales cycles of our solutions tend to vary depending on the client industry sector which makes forecasting more complex and uncertain.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implementation could cause clients to reject our solutions or lead to the delay or non-receipt of future orders, in which case our business, operating results and financial condition would be harmed.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We typically incur significant upfront costs in our client relationships, and if we are unable to develop or grow these relationships over time, we are unlikely to recover these costs and our operating results may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If we fail to offer high-quality client support, or if our support is more expensive than anticipated, our business and reputation could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business could be harmed as a result of the risks associated with our acquisitions.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Any acquisitions we undertake or have recently completed, including the acquisitions of Sertifi in February 2025, Invoiced in August 2024, StudyLink in November 2023 and Cohort Go in July 2022, will likely be accompanied by business risks which may include, among other things:</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effect of the acquisition on our financial results, strategic position or reputation;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failure of an acquisition to result in expected benefits, which may include benefits relating to enhanced revenues, technology, human resources, costs savings, operating efficiencies, goodwill and other synergies;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difficulty, cost and management effort required to integrate the acquired businesses, including costs and delays in implementing common systems and procedures and costs and delays caused by communication difficulties;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assumption of certain known or unknown liabilities of the acquired business, including litigation-related liabilities;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reduction of our cash available for operations and other uses, the increase in amortization expense related to identifiable assets acquired, potentially dilutive issuances of equity securities or the incurrence of debt;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 lack of experience in new markets, new geographies, new business culture, products or technologies or an initial dependence on unfamiliar distribution partners;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possibility that we will pay more than the value we derive from the acquisition;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impairment of relationships with our clients, clients' customers, partners or suppliers or those of the acquired business;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potential loss of key employees of the acquired business. </w:t>
      </w:r>
    </w:p>
    <w:p>
      <w:pPr>
        <w:pStyle w:val="TextBody"/>
        <w:bidi w:val="0"/>
        <w:spacing w:before="200" w:after="283"/>
        <w:jc w:val="left"/>
        <w:rPr>
          <w:rFonts w:ascii="Times New Roman" w:hAnsi="Times New Roman"/>
          <w:sz w:val="20"/>
        </w:rPr>
      </w:pPr>
      <w:r>
        <w:rPr>
          <w:rFonts w:ascii="Arial" w:hAnsi="Arial"/>
          <w:color w:val="000000"/>
          <w:sz w:val="20"/>
        </w:rPr>
        <w:t>These factors could harm our business, results of operations or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Systems failures and resulting interruptions in the availability of our solutions and core payment platform could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these clients, customers or partners could seek significant compensation or contractual penalties from us for their losses, and those claims, even if unsuccessful, would likely be time-consuming and costly for us to address.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caused widespread crashes of Windows systems into which it was integrated, including certain Windows systems used by our vendors and customers. As of the date of this Annual Report on Form 10-K,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we may experience financial losses due to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third party disruptions, including potential outages at network providers and other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supply chain impacts, including shortages of goods, raw materials, increased prices or delays in shipment;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challenges to the availability and reliability of our network due to changes to normal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cyber and payment fraud risk, as cybercriminals attempt DDoS related attacks, phishing scams and other disruptive actions, given the shift to online banking, e-commerce and other online activity, as well as more FlyMates working remotely;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 </w:t>
      </w:r>
    </w:p>
    <w:p>
      <w:pPr>
        <w:pStyle w:val="TextBody"/>
        <w:bidi w:val="0"/>
        <w:spacing w:before="200" w:after="283"/>
        <w:jc w:val="left"/>
        <w:rPr>
          <w:rFonts w:ascii="Times New Roman" w:hAnsi="Times New Roman"/>
          <w:sz w:val="20"/>
        </w:rPr>
      </w:pPr>
      <w:r>
        <w:rPr>
          <w:rFonts w:ascii="Arial" w:hAnsi="Arial"/>
          <w:color w:val="000000"/>
          <w:sz w:val="20"/>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in client dissatisfaction, regulatory scrutiny, and damage to our reputation and brand, and materially and adversely affect our business.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pStyle w:val="TextBody"/>
        <w:bidi w:val="0"/>
        <w:spacing w:before="200" w:after="283"/>
        <w:jc w:val="left"/>
        <w:rPr>
          <w:rFonts w:ascii="Times New Roman" w:hAnsi="Times New Roman"/>
          <w:sz w:val="20"/>
        </w:rPr>
      </w:pPr>
      <w:r>
        <w:rPr>
          <w:rFonts w:ascii="Arial" w:hAnsi="Arial"/>
          <w:b/>
          <w:color w:val="000000"/>
          <w:sz w:val="20"/>
        </w:rPr>
        <w:t>Risks Related to Our Legal, Regulatory and Compliance Landscape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foreign currency exchange rate volatility;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adverse economic conditions in the United States and globally, including economic slowdown, heightened interest rates, inflation, recession concerns and the disruption, volatility and tightening of credit and capital markets;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risks related to compliance with multiple complex, potentially conflicting and changing governmental laws and regulations;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color w:val="000000"/>
          <w:sz w:val="20"/>
        </w:rPr>
        <w:t>local licensing and reporting obligations or the imposition of currency controls which make it impossible or increasingly difficult for our clients to collect payments from international customers;</w:t>
      </w:r>
      <w:r>
        <w:rPr>
          <w:color w:val="00000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local regulatory and legal obligations related to privacy, data protection, data localization, and user protections;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need to localize our solutions, including offering clients and their customers the ability to transact business in the local currency and adapting our solutions to local preferences, in markets in which we may have limited or no experience;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trade barriers, tariffs and changes in trade regulations;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the impact of government sanctions on our ability to offer services in a region, such as sanctions issued by the U.S. and other countries against Russia;</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difficulties in developing, staffing, and managing a large number of varying foreign operations as a result of distance, language, and cultural differences;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stringent local labor laws and regulations;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limitations on the repatriation of cash, including imposition or increase of withholding and other taxes on remittances and other payments by foreign subsidiaries;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diplomatic friction, political or social unrest, war or other military conflict, including an escalation of the conflict between Russia and Ukraine, and between Israel and Hamas, respectively, economic instability, repression, or human rights issues;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natural disasters, global pandemics such as COVID-19 or other public health emergencies, acts of war, and terrorism;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compliance with U.S. laws and foreign laws prohibiting corrupt payments to government officials, such as the Foreign Corrupt Practices Act (FCPA) and the U.K. Bribery Act, and other local anti-corruption laws;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compliance with U.S. and foreign laws designed to combat money laundering and the financing of terrorist activities;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retaliatory tariffs and restrictions limiting free movement of currency and an unfavorable trade environment, including as a result of political conditions and changes in the laws, regulations or policies in the United States and elsewhere and as described in more detail below;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antitrust and competition regulations;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expected or actual extended federal government shutdowns or the priorities of the U.S. presidential administration and related changes in laws, regulations or policies;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national or regional differences in macroeconomic growth rates;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increased difficulties in collecting accounts receivable. </w:t>
      </w:r>
    </w:p>
    <w:p>
      <w:pPr>
        <w:pStyle w:val="TextBody"/>
        <w:bidi w:val="0"/>
        <w:spacing w:before="200" w:after="283"/>
        <w:jc w:val="left"/>
        <w:rPr>
          <w:rFonts w:ascii="Times New Roman" w:hAnsi="Times New Roman"/>
          <w:sz w:val="20"/>
        </w:rPr>
      </w:pPr>
      <w:r>
        <w:rPr>
          <w:rFonts w:ascii="Arial" w:hAnsi="Arial"/>
          <w:color w:val="000000"/>
          <w:sz w:val="20"/>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20"/>
        </w:rPr>
        <w:t>Payments and other financial services-related regulations and oversight are material to our business. Our failure to comply could materially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Certain of our subsidiaries are registered with FinCEN. Our subsidiary Flywire Global Corp. has obtained licenses to operate as a money transmitter (or the statutory equivalent) in 45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solutions, require significant and costly operational changes, or prevent us from providing our solutions in any given market.</w:t>
      </w:r>
    </w:p>
    <w:p>
      <w:pPr>
        <w:pStyle w:val="TextBody"/>
        <w:bidi w:val="0"/>
        <w:spacing w:before="200" w:after="283"/>
        <w:jc w:val="left"/>
        <w:rPr>
          <w:rFonts w:ascii="Times New Roman" w:hAnsi="Times New Roman"/>
          <w:sz w:val="20"/>
        </w:rPr>
      </w:pPr>
      <w:r>
        <w:rPr>
          <w:rFonts w:ascii="Arial" w:hAnsi="Arial"/>
          <w:b/>
          <w:i/>
          <w:color w:val="000000"/>
          <w:sz w:val="20"/>
        </w:rPr>
        <w:t>The regulatory environment in which we operate is subject to constant change, and new regulations could make aspects of our business as currently conducted no longer possible.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Government agencies may impose new or additional rules on money transmission, which may increase our costs of doing business, including, but not limited to regulations that:</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prohibit, restrict, and/or impose taxes or fees on money transmission transactions in, to or from certain countries or with certain governments, individuals, and entities;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impose additional client identification and client due diligence requirements;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impose additional reporting or recordkeeping requirements, or require enhanced transaction monitoring;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limit the types of entities capable of providing money transmission services, or impose additional licensing or registration requirements;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impose minimum capital or other financial requirements;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limit or restrict the revenue that may be generated from money transmission, including revenue from the transaction value associated with the payment method used by our clients’ customers and platform-related fees for access to our solutions and invoice and payment plan fees;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require enhanced disclosures to our money transmission clients or their customers;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require the principal amount of money transmission transactions originated in a country to be invested in that country or held in trust until paid;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limit the number or principal amount of money transmission transactions that may be sent to or from a jurisdiction, whether by an individual or in the aggregate;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restrict or limit our ability to process transactions using centralized databases, for example, by requiring that transactions be processed using a database maintained in a particular country or region.</w:t>
      </w:r>
    </w:p>
    <w:p>
      <w:pPr>
        <w:pStyle w:val="TextBody"/>
        <w:bidi w:val="0"/>
        <w:spacing w:before="200" w:after="283"/>
        <w:jc w:val="left"/>
        <w:rPr>
          <w:rFonts w:ascii="Times New Roman" w:hAnsi="Times New Roman"/>
          <w:sz w:val="20"/>
        </w:rPr>
      </w:pPr>
      <w:r>
        <w:rPr>
          <w:rFonts w:ascii="Arial" w:hAnsi="Arial"/>
          <w:b/>
          <w:i/>
          <w:color w:val="000000"/>
          <w:sz w:val="20"/>
        </w:rPr>
        <w:t>We are subject to governmental laws and requirements regarding economic and trade sanctions, AML and CFT that could impair our ability to compete in international markets or subject us to criminal or civil liability if we violate them.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pStyle w:val="TextBody"/>
        <w:bidi w:val="0"/>
        <w:spacing w:before="200" w:after="283"/>
        <w:jc w:val="left"/>
        <w:rPr>
          <w:rFonts w:ascii="Times New Roman" w:hAnsi="Times New Roman"/>
          <w:sz w:val="20"/>
        </w:rPr>
      </w:pPr>
      <w:r>
        <w:rPr>
          <w:rFonts w:ascii="Arial" w:hAnsi="Arial"/>
          <w:color w:val="000000"/>
          <w:sz w:val="20"/>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pStyle w:val="TextBody"/>
        <w:bidi w:val="0"/>
        <w:spacing w:before="200" w:after="283"/>
        <w:jc w:val="left"/>
        <w:rPr>
          <w:rFonts w:ascii="Times New Roman" w:hAnsi="Times New Roman"/>
          <w:sz w:val="20"/>
        </w:rPr>
      </w:pPr>
      <w:r>
        <w:rPr>
          <w:rFonts w:ascii="Arial" w:hAnsi="Arial"/>
          <w:b/>
          <w:i/>
          <w:color w:val="000000"/>
          <w:sz w:val="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ordered to pay a $1.2 million penalty and, among other things, implement a monitoring and reporting program to demonstrate its ongoing compliance with the CCPA.</w:t>
      </w:r>
    </w:p>
    <w:p>
      <w:pPr>
        <w:pStyle w:val="TextBody"/>
        <w:bidi w:val="0"/>
        <w:spacing w:before="200" w:after="283"/>
        <w:jc w:val="left"/>
        <w:rPr>
          <w:rFonts w:ascii="Times New Roman" w:hAnsi="Times New Roman"/>
          <w:sz w:val="20"/>
        </w:rPr>
      </w:pPr>
      <w:r>
        <w:rPr>
          <w:rFonts w:ascii="Arial" w:hAnsi="Arial"/>
          <w:color w:val="000000"/>
          <w:sz w:val="20"/>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before="200" w:after="283"/>
        <w:jc w:val="left"/>
        <w:rPr>
          <w:rFonts w:ascii="Times New Roman" w:hAnsi="Times New Roman"/>
          <w:sz w:val="20"/>
        </w:rPr>
      </w:pPr>
      <w:r>
        <w:rPr>
          <w:rFonts w:ascii="Arial" w:hAnsi="Arial"/>
          <w:color w:val="000000"/>
          <w:sz w:val="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may be further challenged, suspended or invalidated for transfers to some or all countries. For example, guidance regarding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On June 4, 2021, the European Commission released the final Implementing Decision on SCCs (New SCCs) for the transfer of personal data from the E.U. to “third countries” such as the US. The New SCCs will repeal and replace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pStyle w:val="TextBody"/>
        <w:bidi w:val="0"/>
        <w:spacing w:before="200" w:after="283"/>
        <w:jc w:val="left"/>
        <w:rPr>
          <w:rFonts w:ascii="Times New Roman" w:hAnsi="Times New Roman"/>
          <w:sz w:val="20"/>
        </w:rPr>
      </w:pPr>
      <w:r>
        <w:rPr>
          <w:rFonts w:ascii="Arial" w:hAnsi="Arial"/>
          <w:color w:val="000000"/>
          <w:sz w:val="20"/>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pStyle w:val="TextBody"/>
        <w:bidi w:val="0"/>
        <w:spacing w:before="200" w:after="283"/>
        <w:jc w:val="left"/>
        <w:rPr>
          <w:rFonts w:ascii="Times New Roman" w:hAnsi="Times New Roman"/>
          <w:sz w:val="20"/>
        </w:rPr>
      </w:pPr>
      <w:r>
        <w:rPr>
          <w:rFonts w:ascii="Arial" w:hAnsi="Arial"/>
          <w:color w:val="000000"/>
          <w:sz w:val="20"/>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pStyle w:val="TextBody"/>
        <w:bidi w:val="0"/>
        <w:spacing w:before="200" w:after="283"/>
        <w:jc w:val="left"/>
        <w:rPr>
          <w:rFonts w:ascii="Arial" w:hAnsi="Arial"/>
          <w:color w:val="000000"/>
          <w:sz w:val="20"/>
        </w:rPr>
      </w:pPr>
      <w:r>
        <w:rPr>
          <w:rFonts w:ascii="Arial" w:hAnsi="Arial"/>
          <w:color w:val="000000"/>
          <w:sz w:val="20"/>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pStyle w:val="TextBody"/>
        <w:bidi w:val="0"/>
        <w:spacing w:before="200" w:after="283"/>
        <w:jc w:val="left"/>
        <w:rPr>
          <w:rFonts w:ascii="Arial" w:hAnsi="Arial"/>
          <w:color w:val="000000"/>
          <w:sz w:val="20"/>
        </w:rPr>
      </w:pPr>
      <w:r>
        <w:rPr>
          <w:rFonts w:ascii="Arial" w:hAnsi="Arial"/>
          <w:color w:val="000000"/>
          <w:sz w:val="20"/>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pStyle w:val="TextBody"/>
        <w:bidi w:val="0"/>
        <w:spacing w:before="200" w:after="283"/>
        <w:jc w:val="left"/>
        <w:rPr>
          <w:rFonts w:ascii="Times New Roman" w:hAnsi="Times New Roman"/>
          <w:sz w:val="20"/>
        </w:rPr>
      </w:pPr>
      <w:r>
        <w:rPr>
          <w:rFonts w:ascii="Arial" w:hAnsi="Arial"/>
          <w:color w:val="000000"/>
          <w:sz w:val="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We are subject to anti-corruption, anti-bribery, and similar laws, and non-compliance with such laws can subject us to criminal or civil liability and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illegal activities of these third-party intermediaries, our FlyMates, representatives, contractors, partners, and agents, even if we do not explicitly authorize such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pStyle w:val="TextBody"/>
        <w:bidi w:val="0"/>
        <w:spacing w:before="200" w:after="283"/>
        <w:jc w:val="left"/>
        <w:rPr>
          <w:rFonts w:ascii="Times New Roman" w:hAnsi="Times New Roman"/>
          <w:sz w:val="20"/>
        </w:rPr>
      </w:pPr>
      <w:r>
        <w:rPr>
          <w:rFonts w:ascii="Arial" w:hAnsi="Arial"/>
          <w:b/>
          <w:i/>
          <w:color w:val="000000"/>
          <w:sz w:val="20"/>
        </w:rPr>
        <w:t>If we fail to adequately protect our proprietary rights, our competitive position could be impaired and we may lose valuable assets, generate less revenue and incur costly litigation to protect our rights.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We may in the future be subject to intellectual property disputes, which are costly and may subject us to significant liability and increased costs of doing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Our use of “open source” software could negatively affect our ability to offer and sell access to our solutions and subject us to possible litigation.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Indemnity and liability provisions in various agreements potentially expose us to substantial liability for intellectual property infringement, data protection, and other losses.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New or revised tax regulations, unfavorable resolution of tax contingencies or changes to enacted tax rates could adversely affect our tax expense.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Our ability to use our net operating losses (NOLs) to offset future taxable income may be subject to certain limitations.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As of March 31,2025, we had U.S. federal NOL carryforwards of approximately $3.3 million and state NOL carryforwards of approximately $83.2 million. The federal and material state NOL carryforwards will begin to expire in 2030 and 2025,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pStyle w:val="TextBody"/>
        <w:bidi w:val="0"/>
        <w:spacing w:before="0" w:after="200"/>
        <w:jc w:val="left"/>
        <w:rPr>
          <w:rFonts w:ascii="Arial" w:hAnsi="Arial"/>
          <w:color w:val="000000"/>
          <w:sz w:val="20"/>
        </w:rPr>
      </w:pPr>
      <w:r>
        <w:rPr>
          <w:rFonts w:ascii="Arial" w:hAnsi="Arial"/>
          <w:color w:val="000000"/>
          <w:sz w:val="20"/>
        </w:rPr>
        <w:t>During 2022, the Company completed a Section 382 study and as a result of the ownership changes identified, $1.6 million of Flywire’s NOLs and $0.2 million of Simplee’s NOLs will expire unutilized, assuming sufficient taxable income is generated in the future. The Company completed its refresh of the Section 382 study as of June 30, 2024, and there was no additional limitations in using Federal and State NOL carryforwards. The Company is currently updating the Section 382 study as of December 31, 2024 and does not anticipate any additional limitation.</w:t>
      </w:r>
    </w:p>
    <w:p>
      <w:pPr>
        <w:pStyle w:val="TextBody"/>
        <w:bidi w:val="0"/>
        <w:jc w:val="left"/>
        <w:rPr>
          <w:rFonts w:ascii="Times New Roman" w:hAnsi="Times New Roman"/>
          <w:sz w:val="20"/>
        </w:rPr>
      </w:pPr>
      <w:r>
        <w:rPr>
          <w:rFonts w:ascii="Arial" w:hAnsi="Arial"/>
          <w:b/>
          <w:color w:val="000000"/>
          <w:sz w:val="20"/>
        </w:rPr>
        <w:t>Risks Related to Being a Public Company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requires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pStyle w:val="TextBody"/>
        <w:bidi w:val="0"/>
        <w:spacing w:before="200" w:after="283"/>
        <w:jc w:val="left"/>
        <w:rPr>
          <w:rFonts w:ascii="Times New Roman" w:hAnsi="Times New Roman"/>
          <w:sz w:val="20"/>
        </w:rPr>
      </w:pPr>
      <w:r>
        <w:rPr>
          <w:rFonts w:ascii="Arial" w:hAnsi="Arial"/>
          <w:color w:val="000000"/>
          <w:sz w:val="20"/>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pStyle w:val="TextBody"/>
        <w:bidi w:val="0"/>
        <w:spacing w:before="200" w:after="283"/>
        <w:jc w:val="left"/>
        <w:rPr>
          <w:rFonts w:ascii="Arial" w:hAnsi="Arial"/>
          <w:color w:val="000000"/>
          <w:sz w:val="20"/>
        </w:rPr>
      </w:pPr>
      <w:r>
        <w:rPr>
          <w:rFonts w:ascii="Arial" w:hAnsi="Arial"/>
          <w:color w:val="000000"/>
          <w:sz w:val="20"/>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management.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pStyle w:val="TextBody"/>
        <w:bidi w:val="0"/>
        <w:spacing w:before="200" w:after="283"/>
        <w:jc w:val="left"/>
        <w:rPr>
          <w:rFonts w:ascii="Times New Roman" w:hAnsi="Times New Roman"/>
          <w:sz w:val="20"/>
        </w:rPr>
      </w:pPr>
      <w:r>
        <w:rPr>
          <w:rFonts w:ascii="Arial" w:hAnsi="Arial"/>
          <w:color w:val="000000"/>
          <w:sz w:val="20"/>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adopted, or are considering adopting, rules that would require significantly expanded actions or disclosures on climate or other ESG-related matters from companies. Although several of these rules have been challenged and/or stayed, such rules, if implemented, may require us to incur significant additional costs to comply. Such rules are not uniform, and may not be interpreted or enforced uniformly, which can increase compliance costs or associated risks. Simultaneously, there are efforts by some stakeholders and policymakers to reduce companies’ efforts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legislative landscape continues to be in a state of constant change as well as legal challenge with respect to these laws and regulations, making it difficult to predict with certainty the ultimate impact they will have on our business in the aggregate.</w:t>
      </w:r>
    </w:p>
    <w:p>
      <w:pPr>
        <w:pStyle w:val="TextBody"/>
        <w:bidi w:val="0"/>
        <w:spacing w:before="200" w:after="283"/>
        <w:jc w:val="left"/>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20"/>
        </w:rPr>
        <w:t>Risks Related to Ownership of Our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The price of our common stock may be volatile or may decline regardless of our operating performance and you may not be able to resell your shares at or above the price you paid for them.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An active or liquid market in our common stock may not be sustainable.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market price of our common stock may fluctuate significantly in response to numerous factors, many of which are beyond our control, including:</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overall performance of the equity markets;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our operating performance and the performance of other similar companies;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delays in the roll out of new solutions;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changes in our projected operating results that we provide to the public, our failure to meet these projections or changes in recommendations by securities analysts that elect to follow our common stock;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regulatory actions with respect to our payment solutions;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regulatory or legal developments in the United States and other countries, including the priorities of the U.S. presidential administration and related changes in laws, regulations or policies;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level of expenses related to our solutions;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announcements of acquisitions, strategic alliances or significant agreements by us or by our competitors;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developments or disputes concerning patent applications, issued patents or other intellectual property or proprietary rights;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recruitment or departure of key personnel;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economy as a whole and market conditions in our industry;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political or social unrest, war or other military conflict, including an escalation of the conflict between Russia and Ukraine, or between Israel and Hamas (or other combatants in the region), respectively, economic instability, repression, or human rights issues;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variations in our financial results or the financial results of companies that are perceived to be similar to us;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financing or other corporate transactions, or inability to obtain additional funding;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cutbacks or withholding of funding to, and real or perceived hostility towards higher education institutions in the U.S.;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restrictions that negatively impact international travel, study or commerce, including actual or threatened revocation of visas, mass deportations, or delays in issuances of visas;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changes in the structure of payment systems;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actual or threatened imposition of tariffs, trade wars including the effects of ongoing United States-China and Canada-India diplomatic and trade friction;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trading activity by a limited number of stockholders who together beneficially own a majority of our outstanding common stock;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size of our market float;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any other factors discussed in this Annual Report on Form 10-K and our other SEC filings. </w:t>
      </w:r>
    </w:p>
    <w:p>
      <w:pPr>
        <w:pStyle w:val="TextBody"/>
        <w:bidi w:val="0"/>
        <w:spacing w:before="200" w:after="283"/>
        <w:jc w:val="left"/>
        <w:rPr>
          <w:rFonts w:ascii="Times New Roman" w:hAnsi="Times New Roman"/>
          <w:sz w:val="20"/>
        </w:rPr>
      </w:pPr>
      <w:r>
        <w:rPr>
          <w:rFonts w:ascii="Arial" w:hAnsi="Arial"/>
          <w:color w:val="000000"/>
          <w:sz w:val="20"/>
        </w:rPr>
        <w:t>In addition, the stock markets have experienced extreme price and volume fluctuations that have affected and continue to affect the market prices of equity securities of many companies.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pStyle w:val="TextBody"/>
        <w:bidi w:val="0"/>
        <w:spacing w:before="200" w:after="200"/>
        <w:jc w:val="left"/>
        <w:rPr>
          <w:rFonts w:ascii="Arial" w:hAnsi="Arial"/>
          <w:b/>
          <w:i/>
          <w:color w:val="000000"/>
          <w:sz w:val="20"/>
        </w:rPr>
      </w:pPr>
      <w:r>
        <w:rPr>
          <w:rFonts w:ascii="Arial" w:hAnsi="Arial"/>
          <w:b/>
          <w:i/>
          <w:color w:val="000000"/>
          <w:sz w:val="20"/>
        </w:rPr>
        <w:t>Our business and operations could be negatively affected by securities litigation or stockholder activism.</w:t>
      </w:r>
    </w:p>
    <w:p>
      <w:pPr>
        <w:pStyle w:val="TextBody"/>
        <w:bidi w:val="0"/>
        <w:spacing w:before="0" w:after="200"/>
        <w:jc w:val="left"/>
        <w:rPr>
          <w:rFonts w:ascii="Times New Roman" w:hAnsi="Times New Roman"/>
          <w:sz w:val="20"/>
        </w:rPr>
      </w:pPr>
      <w:r>
        <w:rPr>
          <w:rFonts w:ascii="Arial" w:hAnsi="Arial"/>
          <w:color w:val="000000"/>
          <w:sz w:val="20"/>
        </w:rPr>
        <w:t>From time to time, we may be subject to securities class actions, derivative suits or other securities-related legal actions.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the past, securities class action litigation have often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pStyle w:val="TextBody"/>
        <w:bidi w:val="0"/>
        <w:spacing w:before="200" w:after="200"/>
        <w:jc w:val="left"/>
        <w:rPr>
          <w:rFonts w:ascii="Times New Roman" w:hAnsi="Times New Roman"/>
          <w:sz w:val="20"/>
        </w:rPr>
      </w:pPr>
      <w:r>
        <w:rPr>
          <w:rFonts w:ascii="Arial" w:hAnsi="Arial"/>
          <w:color w:val="000000"/>
          <w:sz w:val="20"/>
        </w:rPr>
        <w:t>Any claims or litigation, even if fully indemnified or insured, could adversely affect our relationships with clients and business partners, damage our reputation, decrease client or their customers’ demand for our solutions and make it more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 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pStyle w:val="TextBody"/>
        <w:bidi w:val="0"/>
        <w:spacing w:before="0" w:after="200"/>
        <w:jc w:val="left"/>
        <w:rPr>
          <w:rFonts w:ascii="Arial" w:hAnsi="Arial"/>
          <w:color w:val="000000"/>
          <w:sz w:val="20"/>
        </w:rPr>
      </w:pPr>
      <w:r>
        <w:rPr>
          <w:rFonts w:ascii="Arial" w:hAnsi="Arial"/>
          <w:color w:val="000000"/>
          <w:sz w:val="20"/>
        </w:rPr>
        <w:t>As a result, lawsuits involving us, or our officers or directors, could have a material adverse effect on our business, reputation, financial condition, results of operations, liquidity and the trading price of our common stock.</w:t>
      </w:r>
    </w:p>
    <w:p>
      <w:pPr>
        <w:pStyle w:val="TextBody"/>
        <w:bidi w:val="0"/>
        <w:spacing w:before="0" w:after="200"/>
        <w:jc w:val="left"/>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rights to our intellectual property on unfavorable terms to us.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If we are unable to raise additional funds through equity or debt financing or through collaborations or strategic partnerships when needed, we may be required to delay, limit, reduce or terminate the development of our solutions or commercialization efforts.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We may allocate our cash and cash equivalents in ways that you and other stockholders may not approve.</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pStyle w:val="TextBody"/>
        <w:bidi w:val="0"/>
        <w:spacing w:before="200" w:after="200"/>
        <w:jc w:val="left"/>
        <w:rPr>
          <w:rFonts w:ascii="Arial" w:hAnsi="Arial"/>
          <w:b/>
          <w:i/>
          <w:color w:val="000000"/>
          <w:sz w:val="20"/>
        </w:rPr>
      </w:pPr>
      <w:r>
        <w:rPr>
          <w:rFonts w:ascii="Arial" w:hAnsi="Arial"/>
          <w:b/>
          <w:i/>
          <w:color w:val="000000"/>
          <w:sz w:val="20"/>
        </w:rPr>
        <w:t>We cannot guarantee that our repurchase program will be fully implemented or that it will enhance stockholder value, and share repurchases could affect the price of our common stock.</w:t>
      </w:r>
    </w:p>
    <w:p>
      <w:pPr>
        <w:pStyle w:val="TextBody"/>
        <w:bidi w:val="0"/>
        <w:spacing w:before="0" w:after="200"/>
        <w:jc w:val="left"/>
        <w:rPr>
          <w:rFonts w:ascii="Times New Roman" w:hAnsi="Times New Roman"/>
          <w:sz w:val="20"/>
        </w:rPr>
      </w:pPr>
      <w:r>
        <w:rPr>
          <w:rFonts w:ascii="Arial" w:hAnsi="Arial"/>
          <w:color w:val="000000"/>
          <w:sz w:val="20"/>
        </w:rPr>
        <w:t>In August 2024, we announced that our Board of Directors authorized a share repurchase program, or the Repurchase Program, pursuant to which we may, from time to time, purchase shares of our Voting and Non-voting common stock for an aggregate purchase price not to exceed $150 million. As of March 31, 2025 approximately $57.0 million remained available for repurchases under the Repurchase Program. 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and general market and economic conditions. The Repurchase Program does not obligate us to repurchase any minimum dollar amount or number of shares, and may be suspended or discontinued by our Board of Directors at any time, which may result in a decrease in the price of our common stock.</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200" w:after="200"/>
        <w:jc w:val="left"/>
        <w:rPr>
          <w:rFonts w:ascii="Times New Roman" w:hAnsi="Times New Roman"/>
          <w:sz w:val="20"/>
        </w:rPr>
      </w:pPr>
      <w:r>
        <w:rPr>
          <w:rFonts w:ascii="Arial" w:hAnsi="Arial"/>
          <w:b/>
          <w:i/>
          <w:color w:val="000000"/>
          <w:sz w:val="20"/>
        </w:rPr>
        <w:t>Sales of substantial amounts of our common stock in the public markets could cause the market price of our common stock to decline.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120,204,647 shares of our voting common stock and 1,873,320 shares of our non-voting common stock outstanding as of March 31, 2025.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The concentration of our stock ownership will likely limit your ability to influence corporate matters, including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of December 31,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We do not intend to pay dividends on our common stock, consequently,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pStyle w:val="TextBody"/>
        <w:bidi w:val="0"/>
        <w:spacing w:before="200" w:after="283"/>
        <w:jc w:val="left"/>
        <w:rPr>
          <w:rFonts w:ascii="Times New Roman" w:hAnsi="Times New Roman"/>
          <w:sz w:val="20"/>
        </w:rPr>
      </w:pPr>
      <w:r>
        <w:rPr>
          <w:rFonts w:ascii="Arial" w:hAnsi="Arial"/>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 classified board of directors with three-year staggered terms, which could delay the ability of stockholders to change the membership of a majority of our board of directors;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 prohibition on stockholder action by written consent, which forces stockholder action to be taken at an annual or special meeting of our stockholders;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 </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0"/>
        </w:rPr>
      </w:pPr>
      <w:r>
        <w:rPr>
          <w:rFonts w:ascii="Arial" w:hAnsi="Arial"/>
          <w:color w:val="000000"/>
          <w:sz w:val="20"/>
        </w:rPr>
        <w:t xml:space="preserve">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200" w:after="283"/>
        <w:jc w:val="left"/>
        <w:rPr>
          <w:rFonts w:ascii="Times New Roman" w:hAnsi="Times New Roman"/>
          <w:sz w:val="20"/>
        </w:rPr>
      </w:pPr>
      <w:r>
        <w:rPr>
          <w:rFonts w:ascii="Arial" w:hAnsi="Arial"/>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pStyle w:val="TextBody"/>
        <w:bidi w:val="0"/>
        <w:spacing w:before="360" w:after="283"/>
        <w:jc w:val="left"/>
        <w:rPr>
          <w:rFonts w:ascii="Times New Roman" w:hAnsi="Times New Roman"/>
          <w:sz w:val="20"/>
        </w:rPr>
      </w:pPr>
      <w:bookmarkStart w:id="39" w:name="item_2"/>
      <w:bookmarkEnd w:id="39"/>
      <w:r>
        <w:rPr>
          <w:rFonts w:ascii="Arial" w:hAnsi="Arial"/>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00" w:after="200"/>
        <w:jc w:val="left"/>
        <w:rPr>
          <w:rFonts w:ascii="Arial" w:hAnsi="Arial"/>
          <w:b/>
          <w:color w:val="000000"/>
          <w:sz w:val="20"/>
        </w:rPr>
      </w:pPr>
      <w:r>
        <w:rPr>
          <w:rFonts w:ascii="Arial" w:hAnsi="Arial"/>
          <w:b/>
          <w:color w:val="000000"/>
          <w:sz w:val="20"/>
        </w:rPr>
        <w:t>Recent Sales of Unregistered Equity Securities</w:t>
      </w:r>
    </w:p>
    <w:p>
      <w:pPr>
        <w:pStyle w:val="TextBody"/>
        <w:bidi w:val="0"/>
        <w:spacing w:before="0" w:after="200"/>
        <w:jc w:val="left"/>
        <w:rPr>
          <w:rFonts w:ascii="Arial" w:hAnsi="Arial"/>
          <w:color w:val="000000"/>
          <w:sz w:val="20"/>
        </w:rPr>
      </w:pPr>
      <w:r>
        <w:rPr>
          <w:rFonts w:ascii="Arial" w:hAnsi="Arial"/>
          <w:color w:val="000000"/>
          <w:sz w:val="20"/>
        </w:rPr>
        <w:t>During the quarter ended March 31, 2025, we issued an aggregate of 41,998 shares of common stock (the Shares) as a stock-based compensation associated with the retention of a key employee of StudyLink. The key employee was not a “U.S. person”, as defined in Rule 902 of Regulation S under the Securities Act, and the issuance was exempt from the registration requirements of the Securities Act under Regulation S. The certificates evidencing the Shares are endorsed with a restrictive Securities Act legend.</w:t>
      </w:r>
    </w:p>
    <w:p>
      <w:pPr>
        <w:pStyle w:val="TextBody"/>
        <w:bidi w:val="0"/>
        <w:spacing w:before="0" w:after="200"/>
        <w:jc w:val="left"/>
        <w:rPr>
          <w:rFonts w:ascii="Times New Roman" w:hAnsi="Times New Roman"/>
          <w:sz w:val="20"/>
        </w:rPr>
      </w:pPr>
      <w:r>
        <w:rPr>
          <w:rFonts w:ascii="Arial" w:hAnsi="Arial"/>
          <w:b/>
          <w:i/>
          <w:color w:val="000000"/>
          <w:sz w:val="20"/>
        </w:rPr>
        <w:t>Issuer Purchases of Equity Securities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following table summarizes the repurchases of voting common stock during the three months ended March 31, 2025 (in thousands, except shares and per share amounts):</w:t>
      </w:r>
    </w:p>
    <w:tbl>
      <w:tblPr>
        <w:tblW w:w="10205" w:type="dxa"/>
        <w:jc w:val="left"/>
        <w:tblInd w:w="0" w:type="dxa"/>
        <w:tblLayout w:type="fixed"/>
        <w:tblCellMar>
          <w:top w:w="28" w:type="dxa"/>
          <w:left w:w="28" w:type="dxa"/>
          <w:bottom w:w="28" w:type="dxa"/>
          <w:right w:w="28" w:type="dxa"/>
        </w:tblCellMar>
      </w:tblPr>
      <w:tblGrid>
        <w:gridCol w:w="2883"/>
        <w:gridCol w:w="146"/>
        <w:gridCol w:w="176"/>
        <w:gridCol w:w="1161"/>
        <w:gridCol w:w="146"/>
        <w:gridCol w:w="146"/>
        <w:gridCol w:w="376"/>
        <w:gridCol w:w="1044"/>
        <w:gridCol w:w="146"/>
        <w:gridCol w:w="146"/>
        <w:gridCol w:w="214"/>
        <w:gridCol w:w="1412"/>
        <w:gridCol w:w="146"/>
        <w:gridCol w:w="146"/>
        <w:gridCol w:w="369"/>
        <w:gridCol w:w="1212"/>
        <w:gridCol w:w="336"/>
      </w:tblGrid>
      <w:tr>
        <w:trPr/>
        <w:tc>
          <w:tcPr>
            <w:tcW w:w="2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Total Number of</w:t>
              <w:br/>
              <w:t xml:space="preserve">Shares </w:t>
              <w:br/>
              <w:t xml:space="preserve">Purchased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Average Price Paid</w:t>
              <w:br/>
              <w:t xml:space="preserve">per Share </w:t>
            </w:r>
            <w:r>
              <w:rPr>
                <w:rFonts w:ascii="Arial" w:hAnsi="Arial"/>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 of</w:t>
              <w:br/>
              <w:t>Shares Purchased as</w:t>
              <w:br/>
              <w:t>Part of Publicly</w:t>
              <w:br/>
              <w:t>Announced 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 Dollar</w:t>
              <w:br/>
              <w:t>Value of Shares that</w:t>
              <w:br/>
              <w:t>May Yet Be</w:t>
              <w:br/>
              <w:t>Purchased Under</w:t>
              <w:br/>
              <w:t>the Plans or</w:t>
              <w:br/>
              <w:t>Programs</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 2025 -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96,389</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 2025 -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71,956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1, 2025 -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1,450,311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1,450,311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56,956</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88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3,562,643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3,562,643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 xml:space="preserve">All shares were repurchased in open market transactions pursuant to a share repurchase program to repurchase up to $150 million of our outstanding voting and non-voting common stock for an indefinite period (the Repurchase Program). The Repurchase Program was authorized by our board of directors and publicly announced on August 6, 2024.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hAnsi="Arial"/>
          <w:i/>
          <w:color w:val="000000"/>
          <w:sz w:val="16"/>
        </w:rPr>
        <w:t>Note 13 - Stockholders’ Equity</w:t>
      </w:r>
      <w:r>
        <w:rPr>
          <w:rFonts w:ascii="Times New Roman" w:hAnsi="Times New Roman"/>
          <w:color w:val="000000"/>
          <w:sz w:val="20"/>
        </w:rPr>
        <w:t xml:space="preserve"> </w:t>
      </w:r>
      <w:r>
        <w:rPr>
          <w:rFonts w:ascii="Arial" w:hAnsi="Arial"/>
          <w:color w:val="000000"/>
          <w:sz w:val="16"/>
        </w:rPr>
        <w:t>in our condensed consolidated financial statements included elsewhere in this Quarterly Report on Form 10-Q.</w:t>
      </w:r>
    </w:p>
    <w:p>
      <w:pPr>
        <w:pStyle w:val="TextBody"/>
        <w:bidi w:val="0"/>
        <w:spacing w:before="100" w:after="283"/>
        <w:jc w:val="left"/>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Average price paid per share includes related commissions, but excludes the 1% excise tax accrued on our share repurchases as a result of the Inflation Reduction Act of 2022.</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color w:val="000000"/>
          <w:sz w:val="20"/>
        </w:rPr>
      </w:pPr>
      <w:bookmarkStart w:id="40" w:name="item_3"/>
      <w:bookmarkEnd w:id="40"/>
      <w:r>
        <w:rPr>
          <w:rFonts w:ascii="Arial" w:hAnsi="Arial"/>
          <w:b/>
          <w:color w:val="000000"/>
          <w:sz w:val="20"/>
        </w:rPr>
        <w:t>Item 3. Defaults Upon Senior Securities</w:t>
      </w:r>
    </w:p>
    <w:p>
      <w:pPr>
        <w:pStyle w:val="TextBody"/>
        <w:bidi w:val="0"/>
        <w:spacing w:before="0" w:after="200"/>
        <w:jc w:val="left"/>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spacing w:before="160" w:after="283"/>
        <w:jc w:val="left"/>
        <w:rPr>
          <w:rFonts w:ascii="Arial" w:hAnsi="Arial"/>
          <w:b/>
          <w:color w:val="000000"/>
          <w:sz w:val="20"/>
        </w:rPr>
      </w:pPr>
      <w:bookmarkStart w:id="41" w:name="item_4_mine"/>
      <w:bookmarkEnd w:id="41"/>
      <w:r>
        <w:rPr>
          <w:rFonts w:ascii="Arial" w:hAnsi="Arial"/>
          <w:b/>
          <w:color w:val="000000"/>
          <w:sz w:val="20"/>
        </w:rPr>
        <w:t>Item 4. Mine Safety Disclosures</w:t>
      </w:r>
    </w:p>
    <w:p>
      <w:pPr>
        <w:pStyle w:val="TextBody"/>
        <w:bidi w:val="0"/>
        <w:spacing w:before="200" w:after="200"/>
        <w:jc w:val="left"/>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spacing w:before="160" w:after="283"/>
        <w:jc w:val="left"/>
        <w:rPr>
          <w:rFonts w:ascii="Arial" w:hAnsi="Arial"/>
          <w:b/>
          <w:color w:val="000000"/>
          <w:sz w:val="20"/>
        </w:rPr>
      </w:pPr>
      <w:bookmarkStart w:id="42" w:name="item_5"/>
      <w:bookmarkEnd w:id="42"/>
      <w:r>
        <w:rPr>
          <w:rFonts w:ascii="Arial" w:hAnsi="Arial"/>
          <w:b/>
          <w:color w:val="000000"/>
          <w:sz w:val="20"/>
        </w:rPr>
        <w:t>Item 5. Other Information</w:t>
      </w:r>
    </w:p>
    <w:p>
      <w:pPr>
        <w:pStyle w:val="TextBody"/>
        <w:bidi w:val="0"/>
        <w:spacing w:before="200" w:after="200"/>
        <w:jc w:val="left"/>
        <w:rPr>
          <w:rFonts w:ascii="Arial" w:hAnsi="Arial"/>
          <w:b/>
          <w:i/>
          <w:color w:val="000000"/>
          <w:sz w:val="20"/>
        </w:rPr>
      </w:pPr>
      <w:r>
        <w:rPr>
          <w:rFonts w:ascii="Arial" w:hAnsi="Arial"/>
          <w:b/>
          <w:i/>
          <w:color w:val="000000"/>
          <w:sz w:val="20"/>
        </w:rPr>
        <w:t>Rule 10b5-1 Trading Plans</w:t>
      </w:r>
    </w:p>
    <w:p>
      <w:pPr>
        <w:pStyle w:val="TextBody"/>
        <w:bidi w:val="0"/>
        <w:spacing w:before="0" w:after="200"/>
        <w:jc w:val="left"/>
        <w:rPr>
          <w:rFonts w:ascii="Arial" w:hAnsi="Arial"/>
          <w:color w:val="000000"/>
          <w:sz w:val="20"/>
        </w:rPr>
      </w:pPr>
      <w:r>
        <w:rPr>
          <w:rFonts w:ascii="Arial" w:hAnsi="Arial"/>
          <w:color w:val="000000"/>
          <w:sz w:val="20"/>
        </w:rPr>
        <w:t>During the period covered by this Quarterly Report on Form 10-Q, other than as set forth below, no director or officer of the Company “adopted” or terminated a “Rule 10b5-1 trading arrangement” or “non-Rule 10b5-1 trading arrangement” as each term is defined in Item 408(a) of Regulation S-K.</w:t>
      </w:r>
    </w:p>
    <w:p>
      <w:pPr>
        <w:pStyle w:val="TextBody"/>
        <w:bidi w:val="0"/>
        <w:spacing w:before="0" w:after="200"/>
        <w:jc w:val="left"/>
        <w:rPr>
          <w:rFonts w:ascii="Times New Roman" w:hAnsi="Times New Roman"/>
          <w:sz w:val="20"/>
        </w:rPr>
      </w:pPr>
      <w:r>
        <w:rPr>
          <w:rFonts w:ascii="Arial" w:hAnsi="Arial"/>
          <w:color w:val="000000"/>
          <w:sz w:val="20"/>
        </w:rPr>
        <w:t>On March 12, 2025, Phillip Riese, Chair of our Board of Directors, adopted a trading arrangement for the sale of shares of our common stock (a "Rule 10b-5 Trading Plan") that is intended to satisfy the affirmative defense conditions of Securities Exchange Act Rule 10b5-1(c). Mr. Riese’s Rule 10b-5 Trading Plan provides for the sale of up to 60,000 shares of common stock pursuant to the terms of the plan. The plan is effective through June 5, 2026 unless earlier terminated in accordance with the terms of the plan.</w:t>
      </w:r>
      <w:r>
        <w:rPr>
          <w:rFonts w:ascii="Times New Roman" w:hAnsi="Times New Roman"/>
          <w:color w:val="000000"/>
          <w:sz w:val="20"/>
        </w:rPr>
        <w:br/>
        <w:br/>
        <w:br/>
        <w:t> </w:t>
      </w:r>
    </w:p>
    <w:p>
      <w:pPr>
        <w:pStyle w:val="TextBody"/>
        <w:bidi w:val="0"/>
        <w:jc w:val="left"/>
        <w:rPr>
          <w:rFonts w:ascii="Times New Roman" w:hAnsi="Times New Roman"/>
          <w:color w:val="000000"/>
          <w:sz w:val="20"/>
        </w:rPr>
      </w:pPr>
      <w:r>
        <w:rPr>
          <w:rFonts w:ascii="Times New Roman" w:hAnsi="Times New Roman"/>
          <w:color w:val="000000"/>
          <w:sz w:val="20"/>
        </w:rPr>
        <w:br/>
        <w:b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bookmarkStart w:id="43" w:name="exhibits"/>
      <w:bookmarkEnd w:id="43"/>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0"/>
        <w:gridCol w:w="146"/>
        <w:gridCol w:w="9209"/>
      </w:tblGrid>
      <w:tr>
        <w:trPr/>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9" w:type="dxa"/>
            <w:tcBorders/>
            <w:vAlign w:val="center"/>
          </w:tcPr>
          <w:p>
            <w:pPr>
              <w:pStyle w:val="TableContents"/>
              <w:bidi w:val="0"/>
              <w:spacing w:before="0" w:after="283"/>
              <w:jc w:val="left"/>
              <w:rPr>
                <w:sz w:val="4"/>
                <w:szCs w:val="4"/>
              </w:rPr>
            </w:pPr>
            <w:r>
              <w:rPr>
                <w:sz w:val="4"/>
                <w:szCs w:val="4"/>
              </w:rPr>
            </w:r>
          </w:p>
        </w:tc>
      </w:tr>
      <w:tr>
        <w:trPr/>
        <w:tc>
          <w:tcPr>
            <w:tcW w:w="85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Exhibit</w:t>
            </w:r>
          </w:p>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Purchase and Sale Agreement, dated as of February 24, 2025, by and among Flywire Corporation, S Legacy Holdco, Inc., an Illinois corporation (the “Seller”), and each of the shareholders of Seller, signatory thereto.</w:t>
              </w:r>
            </w:hyperlink>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spacing w:before="120" w:after="283"/>
        <w:jc w:val="left"/>
        <w:rPr>
          <w:rFonts w:ascii="Arial" w:hAnsi="Arial"/>
          <w:color w:val="000000"/>
          <w:sz w:val="16"/>
        </w:rPr>
      </w:pPr>
      <w:r>
        <w:rPr>
          <w:rFonts w:ascii="Arial" w:hAnsi="Arial"/>
          <w:color w:val="000000"/>
          <w:sz w:val="16"/>
        </w:rPr>
        <w:t>* Filed herewith</w:t>
      </w:r>
    </w:p>
    <w:p>
      <w:pPr>
        <w:pStyle w:val="TextBody"/>
        <w:bidi w:val="0"/>
        <w:spacing w:before="120" w:after="283"/>
        <w:jc w:val="left"/>
        <w:rPr>
          <w:rFonts w:ascii="Arial" w:hAnsi="Arial"/>
          <w:color w:val="000000"/>
          <w:sz w:val="16"/>
        </w:rPr>
      </w:pPr>
      <w:r>
        <w:rPr>
          <w:rFonts w:ascii="Arial" w:hAnsi="Arial"/>
          <w:color w:val="000000"/>
          <w:sz w:val="16"/>
        </w:rPr>
        <w:t># Schedules (or similar attachments) have been omitted pursuant to Item 601(a)(5) of Regulation S-K and will be provided to the Securities and Exchange Commission upon request.</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center"/>
        <w:rPr>
          <w:rFonts w:ascii="Times New Roman" w:hAnsi="Times New Roman"/>
          <w:sz w:val="20"/>
        </w:rPr>
      </w:pPr>
      <w:bookmarkStart w:id="44" w:name="signatures"/>
      <w:bookmarkEnd w:id="44"/>
      <w:r>
        <w:rPr>
          <w:rFonts w:ascii="Arial" w:hAnsi="Arial"/>
          <w:b/>
          <w:color w:val="000000"/>
          <w:sz w:val="20"/>
        </w:rPr>
        <w:t>SIGNATURES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7169" w:type="dxa"/>
        <w:jc w:val="left"/>
        <w:tblInd w:w="0" w:type="dxa"/>
        <w:tblLayout w:type="fixed"/>
        <w:tblCellMar>
          <w:top w:w="28" w:type="dxa"/>
          <w:left w:w="28" w:type="dxa"/>
          <w:bottom w:w="28" w:type="dxa"/>
          <w:right w:w="28" w:type="dxa"/>
        </w:tblCellMar>
      </w:tblPr>
      <w:tblGrid>
        <w:gridCol w:w="1966"/>
        <w:gridCol w:w="326"/>
        <w:gridCol w:w="646"/>
        <w:gridCol w:w="4231"/>
      </w:tblGrid>
      <w:tr>
        <w:trPr/>
        <w:tc>
          <w:tcPr>
            <w:tcW w:w="19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87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FLYWIRE CORPORATION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May 7, 2025</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20"/>
              </w:rPr>
              <w:t>(Principal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May 7, 2025</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5" w:name="flyw-ex31_1.htm"/>
      <w:bookmarkStart w:id="46" w:name="ksflywex31_1"/>
      <w:bookmarkEnd w:id="45"/>
      <w:bookmarkEnd w:id="46"/>
      <w:r>
        <w:rPr>
          <w:rFonts w:ascii="Arial" w:hAnsi="Arial"/>
          <w:b/>
          <w:color w:val="000000"/>
          <w:sz w:val="20"/>
        </w:rPr>
        <w:t>Exhibit 31.1</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Michael Massaro,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quarterly report on Form 10-Q for the quarter ended March 31, 2025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044" w:type="dxa"/>
        <w:jc w:val="left"/>
        <w:tblInd w:w="0" w:type="dxa"/>
        <w:tblLayout w:type="fixed"/>
        <w:tblCellMar>
          <w:top w:w="28" w:type="dxa"/>
          <w:left w:w="28" w:type="dxa"/>
          <w:bottom w:w="28" w:type="dxa"/>
          <w:right w:w="28" w:type="dxa"/>
        </w:tblCellMar>
      </w:tblPr>
      <w:tblGrid>
        <w:gridCol w:w="1966"/>
        <w:gridCol w:w="146"/>
        <w:gridCol w:w="466"/>
        <w:gridCol w:w="346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May 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7" w:name="flyw-ex31_2.htm"/>
      <w:bookmarkStart w:id="48" w:name="ksflywex31_2"/>
      <w:bookmarkEnd w:id="47"/>
      <w:bookmarkEnd w:id="48"/>
      <w:r>
        <w:rPr>
          <w:rFonts w:ascii="Arial" w:hAnsi="Arial"/>
          <w:b/>
          <w:color w:val="000000"/>
          <w:sz w:val="20"/>
        </w:rPr>
        <w:t>Exhibit 31.2</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Cosmin Pitigoi,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quarterly report on Form 10-Q for the quarter ended March 31, 2025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809" w:type="dxa"/>
        <w:jc w:val="left"/>
        <w:tblInd w:w="0" w:type="dxa"/>
        <w:tblLayout w:type="fixed"/>
        <w:tblCellMar>
          <w:top w:w="28" w:type="dxa"/>
          <w:left w:w="28" w:type="dxa"/>
          <w:bottom w:w="28" w:type="dxa"/>
          <w:right w:w="28" w:type="dxa"/>
        </w:tblCellMar>
      </w:tblPr>
      <w:tblGrid>
        <w:gridCol w:w="1966"/>
        <w:gridCol w:w="146"/>
        <w:gridCol w:w="466"/>
        <w:gridCol w:w="423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May 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9" w:name="flyw-ex32_1.htm"/>
      <w:bookmarkStart w:id="50" w:name="ksflywex32_1"/>
      <w:bookmarkEnd w:id="49"/>
      <w:bookmarkEnd w:id="50"/>
      <w:r>
        <w:rPr>
          <w:rFonts w:ascii="Arial" w:hAnsi="Arial"/>
          <w:b/>
          <w:color w:val="000000"/>
          <w:sz w:val="20"/>
        </w:rPr>
        <w:t>Exhibit 32.1</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Quarterly Report of Flywire Corporation (the “Company”) on Form 10-Q for the quarter ended March 31, 2025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5898" w:type="dxa"/>
        <w:jc w:val="left"/>
        <w:tblInd w:w="0" w:type="dxa"/>
        <w:tblLayout w:type="fixed"/>
        <w:tblCellMar>
          <w:top w:w="28" w:type="dxa"/>
          <w:left w:w="28" w:type="dxa"/>
          <w:bottom w:w="28" w:type="dxa"/>
          <w:right w:w="28" w:type="dxa"/>
        </w:tblCellMar>
      </w:tblPr>
      <w:tblGrid>
        <w:gridCol w:w="1966"/>
        <w:gridCol w:w="466"/>
        <w:gridCol w:w="3466"/>
      </w:tblGrid>
      <w:tr>
        <w:trPr/>
        <w:tc>
          <w:tcPr>
            <w:tcW w:w="19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May 7, 2025</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1" w:name="flyw-ex32_2.htm"/>
      <w:bookmarkStart w:id="52" w:name="ksflywex32_2"/>
      <w:bookmarkEnd w:id="51"/>
      <w:bookmarkEnd w:id="52"/>
      <w:r>
        <w:rPr>
          <w:rFonts w:ascii="Arial" w:hAnsi="Arial"/>
          <w:b/>
          <w:color w:val="000000"/>
          <w:sz w:val="20"/>
        </w:rPr>
        <w:t>Exhibit 32.2</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Quarterly Report of Flywire Corporation (the “Company”) on Form 10-Q for the quarter ended March 31, 2025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6663" w:type="dxa"/>
        <w:jc w:val="left"/>
        <w:tblInd w:w="0" w:type="dxa"/>
        <w:tblLayout w:type="fixed"/>
        <w:tblCellMar>
          <w:top w:w="28" w:type="dxa"/>
          <w:left w:w="28" w:type="dxa"/>
          <w:bottom w:w="28" w:type="dxa"/>
          <w:right w:w="28" w:type="dxa"/>
        </w:tblCellMar>
      </w:tblPr>
      <w:tblGrid>
        <w:gridCol w:w="1966"/>
        <w:gridCol w:w="466"/>
        <w:gridCol w:w="4231"/>
      </w:tblGrid>
      <w:tr>
        <w:trPr/>
        <w:tc>
          <w:tcPr>
            <w:tcW w:w="19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May 7, 2025</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0560/000119312525035188/d843798dex2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69296</Words>
  <Characters>385507</Characters>
  <CharactersWithSpaces>456195</CharactersWithSpaces>
  <Paragraphs>8776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