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00" w:space="440"/>
            <w:col w:w="844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GOLDMAN SACHS GROUP INC</w:t>
        </w:r>
      </w:hyperlink>
    </w:p>
    <w:p>
      <w:pPr>
        <w:spacing w:after="0" w:line="310"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Flywire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FLYW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08/17/2022</w:t>
      </w:r>
    </w:p>
    <w:p>
      <w:pPr>
        <w:spacing w:after="0" w:line="20" w:lineRule="exact"/>
        <w:rPr>
          <w:sz w:val="24"/>
          <w:szCs w:val="24"/>
          <w:color w:val="auto"/>
        </w:rPr>
      </w:pPr>
      <w:r>
        <w:rPr>
          <w:sz w:val="24"/>
          <w:szCs w:val="24"/>
          <w:color w:val="auto"/>
        </w:rPr>
        <w:br w:type="column"/>
      </w:r>
    </w:p>
    <w:p>
      <w:pPr>
        <w:ind w:left="-1" w:right="720" w:firstLine="1"/>
        <w:spacing w:after="0" w:line="230"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8"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7" w:lineRule="exact"/>
        <w:rPr>
          <w:sz w:val="24"/>
          <w:szCs w:val="24"/>
          <w:color w:val="auto"/>
        </w:rPr>
      </w:pPr>
    </w:p>
    <w:p>
      <w:pPr>
        <w:sectPr>
          <w:pgSz w:w="11900" w:h="16838" w:orient="portrait"/>
          <w:cols w:equalWidth="0" w:num="3">
            <w:col w:w="3180" w:space="720"/>
            <w:col w:w="3101" w:space="720"/>
            <w:col w:w="3359"/>
          </w:cols>
          <w:pgMar w:left="460" w:top="219" w:right="359" w:bottom="0" w:gutter="0" w:footer="0" w:header="0"/>
          <w:type w:val="continuous"/>
        </w:sectPr>
      </w:pP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60"/>
              <w:spacing w:after="0"/>
              <w:rPr>
                <w:sz w:val="20"/>
                <w:szCs w:val="20"/>
                <w:color w:val="auto"/>
              </w:rPr>
            </w:pPr>
            <w:r>
              <w:rPr>
                <w:rFonts w:ascii="Arial" w:cs="Arial" w:eastAsia="Arial" w:hAnsi="Arial"/>
                <w:sz w:val="16"/>
                <w:szCs w:val="16"/>
                <w:color w:val="0000FF"/>
              </w:rPr>
              <w:t>NY</w:t>
            </w:r>
          </w:p>
        </w:tc>
        <w:tc>
          <w:tcPr>
            <w:tcW w:w="1600" w:type="dxa"/>
            <w:vAlign w:val="bottom"/>
          </w:tcPr>
          <w:p>
            <w:pPr>
              <w:ind w:left="420"/>
              <w:spacing w:after="0"/>
              <w:rPr>
                <w:sz w:val="20"/>
                <w:szCs w:val="20"/>
                <w:color w:val="auto"/>
              </w:rPr>
            </w:pPr>
            <w:r>
              <w:rPr>
                <w:rFonts w:ascii="Arial" w:cs="Arial" w:eastAsia="Arial" w:hAnsi="Arial"/>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jc w:val="both"/>
        <w:ind w:left="4020"/>
        <w:spacing w:after="0" w:line="23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9" w:lineRule="exact"/>
        <w:rPr>
          <w:sz w:val="24"/>
          <w:szCs w:val="24"/>
          <w:color w:val="auto"/>
        </w:rPr>
      </w:pPr>
    </w:p>
    <w:p>
      <w:pPr>
        <w:sectPr>
          <w:pgSz w:w="11900" w:h="16838" w:orient="portrait"/>
          <w:cols w:equalWidth="0" w:num="2">
            <w:col w:w="3740" w:space="160"/>
            <w:col w:w="718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1680" w:type="dxa"/>
            <w:vAlign w:val="bottom"/>
          </w:tcPr>
          <w:p>
            <w:pPr>
              <w:ind w:left="70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3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Arial" w:cs="Arial" w:eastAsia="Arial" w:hAnsi="Arial"/>
                <w:sz w:val="16"/>
                <w:szCs w:val="16"/>
                <w:color w:val="0000FF"/>
              </w:rPr>
              <w:t>08/17/2022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680" w:type="dxa"/>
            <w:vAlign w:val="bottom"/>
          </w:tcPr>
          <w:p>
            <w:pPr>
              <w:jc w:val="right"/>
              <w:spacing w:after="0"/>
              <w:rPr>
                <w:sz w:val="20"/>
                <w:szCs w:val="20"/>
                <w:color w:val="auto"/>
              </w:rPr>
            </w:pPr>
            <w:r>
              <w:rPr>
                <w:rFonts w:ascii="Arial" w:cs="Arial" w:eastAsia="Arial" w:hAnsi="Arial"/>
                <w:sz w:val="16"/>
                <w:szCs w:val="16"/>
                <w:color w:val="0000FF"/>
              </w:rPr>
              <w:t>89,959</w:t>
            </w:r>
          </w:p>
        </w:tc>
        <w:tc>
          <w:tcPr>
            <w:tcW w:w="660" w:type="dxa"/>
            <w:vAlign w:val="bottom"/>
          </w:tcPr>
          <w:p>
            <w:pPr>
              <w:ind w:left="280"/>
              <w:spacing w:after="0"/>
              <w:rPr>
                <w:sz w:val="20"/>
                <w:szCs w:val="20"/>
                <w:color w:val="auto"/>
              </w:rPr>
            </w:pPr>
            <w:r>
              <w:rPr>
                <w:rFonts w:ascii="Arial" w:cs="Arial" w:eastAsia="Arial" w:hAnsi="Arial"/>
                <w:sz w:val="16"/>
                <w:szCs w:val="16"/>
                <w:color w:val="0000FF"/>
              </w:rPr>
              <w:t>A</w:t>
            </w:r>
          </w:p>
        </w:tc>
        <w:tc>
          <w:tcPr>
            <w:tcW w:w="540" w:type="dxa"/>
            <w:vAlign w:val="bottom"/>
          </w:tcPr>
          <w:p>
            <w:pPr>
              <w:jc w:val="right"/>
              <w:ind w:right="175"/>
              <w:spacing w:after="0"/>
              <w:rPr>
                <w:sz w:val="20"/>
                <w:szCs w:val="20"/>
                <w:color w:val="auto"/>
              </w:rPr>
            </w:pPr>
            <w:r>
              <w:rPr>
                <w:rFonts w:ascii="Arial" w:cs="Arial" w:eastAsia="Arial" w:hAnsi="Arial"/>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642"/>
              <w:spacing w:after="0"/>
              <w:rPr>
                <w:sz w:val="20"/>
                <w:szCs w:val="20"/>
                <w:color w:val="auto"/>
              </w:rPr>
            </w:pPr>
            <w:r>
              <w:rPr>
                <w:rFonts w:ascii="Arial" w:cs="Arial" w:eastAsia="Arial" w:hAnsi="Arial"/>
                <w:sz w:val="16"/>
                <w:szCs w:val="16"/>
                <w:color w:val="0000FF"/>
              </w:rPr>
              <w:t>403,330</w:t>
            </w:r>
          </w:p>
        </w:tc>
        <w:tc>
          <w:tcPr>
            <w:tcW w:w="100" w:type="dxa"/>
            <w:vAlign w:val="bottom"/>
          </w:tcPr>
          <w:p>
            <w:pPr>
              <w:ind w:left="40"/>
              <w:spacing w:after="0"/>
              <w:rPr>
                <w:sz w:val="20"/>
                <w:szCs w:val="20"/>
                <w:color w:val="auto"/>
              </w:rPr>
            </w:pPr>
            <w:r>
              <w:rPr>
                <w:rFonts w:ascii="Arial" w:cs="Arial" w:eastAsia="Arial" w:hAnsi="Arial"/>
                <w:sz w:val="16"/>
                <w:szCs w:val="16"/>
                <w:color w:val="0000FF"/>
                <w:w w:val="88"/>
              </w:rPr>
              <w:t>I</w:t>
            </w:r>
          </w:p>
        </w:tc>
        <w:tc>
          <w:tcPr>
            <w:tcW w:w="1600" w:type="dxa"/>
            <w:vAlign w:val="bottom"/>
            <w:gridSpan w:val="3"/>
          </w:tcPr>
          <w:p>
            <w:pPr>
              <w:ind w:left="4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Arial" w:cs="Arial" w:eastAsia="Arial" w:hAnsi="Arial"/>
                <w:sz w:val="16"/>
                <w:szCs w:val="16"/>
                <w:color w:val="0000FF"/>
              </w:rPr>
              <w:t>08/17/2022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0000FF"/>
              </w:rPr>
              <w:t>89,959</w:t>
            </w:r>
          </w:p>
        </w:tc>
        <w:tc>
          <w:tcPr>
            <w:tcW w:w="66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26.71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Arial" w:cs="Arial" w:eastAsia="Arial" w:hAnsi="Arial"/>
                <w:sz w:val="16"/>
                <w:szCs w:val="16"/>
                <w:color w:val="0000FF"/>
              </w:rPr>
              <w:t>313,371</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0000FF"/>
                <w:w w:val="88"/>
              </w:rPr>
              <w:t>I</w:t>
            </w:r>
          </w:p>
        </w:tc>
        <w:tc>
          <w:tcPr>
            <w:tcW w:w="1600" w:type="dxa"/>
            <w:vAlign w:val="bottom"/>
            <w:gridSpan w:val="3"/>
          </w:tcPr>
          <w:p>
            <w:pPr>
              <w:ind w:left="4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gridSpan w:val="5"/>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580" w:type="dxa"/>
            <w:vAlign w:val="bottom"/>
            <w:gridSpan w:val="2"/>
            <w:vMerge w:val="restart"/>
          </w:tcPr>
          <w:p>
            <w:pPr>
              <w:ind w:left="4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Arial" w:cs="Arial" w:eastAsia="Arial" w:hAnsi="Arial"/>
                <w:sz w:val="16"/>
                <w:szCs w:val="16"/>
                <w:color w:val="0000FF"/>
              </w:rPr>
              <w:t>08/18/2022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680" w:type="dxa"/>
            <w:vAlign w:val="bottom"/>
          </w:tcPr>
          <w:p>
            <w:pPr>
              <w:jc w:val="right"/>
              <w:spacing w:after="0"/>
              <w:rPr>
                <w:sz w:val="20"/>
                <w:szCs w:val="20"/>
                <w:color w:val="auto"/>
              </w:rPr>
            </w:pPr>
            <w:r>
              <w:rPr>
                <w:rFonts w:ascii="Arial" w:cs="Arial" w:eastAsia="Arial" w:hAnsi="Arial"/>
                <w:sz w:val="16"/>
                <w:szCs w:val="16"/>
                <w:color w:val="0000FF"/>
              </w:rPr>
              <w:t>72,356</w:t>
            </w:r>
          </w:p>
        </w:tc>
        <w:tc>
          <w:tcPr>
            <w:tcW w:w="660" w:type="dxa"/>
            <w:vAlign w:val="bottom"/>
          </w:tcPr>
          <w:p>
            <w:pPr>
              <w:ind w:left="280"/>
              <w:spacing w:after="0"/>
              <w:rPr>
                <w:sz w:val="20"/>
                <w:szCs w:val="20"/>
                <w:color w:val="auto"/>
              </w:rPr>
            </w:pPr>
            <w:r>
              <w:rPr>
                <w:rFonts w:ascii="Arial" w:cs="Arial" w:eastAsia="Arial" w:hAnsi="Arial"/>
                <w:sz w:val="16"/>
                <w:szCs w:val="16"/>
                <w:color w:val="0000FF"/>
              </w:rPr>
              <w:t>A</w:t>
            </w:r>
          </w:p>
        </w:tc>
        <w:tc>
          <w:tcPr>
            <w:tcW w:w="540" w:type="dxa"/>
            <w:vAlign w:val="bottom"/>
          </w:tcPr>
          <w:p>
            <w:pPr>
              <w:jc w:val="right"/>
              <w:ind w:right="175"/>
              <w:spacing w:after="0"/>
              <w:rPr>
                <w:sz w:val="20"/>
                <w:szCs w:val="20"/>
                <w:color w:val="auto"/>
              </w:rPr>
            </w:pPr>
            <w:r>
              <w:rPr>
                <w:rFonts w:ascii="Arial" w:cs="Arial" w:eastAsia="Arial" w:hAnsi="Arial"/>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642"/>
              <w:spacing w:after="0"/>
              <w:rPr>
                <w:sz w:val="20"/>
                <w:szCs w:val="20"/>
                <w:color w:val="auto"/>
              </w:rPr>
            </w:pPr>
            <w:r>
              <w:rPr>
                <w:rFonts w:ascii="Arial" w:cs="Arial" w:eastAsia="Arial" w:hAnsi="Arial"/>
                <w:sz w:val="16"/>
                <w:szCs w:val="16"/>
                <w:color w:val="0000FF"/>
              </w:rPr>
              <w:t>547,065</w:t>
            </w:r>
          </w:p>
        </w:tc>
        <w:tc>
          <w:tcPr>
            <w:tcW w:w="100" w:type="dxa"/>
            <w:vAlign w:val="bottom"/>
          </w:tcPr>
          <w:p>
            <w:pPr>
              <w:ind w:left="40"/>
              <w:spacing w:after="0"/>
              <w:rPr>
                <w:sz w:val="20"/>
                <w:szCs w:val="20"/>
                <w:color w:val="auto"/>
              </w:rPr>
            </w:pPr>
            <w:r>
              <w:rPr>
                <w:rFonts w:ascii="Arial" w:cs="Arial" w:eastAsia="Arial" w:hAnsi="Arial"/>
                <w:sz w:val="16"/>
                <w:szCs w:val="16"/>
                <w:color w:val="0000FF"/>
                <w:w w:val="88"/>
              </w:rPr>
              <w:t>I</w:t>
            </w:r>
          </w:p>
        </w:tc>
        <w:tc>
          <w:tcPr>
            <w:tcW w:w="1600" w:type="dxa"/>
            <w:vAlign w:val="bottom"/>
            <w:gridSpan w:val="3"/>
          </w:tcPr>
          <w:p>
            <w:pPr>
              <w:ind w:left="4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Arial" w:cs="Arial" w:eastAsia="Arial" w:hAnsi="Arial"/>
                <w:sz w:val="16"/>
                <w:szCs w:val="16"/>
                <w:color w:val="0000FF"/>
              </w:rPr>
              <w:t>08/18/2022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0000FF"/>
              </w:rPr>
              <w:t>72,356</w:t>
            </w:r>
          </w:p>
        </w:tc>
        <w:tc>
          <w:tcPr>
            <w:tcW w:w="66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26.71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Arial" w:cs="Arial" w:eastAsia="Arial" w:hAnsi="Arial"/>
                <w:sz w:val="16"/>
                <w:szCs w:val="16"/>
                <w:color w:val="0000FF"/>
              </w:rPr>
              <w:t>474,709</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0000FF"/>
                <w:w w:val="88"/>
              </w:rPr>
              <w:t>I</w:t>
            </w:r>
          </w:p>
        </w:tc>
        <w:tc>
          <w:tcPr>
            <w:tcW w:w="1600" w:type="dxa"/>
            <w:vAlign w:val="bottom"/>
            <w:gridSpan w:val="3"/>
          </w:tcPr>
          <w:p>
            <w:pPr>
              <w:ind w:left="4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gridSpan w:val="5"/>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580" w:type="dxa"/>
            <w:vAlign w:val="bottom"/>
            <w:gridSpan w:val="2"/>
            <w:vMerge w:val="restart"/>
          </w:tcPr>
          <w:p>
            <w:pPr>
              <w:ind w:left="4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82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6"/>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Arial" w:cs="Arial" w:eastAsia="Arial" w:hAnsi="Arial"/>
                <w:sz w:val="10"/>
                <w:szCs w:val="10"/>
                <w:color w:val="008000"/>
                <w:w w:val="89"/>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2" w:lineRule="exact"/>
              <w:rPr>
                <w:sz w:val="20"/>
                <w:szCs w:val="20"/>
                <w:color w:val="auto"/>
              </w:rPr>
            </w:pPr>
            <w:r>
              <w:rPr>
                <w:rFonts w:ascii="Arial" w:cs="Arial" w:eastAsia="Arial" w:hAnsi="Arial"/>
                <w:sz w:val="13"/>
                <w:szCs w:val="13"/>
                <w:color w:val="0000FF"/>
              </w:rPr>
              <w:t>Voting</w:t>
            </w:r>
          </w:p>
        </w:tc>
        <w:tc>
          <w:tcPr>
            <w:tcW w:w="8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right"/>
              <w:ind w:right="192"/>
              <w:spacing w:after="0"/>
              <w:rPr>
                <w:sz w:val="20"/>
                <w:szCs w:val="20"/>
                <w:color w:val="auto"/>
              </w:rPr>
            </w:pPr>
            <w:r>
              <w:rPr>
                <w:rFonts w:ascii="Arial" w:cs="Arial" w:eastAsia="Arial" w:hAnsi="Arial"/>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0000FF"/>
                <w:w w:val="89"/>
              </w:rPr>
              <w:t>89,959</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2" w:lineRule="exact"/>
              <w:rPr>
                <w:sz w:val="20"/>
                <w:szCs w:val="20"/>
                <w:color w:val="auto"/>
              </w:rPr>
            </w:pPr>
            <w:r>
              <w:rPr>
                <w:rFonts w:ascii="Arial" w:cs="Arial" w:eastAsia="Arial" w:hAnsi="Arial"/>
                <w:sz w:val="13"/>
                <w:szCs w:val="13"/>
                <w:color w:val="0000FF"/>
              </w:rPr>
              <w:t>08/17/2022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2" w:lineRule="exact"/>
              <w:rPr>
                <w:sz w:val="20"/>
                <w:szCs w:val="20"/>
                <w:color w:val="auto"/>
              </w:rPr>
            </w:pPr>
            <w:r>
              <w:rPr>
                <w:rFonts w:ascii="Arial" w:cs="Arial" w:eastAsia="Arial" w:hAnsi="Arial"/>
                <w:sz w:val="13"/>
                <w:szCs w:val="13"/>
                <w:color w:val="0000FF"/>
              </w:rPr>
              <w:t>C</w:t>
            </w:r>
          </w:p>
        </w:tc>
        <w:tc>
          <w:tcPr>
            <w:tcW w:w="720" w:type="dxa"/>
            <w:vAlign w:val="bottom"/>
            <w:vMerge w:val="restart"/>
          </w:tcPr>
          <w:p>
            <w:pPr>
              <w:ind w:left="320"/>
              <w:spacing w:after="0" w:line="122" w:lineRule="exact"/>
              <w:rPr>
                <w:sz w:val="20"/>
                <w:szCs w:val="20"/>
                <w:color w:val="auto"/>
              </w:rPr>
            </w:pPr>
            <w:r>
              <w:rPr>
                <w:rFonts w:ascii="Arial" w:cs="Arial" w:eastAsia="Arial" w:hAnsi="Arial"/>
                <w:sz w:val="13"/>
                <w:szCs w:val="13"/>
                <w:color w:val="0000FF"/>
                <w:w w:val="95"/>
              </w:rPr>
              <w:t>89,959</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00" w:type="dxa"/>
            <w:vAlign w:val="bottom"/>
            <w:vMerge w:val="restart"/>
          </w:tcPr>
          <w:p>
            <w:pPr>
              <w:ind w:left="140"/>
              <w:spacing w:after="0" w:line="122" w:lineRule="exact"/>
              <w:rPr>
                <w:sz w:val="20"/>
                <w:szCs w:val="20"/>
                <w:color w:val="auto"/>
              </w:rPr>
            </w:pPr>
            <w:r>
              <w:rPr>
                <w:rFonts w:ascii="Arial" w:cs="Arial" w:eastAsia="Arial" w:hAnsi="Arial"/>
                <w:sz w:val="13"/>
                <w:szCs w:val="13"/>
                <w:color w:val="0000FF"/>
              </w:rPr>
              <w:t>3,988,409</w:t>
            </w:r>
          </w:p>
        </w:tc>
        <w:tc>
          <w:tcPr>
            <w:tcW w:w="100" w:type="dxa"/>
            <w:vAlign w:val="bottom"/>
          </w:tcPr>
          <w:p>
            <w:pPr>
              <w:spacing w:after="0"/>
              <w:rPr>
                <w:sz w:val="5"/>
                <w:szCs w:val="5"/>
                <w:color w:val="auto"/>
              </w:rPr>
            </w:pPr>
          </w:p>
        </w:tc>
        <w:tc>
          <w:tcPr>
            <w:tcW w:w="640" w:type="dxa"/>
            <w:vAlign w:val="bottom"/>
            <w:vMerge w:val="restart"/>
          </w:tcPr>
          <w:p>
            <w:pPr>
              <w:ind w:left="260"/>
              <w:spacing w:after="0" w:line="122"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92" w:lineRule="exact"/>
              <w:rPr>
                <w:sz w:val="20"/>
                <w:szCs w:val="20"/>
                <w:color w:val="auto"/>
              </w:rPr>
            </w:pPr>
            <w:r>
              <w:rPr>
                <w:rFonts w:ascii="Arial" w:cs="Arial" w:eastAsia="Arial" w:hAnsi="Arial"/>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6"/>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Arial" w:cs="Arial" w:eastAsia="Arial" w:hAnsi="Arial"/>
                <w:sz w:val="10"/>
                <w:szCs w:val="10"/>
                <w:color w:val="008000"/>
                <w:w w:val="89"/>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2" w:lineRule="exact"/>
              <w:rPr>
                <w:sz w:val="20"/>
                <w:szCs w:val="20"/>
                <w:color w:val="auto"/>
              </w:rPr>
            </w:pPr>
            <w:r>
              <w:rPr>
                <w:rFonts w:ascii="Arial" w:cs="Arial" w:eastAsia="Arial" w:hAnsi="Arial"/>
                <w:sz w:val="13"/>
                <w:szCs w:val="13"/>
                <w:color w:val="0000FF"/>
              </w:rPr>
              <w:t>Voting</w:t>
            </w:r>
          </w:p>
        </w:tc>
        <w:tc>
          <w:tcPr>
            <w:tcW w:w="82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680" w:type="dxa"/>
            <w:vAlign w:val="bottom"/>
            <w:vMerge w:val="restart"/>
          </w:tcPr>
          <w:p>
            <w:pPr>
              <w:jc w:val="right"/>
              <w:ind w:right="192"/>
              <w:spacing w:after="0"/>
              <w:rPr>
                <w:sz w:val="20"/>
                <w:szCs w:val="20"/>
                <w:color w:val="auto"/>
              </w:rPr>
            </w:pPr>
            <w:r>
              <w:rPr>
                <w:rFonts w:ascii="Arial" w:cs="Arial" w:eastAsia="Arial" w:hAnsi="Arial"/>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0000FF"/>
                <w:w w:val="89"/>
              </w:rPr>
              <w:t>72,356</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2" w:lineRule="exact"/>
              <w:rPr>
                <w:sz w:val="20"/>
                <w:szCs w:val="20"/>
                <w:color w:val="auto"/>
              </w:rPr>
            </w:pPr>
            <w:r>
              <w:rPr>
                <w:rFonts w:ascii="Arial" w:cs="Arial" w:eastAsia="Arial" w:hAnsi="Arial"/>
                <w:sz w:val="13"/>
                <w:szCs w:val="13"/>
                <w:color w:val="0000FF"/>
              </w:rPr>
              <w:t>08/18/2022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2" w:lineRule="exact"/>
              <w:rPr>
                <w:sz w:val="20"/>
                <w:szCs w:val="20"/>
                <w:color w:val="auto"/>
              </w:rPr>
            </w:pPr>
            <w:r>
              <w:rPr>
                <w:rFonts w:ascii="Arial" w:cs="Arial" w:eastAsia="Arial" w:hAnsi="Arial"/>
                <w:sz w:val="13"/>
                <w:szCs w:val="13"/>
                <w:color w:val="0000FF"/>
              </w:rPr>
              <w:t>C</w:t>
            </w:r>
          </w:p>
        </w:tc>
        <w:tc>
          <w:tcPr>
            <w:tcW w:w="720" w:type="dxa"/>
            <w:vAlign w:val="bottom"/>
            <w:vMerge w:val="restart"/>
          </w:tcPr>
          <w:p>
            <w:pPr>
              <w:ind w:left="320"/>
              <w:spacing w:after="0" w:line="122" w:lineRule="exact"/>
              <w:rPr>
                <w:sz w:val="20"/>
                <w:szCs w:val="20"/>
                <w:color w:val="auto"/>
              </w:rPr>
            </w:pPr>
            <w:r>
              <w:rPr>
                <w:rFonts w:ascii="Arial" w:cs="Arial" w:eastAsia="Arial" w:hAnsi="Arial"/>
                <w:sz w:val="13"/>
                <w:szCs w:val="13"/>
                <w:color w:val="0000FF"/>
                <w:w w:val="95"/>
              </w:rPr>
              <w:t>72,356</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00" w:type="dxa"/>
            <w:vAlign w:val="bottom"/>
            <w:vMerge w:val="restart"/>
          </w:tcPr>
          <w:p>
            <w:pPr>
              <w:ind w:left="140"/>
              <w:spacing w:after="0" w:line="122" w:lineRule="exact"/>
              <w:rPr>
                <w:sz w:val="20"/>
                <w:szCs w:val="20"/>
                <w:color w:val="auto"/>
              </w:rPr>
            </w:pPr>
            <w:r>
              <w:rPr>
                <w:rFonts w:ascii="Arial" w:cs="Arial" w:eastAsia="Arial" w:hAnsi="Arial"/>
                <w:sz w:val="13"/>
                <w:szCs w:val="13"/>
                <w:color w:val="0000FF"/>
              </w:rPr>
              <w:t>3,916,053</w:t>
            </w:r>
          </w:p>
        </w:tc>
        <w:tc>
          <w:tcPr>
            <w:tcW w:w="100" w:type="dxa"/>
            <w:vAlign w:val="bottom"/>
          </w:tcPr>
          <w:p>
            <w:pPr>
              <w:spacing w:after="0"/>
              <w:rPr>
                <w:sz w:val="5"/>
                <w:szCs w:val="5"/>
                <w:color w:val="auto"/>
              </w:rPr>
            </w:pPr>
          </w:p>
        </w:tc>
        <w:tc>
          <w:tcPr>
            <w:tcW w:w="640" w:type="dxa"/>
            <w:vAlign w:val="bottom"/>
            <w:vMerge w:val="restart"/>
          </w:tcPr>
          <w:p>
            <w:pPr>
              <w:ind w:left="260"/>
              <w:spacing w:after="0" w:line="122"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92" w:lineRule="exact"/>
              <w:rPr>
                <w:sz w:val="20"/>
                <w:szCs w:val="20"/>
                <w:color w:val="auto"/>
              </w:rPr>
            </w:pPr>
            <w:r>
              <w:rPr>
                <w:rFonts w:ascii="Arial" w:cs="Arial" w:eastAsia="Arial" w:hAnsi="Arial"/>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09" w:lineRule="exact"/>
              <w:rPr>
                <w:rFonts w:ascii="Arial" w:cs="Arial" w:eastAsia="Arial" w:hAnsi="Arial"/>
                <w:sz w:val="20"/>
                <w:szCs w:val="20"/>
                <w:color w:val="0000EE"/>
              </w:rPr>
            </w:pPr>
            <w:hyperlink r:id="rId12">
              <w:r>
                <w:rPr>
                  <w:rFonts w:ascii="Arial" w:cs="Arial" w:eastAsia="Arial" w:hAnsi="Arial"/>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color w:val="0000FF"/>
                <w:w w:val="93"/>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020" w:type="dxa"/>
            <w:vAlign w:val="bottom"/>
          </w:tcPr>
          <w:p>
            <w:pPr>
              <w:ind w:left="20"/>
              <w:spacing w:after="0"/>
              <w:rPr>
                <w:sz w:val="20"/>
                <w:szCs w:val="20"/>
                <w:color w:val="auto"/>
              </w:rPr>
            </w:pPr>
            <w:r>
              <w:rPr>
                <w:rFonts w:ascii="Arial" w:cs="Arial" w:eastAsia="Arial" w:hAnsi="Arial"/>
                <w:sz w:val="16"/>
                <w:szCs w:val="16"/>
                <w:color w:val="0000FF"/>
              </w:rPr>
              <w:t>NY</w:t>
            </w:r>
          </w:p>
        </w:tc>
        <w:tc>
          <w:tcPr>
            <w:tcW w:w="1020" w:type="dxa"/>
            <w:vAlign w:val="bottom"/>
            <w:gridSpan w:val="3"/>
          </w:tcPr>
          <w:p>
            <w:pPr>
              <w:ind w:left="400"/>
              <w:spacing w:after="0"/>
              <w:rPr>
                <w:sz w:val="20"/>
                <w:szCs w:val="20"/>
                <w:color w:val="auto"/>
              </w:rPr>
            </w:pPr>
            <w:r>
              <w:rPr>
                <w:rFonts w:ascii="Arial" w:cs="Arial" w:eastAsia="Arial" w:hAnsi="Arial"/>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09" w:lineRule="exact"/>
              <w:rPr>
                <w:rFonts w:ascii="Arial" w:cs="Arial" w:eastAsia="Arial" w:hAnsi="Arial"/>
                <w:sz w:val="20"/>
                <w:szCs w:val="20"/>
                <w:color w:val="0000EE"/>
              </w:rPr>
            </w:pPr>
            <w:hyperlink r:id="rId14">
              <w:r>
                <w:rPr>
                  <w:rFonts w:ascii="Arial" w:cs="Arial" w:eastAsia="Arial" w:hAnsi="Arial"/>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color w:val="0000FF"/>
                <w:w w:val="93"/>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020" w:type="dxa"/>
            <w:vAlign w:val="bottom"/>
          </w:tcPr>
          <w:p>
            <w:pPr>
              <w:ind w:left="20"/>
              <w:spacing w:after="0"/>
              <w:rPr>
                <w:sz w:val="20"/>
                <w:szCs w:val="20"/>
                <w:color w:val="auto"/>
              </w:rPr>
            </w:pPr>
            <w:r>
              <w:rPr>
                <w:rFonts w:ascii="Arial" w:cs="Arial" w:eastAsia="Arial" w:hAnsi="Arial"/>
                <w:sz w:val="16"/>
                <w:szCs w:val="16"/>
                <w:color w:val="0000FF"/>
              </w:rPr>
              <w:t>NY</w:t>
            </w:r>
          </w:p>
        </w:tc>
        <w:tc>
          <w:tcPr>
            <w:tcW w:w="1020" w:type="dxa"/>
            <w:vAlign w:val="bottom"/>
            <w:gridSpan w:val="3"/>
          </w:tcPr>
          <w:p>
            <w:pPr>
              <w:ind w:left="400"/>
              <w:spacing w:after="0"/>
              <w:rPr>
                <w:sz w:val="20"/>
                <w:szCs w:val="20"/>
                <w:color w:val="auto"/>
              </w:rPr>
            </w:pPr>
            <w:r>
              <w:rPr>
                <w:rFonts w:ascii="Arial" w:cs="Arial" w:eastAsia="Arial" w:hAnsi="Arial"/>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-5526405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-132715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w w:val="93"/>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580" w:type="dxa"/>
            <w:vAlign w:val="bottom"/>
          </w:tcPr>
          <w:p>
            <w:pPr>
              <w:ind w:left="220"/>
              <w:spacing w:after="0"/>
              <w:rPr>
                <w:sz w:val="20"/>
                <w:szCs w:val="20"/>
                <w:color w:val="auto"/>
              </w:rPr>
            </w:pPr>
            <w:r>
              <w:rPr>
                <w:rFonts w:ascii="Arial" w:cs="Arial" w:eastAsia="Arial" w:hAnsi="Arial"/>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80" w:type="dxa"/>
            <w:vAlign w:val="bottom"/>
          </w:tcPr>
          <w:p>
            <w:pPr>
              <w:spacing w:after="0"/>
              <w:rPr>
                <w:sz w:val="18"/>
                <w:szCs w:val="18"/>
                <w:color w:val="auto"/>
              </w:rPr>
            </w:pPr>
          </w:p>
        </w:tc>
        <w:tc>
          <w:tcPr>
            <w:tcW w:w="2600" w:type="dxa"/>
            <w:vAlign w:val="bottom"/>
            <w:gridSpan w:val="4"/>
          </w:tcPr>
          <w:p>
            <w:pPr>
              <w:ind w:left="20"/>
              <w:spacing w:after="0" w:line="209" w:lineRule="exact"/>
              <w:rPr>
                <w:rFonts w:ascii="Arial" w:cs="Arial" w:eastAsia="Arial" w:hAnsi="Arial"/>
                <w:sz w:val="20"/>
                <w:szCs w:val="20"/>
                <w:color w:val="0000EE"/>
              </w:rPr>
            </w:pPr>
            <w:hyperlink r:id="rId18">
              <w:r>
                <w:rPr>
                  <w:rFonts w:ascii="Arial" w:cs="Arial" w:eastAsia="Arial" w:hAnsi="Arial"/>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w w:val="93"/>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580" w:type="dxa"/>
            <w:vAlign w:val="bottom"/>
          </w:tcPr>
          <w:p>
            <w:pPr>
              <w:ind w:left="220"/>
              <w:spacing w:after="0"/>
              <w:rPr>
                <w:sz w:val="20"/>
                <w:szCs w:val="20"/>
                <w:color w:val="auto"/>
              </w:rPr>
            </w:pPr>
            <w:r>
              <w:rPr>
                <w:rFonts w:ascii="Arial" w:cs="Arial" w:eastAsia="Arial" w:hAnsi="Arial"/>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Stonebridge 2020 Offshore Holdings II, L.P.</w:t>
        </w:r>
      </w:hyperlink>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0000FF"/>
                <w:w w:val="93"/>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49"/>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00" w:type="dxa"/>
            <w:vAlign w:val="bottom"/>
          </w:tcPr>
          <w:p>
            <w:pPr>
              <w:ind w:left="20"/>
              <w:spacing w:after="0"/>
              <w:rPr>
                <w:sz w:val="20"/>
                <w:szCs w:val="20"/>
                <w:color w:val="auto"/>
              </w:rPr>
            </w:pPr>
            <w:r>
              <w:rPr>
                <w:rFonts w:ascii="Arial" w:cs="Arial" w:eastAsia="Arial" w:hAnsi="Arial"/>
                <w:sz w:val="16"/>
                <w:szCs w:val="16"/>
                <w:color w:val="0000FF"/>
              </w:rPr>
              <w:t>NY</w:t>
            </w:r>
          </w:p>
        </w:tc>
        <w:tc>
          <w:tcPr>
            <w:tcW w:w="1880" w:type="dxa"/>
            <w:vAlign w:val="bottom"/>
          </w:tcPr>
          <w:p>
            <w:pPr>
              <w:ind w:left="520"/>
              <w:spacing w:after="0"/>
              <w:rPr>
                <w:sz w:val="20"/>
                <w:szCs w:val="20"/>
                <w:color w:val="auto"/>
              </w:rPr>
            </w:pPr>
            <w:r>
              <w:rPr>
                <w:rFonts w:ascii="Arial" w:cs="Arial" w:eastAsia="Arial" w:hAnsi="Arial"/>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Bridge Street Opportunity Advisors, L.L.C.</w:t>
        </w:r>
      </w:hyperlink>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0000FF"/>
                <w:w w:val="93"/>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49"/>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00" w:type="dxa"/>
            <w:vAlign w:val="bottom"/>
          </w:tcPr>
          <w:p>
            <w:pPr>
              <w:ind w:left="20"/>
              <w:spacing w:after="0"/>
              <w:rPr>
                <w:sz w:val="20"/>
                <w:szCs w:val="20"/>
                <w:color w:val="auto"/>
              </w:rPr>
            </w:pPr>
            <w:r>
              <w:rPr>
                <w:rFonts w:ascii="Arial" w:cs="Arial" w:eastAsia="Arial" w:hAnsi="Arial"/>
                <w:sz w:val="16"/>
                <w:szCs w:val="16"/>
                <w:color w:val="0000FF"/>
              </w:rPr>
              <w:t>NY</w:t>
            </w:r>
          </w:p>
        </w:tc>
        <w:tc>
          <w:tcPr>
            <w:tcW w:w="1880" w:type="dxa"/>
            <w:vAlign w:val="bottom"/>
          </w:tcPr>
          <w:p>
            <w:pPr>
              <w:ind w:left="520"/>
              <w:spacing w:after="0"/>
              <w:rPr>
                <w:sz w:val="20"/>
                <w:szCs w:val="20"/>
                <w:color w:val="auto"/>
              </w:rPr>
            </w:pPr>
            <w:r>
              <w:rPr>
                <w:rFonts w:ascii="Arial" w:cs="Arial" w:eastAsia="Arial" w:hAnsi="Arial"/>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hanging="2"/>
        <w:spacing w:after="0" w:line="231"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August 17, 2022, the reporting person consummated the sale of all 89,959 shares of Non-Voting Common Stock, resulting in the automatic conversion of such shares into Voting Common Stock upon the execution of the sale of such shares as reported in Table I.</w:t>
      </w:r>
    </w:p>
    <w:p>
      <w:pPr>
        <w:spacing w:after="0" w:line="32" w:lineRule="exact"/>
        <w:rPr>
          <w:rFonts w:ascii="Arial" w:cs="Arial" w:eastAsia="Arial" w:hAnsi="Arial"/>
          <w:sz w:val="13"/>
          <w:szCs w:val="13"/>
          <w:color w:val="008000"/>
        </w:rPr>
      </w:pPr>
    </w:p>
    <w:p>
      <w:pPr>
        <w:ind w:left="20" w:right="40" w:hanging="2"/>
        <w:spacing w:after="0" w:line="22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32" w:lineRule="exact"/>
        <w:rPr>
          <w:rFonts w:ascii="Arial" w:cs="Arial" w:eastAsia="Arial" w:hAnsi="Arial"/>
          <w:sz w:val="13"/>
          <w:szCs w:val="13"/>
          <w:color w:val="008000"/>
        </w:rPr>
      </w:pPr>
    </w:p>
    <w:p>
      <w:pPr>
        <w:ind w:left="20" w:right="320" w:hanging="2"/>
        <w:spacing w:after="0" w:line="23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30" w:lineRule="exact"/>
        <w:rPr>
          <w:rFonts w:ascii="Arial" w:cs="Arial" w:eastAsia="Arial" w:hAnsi="Arial"/>
          <w:sz w:val="13"/>
          <w:szCs w:val="13"/>
          <w:color w:val="008000"/>
        </w:rPr>
      </w:pPr>
    </w:p>
    <w:p>
      <w:pPr>
        <w:ind w:left="20" w:right="40" w:hanging="2"/>
        <w:spacing w:after="0" w:line="23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30" w:lineRule="exact"/>
        <w:rPr>
          <w:rFonts w:ascii="Arial" w:cs="Arial" w:eastAsia="Arial" w:hAnsi="Arial"/>
          <w:sz w:val="13"/>
          <w:szCs w:val="13"/>
          <w:color w:val="008000"/>
        </w:rPr>
      </w:pPr>
    </w:p>
    <w:p>
      <w:pPr>
        <w:ind w:left="20" w:hanging="2"/>
        <w:spacing w:after="0" w:line="23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30" w:lineRule="exact"/>
        <w:rPr>
          <w:rFonts w:ascii="Arial" w:cs="Arial" w:eastAsia="Arial" w:hAnsi="Arial"/>
          <w:sz w:val="13"/>
          <w:szCs w:val="13"/>
          <w:color w:val="008000"/>
        </w:rPr>
      </w:pPr>
    </w:p>
    <w:p>
      <w:pPr>
        <w:ind w:left="20" w:hanging="2"/>
        <w:spacing w:after="0" w:line="231"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August 18, 2022, the reporting person consummated the sale of all 72,356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08/19/2022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5"/>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Arial" w:cs="Arial" w:eastAsia="Arial" w:hAnsi="Arial"/>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08/19/2022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5"/>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Arial" w:cs="Arial" w:eastAsia="Arial" w:hAnsi="Arial"/>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08/19/2022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5"/>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Arial" w:cs="Arial" w:eastAsia="Arial" w:hAnsi="Arial"/>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08/19/2022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5"/>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Arial" w:cs="Arial" w:eastAsia="Arial" w:hAnsi="Arial"/>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08/19/2022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5"/>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Arial" w:cs="Arial" w:eastAsia="Arial" w:hAnsi="Arial"/>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08/19/2022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5"/>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20"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2022-08-19T15:38:41Z</dcterms:created>
  <dcterms:modified xsi:type="dcterms:W3CDTF">2022-08-19T15:38:41Z</dcterms:modified>
</cp:coreProperties>
</file>