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March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FLYWIRE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001-40430</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27-0690799</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6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jc w:val="center"/>
        <w:ind w:right="1060"/>
        <w:spacing w:after="0"/>
        <w:rPr>
          <w:sz w:val="20"/>
          <w:szCs w:val="20"/>
          <w:color w:val="auto"/>
        </w:rPr>
      </w:pPr>
      <w:r>
        <w:rPr>
          <w:rFonts w:ascii="Arial" w:cs="Arial" w:eastAsia="Arial" w:hAnsi="Arial"/>
          <w:sz w:val="7"/>
          <w:szCs w:val="7"/>
          <w:b w:val="1"/>
          <w:bCs w:val="1"/>
          <w:color w:val="auto"/>
        </w:rPr>
        <w:t>(Commission</w:t>
      </w:r>
    </w:p>
    <w:p>
      <w:pPr>
        <w:spacing w:after="0" w:line="13" w:lineRule="exact"/>
        <w:rPr>
          <w:sz w:val="24"/>
          <w:szCs w:val="24"/>
          <w:color w:val="auto"/>
        </w:rPr>
      </w:pPr>
    </w:p>
    <w:p>
      <w:pPr>
        <w:jc w:val="center"/>
        <w:ind w:right="1060"/>
        <w:spacing w:after="0"/>
        <w:rPr>
          <w:sz w:val="20"/>
          <w:szCs w:val="20"/>
          <w:color w:val="auto"/>
        </w:rPr>
      </w:pPr>
      <w:r>
        <w:rPr>
          <w:rFonts w:ascii="Arial" w:cs="Arial" w:eastAsia="Arial" w:hAnsi="Arial"/>
          <w:sz w:val="10"/>
          <w:szCs w:val="10"/>
          <w:b w:val="1"/>
          <w:bCs w:val="1"/>
          <w:color w:val="auto"/>
        </w:rPr>
        <w:t>File No.)</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42" w:lineRule="exact"/>
        <w:rPr>
          <w:sz w:val="24"/>
          <w:szCs w:val="24"/>
          <w:color w:val="auto"/>
        </w:rPr>
      </w:pPr>
    </w:p>
    <w:p>
      <w:pPr>
        <w:sectPr>
          <w:pgSz w:w="11900" w:h="16838" w:orient="portrait"/>
          <w:cols w:equalWidth="0" w:num="3">
            <w:col w:w="3600" w:space="720"/>
            <w:col w:w="1580" w:space="720"/>
            <w:col w:w="2399"/>
          </w:cols>
          <w:pgMar w:left="1440" w:top="292" w:right="1440" w:bottom="1440" w:gutter="0" w:footer="0" w:header="0"/>
          <w:type w:val="continuous"/>
        </w:sectPr>
      </w:pPr>
    </w:p>
    <w:p>
      <w:pPr>
        <w:ind w:left="4000"/>
        <w:spacing w:after="0"/>
        <w:rPr>
          <w:sz w:val="20"/>
          <w:szCs w:val="20"/>
          <w:color w:val="auto"/>
        </w:rPr>
      </w:pPr>
      <w:r>
        <w:rPr>
          <w:rFonts w:ascii="Arial" w:cs="Arial" w:eastAsia="Arial" w:hAnsi="Arial"/>
          <w:sz w:val="12"/>
          <w:szCs w:val="12"/>
          <w:b w:val="1"/>
          <w:bCs w:val="1"/>
          <w:color w:val="auto"/>
        </w:rPr>
        <w:t>141 Tremont St #10</w:t>
      </w:r>
    </w:p>
    <w:p>
      <w:pPr>
        <w:spacing w:after="0" w:line="19" w:lineRule="exact"/>
        <w:rPr>
          <w:sz w:val="24"/>
          <w:szCs w:val="24"/>
          <w:color w:val="auto"/>
        </w:rPr>
      </w:pPr>
    </w:p>
    <w:p>
      <w:pPr>
        <w:ind w:left="4040"/>
        <w:spacing w:after="0"/>
        <w:rPr>
          <w:sz w:val="20"/>
          <w:szCs w:val="20"/>
          <w:color w:val="auto"/>
        </w:rPr>
      </w:pPr>
      <w:r>
        <w:rPr>
          <w:rFonts w:ascii="Arial" w:cs="Arial" w:eastAsia="Arial" w:hAnsi="Arial"/>
          <w:sz w:val="12"/>
          <w:szCs w:val="12"/>
          <w:b w:val="1"/>
          <w:bCs w:val="1"/>
          <w:color w:val="auto"/>
        </w:rPr>
        <w:t>Boston, MA 02111</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 and zip code)</w:t>
      </w:r>
    </w:p>
    <w:p>
      <w:pPr>
        <w:sectPr>
          <w:pgSz w:w="11900" w:h="16838" w:orient="portrait"/>
          <w:cols w:equalWidth="0" w:num="1">
            <w:col w:w="9019"/>
          </w:cols>
          <w:pgMar w:left="1440" w:top="292" w:right="1440"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(617) 329-4524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136525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2"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20"/>
        </w:trPr>
        <w:tc>
          <w:tcPr>
            <w:tcW w:w="24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0"/>
              </w:rPr>
              <w:t>Voting Common Stock, $0.0001 par value per</w:t>
            </w:r>
          </w:p>
        </w:tc>
        <w:tc>
          <w:tcPr>
            <w:tcW w:w="8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FLYW</w:t>
            </w:r>
          </w:p>
        </w:tc>
        <w:tc>
          <w:tcPr>
            <w:tcW w:w="60" w:type="dxa"/>
            <w:vAlign w:val="bottom"/>
          </w:tcPr>
          <w:p>
            <w:pPr>
              <w:spacing w:after="0"/>
              <w:rPr>
                <w:sz w:val="10"/>
                <w:szCs w:val="10"/>
                <w:color w:val="auto"/>
              </w:rPr>
            </w:pPr>
          </w:p>
        </w:tc>
        <w:tc>
          <w:tcPr>
            <w:tcW w:w="2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4"/>
              </w:rPr>
              <w:t>The Nasdaq Stock Market LLC</w:t>
            </w:r>
          </w:p>
        </w:tc>
      </w:tr>
      <w:tr>
        <w:trPr>
          <w:trHeight w:val="157"/>
        </w:trPr>
        <w:tc>
          <w:tcPr>
            <w:tcW w:w="2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share</w:t>
            </w:r>
          </w:p>
        </w:tc>
        <w:tc>
          <w:tcPr>
            <w:tcW w:w="2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26" w:lineRule="exact"/>
        <w:rPr>
          <w:sz w:val="24"/>
          <w:szCs w:val="24"/>
          <w:color w:val="auto"/>
        </w:rPr>
      </w:pPr>
    </w:p>
    <w:p>
      <w:pPr>
        <w:ind w:left="840" w:right="103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5"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2" w:lineRule="exact"/>
        <w:rPr>
          <w:sz w:val="20"/>
          <w:szCs w:val="20"/>
          <w:color w:val="auto"/>
        </w:rPr>
      </w:pPr>
    </w:p>
    <w:p>
      <w:pPr>
        <w:ind w:left="840" w:right="1019"/>
        <w:spacing w:after="0" w:line="263" w:lineRule="auto"/>
        <w:rPr>
          <w:sz w:val="20"/>
          <w:szCs w:val="20"/>
          <w:color w:val="auto"/>
        </w:rPr>
      </w:pPr>
      <w:r>
        <w:rPr>
          <w:rFonts w:ascii="Arial" w:cs="Arial" w:eastAsia="Arial" w:hAnsi="Arial"/>
          <w:sz w:val="12"/>
          <w:szCs w:val="12"/>
          <w:color w:val="auto"/>
        </w:rPr>
        <w:t>On March 2, 2022, Flywire Corporation (“Flywire” or the “Company”) issued a press release (the “Press Release”) and is holding a conference call regarding its preliminary and unaudited financial results for the year ended December 31, 2021. The Press Release is furnished as Exhibit 99.1 to this Current Report on Form 8-K and is incorporated by reference herein.</w:t>
      </w:r>
    </w:p>
    <w:p>
      <w:pPr>
        <w:spacing w:after="0" w:line="122" w:lineRule="exact"/>
        <w:rPr>
          <w:sz w:val="20"/>
          <w:szCs w:val="20"/>
          <w:color w:val="auto"/>
        </w:rPr>
      </w:pPr>
    </w:p>
    <w:p>
      <w:pPr>
        <w:ind w:left="840" w:right="839"/>
        <w:spacing w:after="0" w:line="275" w:lineRule="auto"/>
        <w:rPr>
          <w:sz w:val="20"/>
          <w:szCs w:val="20"/>
          <w:color w:val="auto"/>
        </w:rPr>
      </w:pPr>
      <w:r>
        <w:rPr>
          <w:rFonts w:ascii="Arial" w:cs="Arial" w:eastAsia="Arial" w:hAnsi="Arial"/>
          <w:sz w:val="11"/>
          <w:szCs w:val="11"/>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“Financial Disclosure Advisory” section of the Press Release and the “Risk Factors” and “Management’s Discussion and Analysis of Financial Condition and Results of Operations” sections of Flywire’s Prospectus dated May 25, 2021, and Quarterly Report on Form 10-Q for the quarter ended September 30, 2021, which are on file with the Securities and Exchange Commission (SEC) and available on the SEC’s website at https://www.sec.gov/. Additional factors may be described in those sections of Flywire’s Quarterly Report on Form 10-K for the year ended December 31, 2021, expected to be filed with the SEC in the first quarter of 2022.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w:t>
      </w:r>
    </w:p>
    <w:p>
      <w:pPr>
        <w:sectPr>
          <w:pgSz w:w="11900" w:h="16838" w:orient="portrait"/>
          <w:cols w:equalWidth="0" w:num="1">
            <w:col w:w="9019"/>
          </w:cols>
          <w:pgMar w:left="1440" w:top="244" w:right="1440" w:bottom="1440" w:gutter="0" w:footer="0" w:header="0"/>
        </w:sectPr>
      </w:pPr>
    </w:p>
    <w:bookmarkStart w:id="2" w:name="page3"/>
    <w:bookmarkEnd w:id="2"/>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jc w:val="both"/>
        <w:ind w:left="840" w:right="1159"/>
        <w:spacing w:after="0" w:line="263" w:lineRule="auto"/>
        <w:rPr>
          <w:sz w:val="20"/>
          <w:szCs w:val="20"/>
          <w:color w:val="auto"/>
        </w:rPr>
      </w:pPr>
      <w:r>
        <w:rPr>
          <w:rFonts w:ascii="Arial" w:cs="Arial" w:eastAsia="Arial" w:hAnsi="Arial"/>
          <w:sz w:val="12"/>
          <w:szCs w:val="12"/>
          <w:color w:val="auto"/>
        </w:rPr>
        <w:t>On March 2, 2022,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6" w:lineRule="exact"/>
        <w:rPr>
          <w:sz w:val="20"/>
          <w:szCs w:val="20"/>
          <w:color w:val="auto"/>
        </w:rPr>
      </w:pPr>
    </w:p>
    <w:p>
      <w:pPr>
        <w:ind w:left="840"/>
        <w:spacing w:after="0"/>
        <w:rPr>
          <w:sz w:val="20"/>
          <w:szCs w:val="20"/>
          <w:color w:val="auto"/>
        </w:rPr>
      </w:pPr>
      <w:r>
        <w:rPr>
          <w:rFonts w:ascii="Arial" w:cs="Arial" w:eastAsia="Arial" w:hAnsi="Arial"/>
          <w:sz w:val="10"/>
          <w:szCs w:val="10"/>
          <w:b w:val="1"/>
          <w:bCs w:val="1"/>
          <w:color w:val="auto"/>
        </w:rPr>
        <w:t>Exhibit</w:t>
      </w:r>
    </w:p>
    <w:p>
      <w:pPr>
        <w:ind w:left="920"/>
        <w:spacing w:after="0"/>
        <w:tabs>
          <w:tab w:leader="none" w:pos="140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color w:val="auto"/>
        </w:rPr>
        <w:t>Description</w:t>
      </w:r>
    </w:p>
    <w:p>
      <w:pPr>
        <w:spacing w:after="0" w:line="61"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5">
        <w:r>
          <w:rPr>
            <w:rFonts w:ascii="Arial" w:cs="Arial" w:eastAsia="Arial" w:hAnsi="Arial"/>
            <w:sz w:val="10"/>
            <w:szCs w:val="10"/>
            <w:u w:val="single" w:color="auto"/>
            <w:color w:val="0000EE"/>
          </w:rPr>
          <w:t>Flywire Corporation Press Release dated March 2, 2022.</w:t>
        </w:r>
      </w:hyperlink>
    </w:p>
    <w:p>
      <w:pPr>
        <w:spacing w:after="0" w:line="78" w:lineRule="exact"/>
        <w:rPr>
          <w:sz w:val="20"/>
          <w:szCs w:val="20"/>
          <w:color w:val="auto"/>
        </w:rPr>
      </w:pPr>
    </w:p>
    <w:p>
      <w:pPr>
        <w:ind w:left="840"/>
        <w:spacing w:after="0"/>
        <w:tabs>
          <w:tab w:leader="none" w:pos="140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18">
        <w:r>
          <w:rPr>
            <w:rFonts w:ascii="Arial" w:cs="Arial" w:eastAsia="Arial" w:hAnsi="Arial"/>
            <w:sz w:val="10"/>
            <w:szCs w:val="10"/>
            <w:u w:val="single" w:color="auto"/>
            <w:color w:val="0000EE"/>
          </w:rPr>
          <w:t>Flywire Corporation Investor Presentation dated March 2, 2022.</w:t>
        </w:r>
      </w:hyperlink>
    </w:p>
    <w:p>
      <w:pPr>
        <w:spacing w:after="0" w:line="7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2"/>
          <w:szCs w:val="12"/>
          <w:color w:val="auto"/>
        </w:rPr>
        <w:t>104</w:t>
      </w:r>
      <w:r>
        <w:rPr>
          <w:sz w:val="20"/>
          <w:szCs w:val="20"/>
          <w:color w:val="auto"/>
        </w:rPr>
        <w:tab/>
      </w:r>
      <w:r>
        <w:rPr>
          <w:rFonts w:ascii="Arial" w:cs="Arial" w:eastAsia="Arial" w:hAnsi="Arial"/>
          <w:sz w:val="12"/>
          <w:szCs w:val="12"/>
          <w:color w:val="auto"/>
        </w:rPr>
        <w:t>Cover Page Interactive Data File (embedded within the Inline XBRL document)</w:t>
      </w:r>
    </w:p>
    <w:p>
      <w:pPr>
        <w:sectPr>
          <w:pgSz w:w="11900" w:h="16838" w:orient="portrait"/>
          <w:cols w:equalWidth="0" w:num="1">
            <w:col w:w="9019"/>
          </w:cols>
          <w:pgMar w:left="1440" w:top="244"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0"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FLYWIRE CORPORATION</w:t>
      </w:r>
    </w:p>
    <w:p>
      <w:pPr>
        <w:spacing w:after="0" w:line="150"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3574415</wp:posOffset>
            </wp:positionH>
            <wp:positionV relativeFrom="paragraph">
              <wp:posOffset>9525</wp:posOffset>
            </wp:positionV>
            <wp:extent cx="161734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7345"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Name: Michael Ellis</w:t>
      </w:r>
    </w:p>
    <w:p>
      <w:pPr>
        <w:spacing w:after="0" w:line="15" w:lineRule="exact"/>
        <w:rPr>
          <w:sz w:val="20"/>
          <w:szCs w:val="20"/>
          <w:color w:val="auto"/>
        </w:rPr>
      </w:pPr>
    </w:p>
    <w:p>
      <w:pPr>
        <w:ind w:left="5240"/>
        <w:spacing w:after="0"/>
        <w:tabs>
          <w:tab w:leader="none" w:pos="5600" w:val="left"/>
        </w:tabs>
        <w:rPr>
          <w:sz w:val="20"/>
          <w:szCs w:val="20"/>
          <w:color w:val="auto"/>
        </w:rPr>
      </w:pPr>
      <w:r>
        <w:rPr>
          <w:rFonts w:ascii="Arial" w:cs="Arial" w:eastAsia="Arial" w:hAnsi="Arial"/>
          <w:sz w:val="12"/>
          <w:szCs w:val="12"/>
          <w:color w:val="auto"/>
        </w:rPr>
        <w:t>Title:</w:t>
        <w:tab/>
        <w:t>Chief Financial Officer</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Dated March 2, 2022</w:t>
      </w:r>
    </w:p>
    <w:p>
      <w:pPr>
        <w:sectPr>
          <w:pgSz w:w="11900" w:h="16838" w:orient="portrait"/>
          <w:cols w:equalWidth="0" w:num="1">
            <w:col w:w="9019"/>
          </w:cols>
          <w:pgMar w:left="1440" w:top="248" w:right="1440" w:bottom="1440" w:gutter="0" w:footer="0" w:header="0"/>
        </w:sectPr>
      </w:pPr>
    </w:p>
    <w:bookmarkStart w:id="4" w:name="page5"/>
    <w:bookmarkEnd w:id="4"/>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Flywire Reports Fourth Quarter and Fiscal Year 2021 Financial Results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Fourth Quarter Revenue Increased 55%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Fourth Quarter Revenue Less Ancillary Services Increased 56%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Fourth Quarter Total Payment Volume Increased 75% Year-over-Year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Company Provides Fiscal Year 2022 Outlook</w:t>
      </w:r>
    </w:p>
    <w:p>
      <w:pPr>
        <w:spacing w:after="0" w:line="146" w:lineRule="exact"/>
        <w:rPr>
          <w:sz w:val="20"/>
          <w:szCs w:val="20"/>
          <w:color w:val="auto"/>
        </w:rPr>
      </w:pPr>
    </w:p>
    <w:p>
      <w:pPr>
        <w:ind w:left="840" w:right="1019"/>
        <w:spacing w:after="0" w:line="283" w:lineRule="auto"/>
        <w:rPr>
          <w:sz w:val="20"/>
          <w:szCs w:val="20"/>
          <w:color w:val="auto"/>
        </w:rPr>
      </w:pPr>
      <w:r>
        <w:rPr>
          <w:rFonts w:ascii="Arial" w:cs="Arial" w:eastAsia="Arial" w:hAnsi="Arial"/>
          <w:sz w:val="12"/>
          <w:szCs w:val="12"/>
          <w:b w:val="1"/>
          <w:bCs w:val="1"/>
          <w:color w:val="auto"/>
        </w:rPr>
        <w:t xml:space="preserve">Boston, MA – March 2, 2022: </w:t>
      </w:r>
      <w:r>
        <w:rPr>
          <w:rFonts w:ascii="Arial" w:cs="Arial" w:eastAsia="Arial" w:hAnsi="Arial"/>
          <w:sz w:val="12"/>
          <w:szCs w:val="12"/>
          <w:u w:val="single" w:color="auto"/>
          <w:color w:val="auto"/>
        </w:rPr>
        <w:t>Flywire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(Nasdaq: FLYW) (the “Company”) a global payments enablement and software company, today</w:t>
      </w:r>
      <w:r>
        <w:rPr>
          <w:rFonts w:ascii="Arial" w:cs="Arial" w:eastAsia="Arial" w:hAnsi="Arial"/>
          <w:sz w:val="12"/>
          <w:szCs w:val="12"/>
          <w:b w:val="1"/>
          <w:bCs w:val="1"/>
          <w:color w:val="auto"/>
        </w:rPr>
        <w:t xml:space="preserve"> </w:t>
      </w:r>
      <w:r>
        <w:rPr>
          <w:rFonts w:ascii="Arial" w:cs="Arial" w:eastAsia="Arial" w:hAnsi="Arial"/>
          <w:sz w:val="12"/>
          <w:szCs w:val="12"/>
          <w:color w:val="auto"/>
        </w:rPr>
        <w:t>reported preliminary and unaudited financial results for its fourth quarter and fiscal year 2021.</w:t>
      </w:r>
    </w:p>
    <w:p>
      <w:pPr>
        <w:spacing w:after="0" w:line="111" w:lineRule="exact"/>
        <w:rPr>
          <w:sz w:val="20"/>
          <w:szCs w:val="20"/>
          <w:color w:val="auto"/>
        </w:rPr>
      </w:pPr>
    </w:p>
    <w:p>
      <w:pPr>
        <w:ind w:left="840" w:right="879"/>
        <w:spacing w:after="0" w:line="254" w:lineRule="auto"/>
        <w:rPr>
          <w:sz w:val="20"/>
          <w:szCs w:val="20"/>
          <w:color w:val="auto"/>
        </w:rPr>
      </w:pPr>
      <w:r>
        <w:rPr>
          <w:rFonts w:ascii="Arial" w:cs="Arial" w:eastAsia="Arial" w:hAnsi="Arial"/>
          <w:sz w:val="12"/>
          <w:szCs w:val="12"/>
          <w:color w:val="auto"/>
        </w:rPr>
        <w:t>“Flywire delivered strong results in 2021, with total annual revenue increasing 53% and total annual revenue less ancillary services increasing 58% year-over-year. The demand for domestic and cross-border payments led to another strong quarter of revenue growth, backed by our success in growing existing clients, winning new clients, and expanding our channel partnerships around the world,” said Mike Massaro, CEO of Flywire. “We now have over 2,500 clients in our four primary verticals. Our clients rely on us to get paid, and help their customers pay easily from anywhere in the world. They are also trusting us to leverage our software to solve deeper and more complex payment flows and a wide variety of transaction types. Looking ahead, we plan to build on this foundation and continue to deliver market-leading, vertical-specific software that drives value in payments. We also expect to significantly expand our Go-To-Market teams and strengthen and grow our FlyMate community to help us capitalize on the massive and growing opportunity that is in front of us.”</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Fourth Quarter 2021 Financial Highlights</w:t>
      </w:r>
      <w:r>
        <w:rPr>
          <w:rFonts w:ascii="Arial" w:cs="Arial" w:eastAsia="Arial" w:hAnsi="Arial"/>
          <w:sz w:val="10"/>
          <w:szCs w:val="10"/>
          <w:b w:val="1"/>
          <w:bCs w:val="1"/>
          <w:color w:val="auto"/>
        </w:rPr>
        <w:t>1</w:t>
      </w:r>
      <w:r>
        <w:rPr>
          <w:rFonts w:ascii="Arial" w:cs="Arial" w:eastAsia="Arial" w:hAnsi="Arial"/>
          <w:sz w:val="12"/>
          <w:szCs w:val="12"/>
          <w:b w:val="1"/>
          <w:bCs w:val="1"/>
          <w:color w:val="auto"/>
        </w:rPr>
        <w: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GAAP Results</w:t>
      </w:r>
    </w:p>
    <w:p>
      <w:pPr>
        <w:spacing w:after="0" w:line="87" w:lineRule="exact"/>
        <w:rPr>
          <w:sz w:val="20"/>
          <w:szCs w:val="20"/>
          <w:color w:val="auto"/>
        </w:rPr>
      </w:pPr>
    </w:p>
    <w:p>
      <w:pPr>
        <w:ind w:left="1480" w:hanging="360"/>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increased 55% to $51.4 million in the fourth quarter of 2021, compared to $33.2 million in the fourth quarter of 2020.</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2"/>
        </w:numPr>
        <w:rPr>
          <w:rFonts w:ascii="Arial" w:cs="Arial" w:eastAsia="Arial" w:hAnsi="Arial"/>
          <w:sz w:val="11"/>
          <w:szCs w:val="11"/>
          <w:color w:val="auto"/>
        </w:rPr>
      </w:pPr>
      <w:r>
        <w:rPr>
          <w:rFonts w:ascii="Arial" w:cs="Arial" w:eastAsia="Arial" w:hAnsi="Arial"/>
          <w:sz w:val="11"/>
          <w:szCs w:val="11"/>
          <w:color w:val="auto"/>
        </w:rPr>
        <w:t>Gross margin decreased 1.0% in absolute terms to 59.7% in the fourth quarter of 2021, compared to 60.7% in the fourth quarter of 2020.</w:t>
      </w:r>
    </w:p>
    <w:p>
      <w:pPr>
        <w:spacing w:after="0" w:line="98" w:lineRule="exact"/>
        <w:rPr>
          <w:rFonts w:ascii="Arial" w:cs="Arial" w:eastAsia="Arial" w:hAnsi="Arial"/>
          <w:sz w:val="11"/>
          <w:szCs w:val="11"/>
          <w:color w:val="auto"/>
        </w:rPr>
      </w:pPr>
    </w:p>
    <w:p>
      <w:pPr>
        <w:ind w:left="1480" w:hanging="360"/>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Net loss was $(11.2) million in the fourth quarter of 2021, compared to Net loss of $(4.0) million in the fourth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66675</wp:posOffset>
            </wp:positionV>
            <wp:extent cx="5143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12" w:lineRule="exact"/>
        <w:rPr>
          <w:sz w:val="20"/>
          <w:szCs w:val="20"/>
          <w:color w:val="auto"/>
        </w:rPr>
      </w:pPr>
    </w:p>
    <w:p>
      <w:pPr>
        <w:ind w:left="1120" w:hanging="288"/>
        <w:spacing w:after="0"/>
        <w:tabs>
          <w:tab w:leader="none" w:pos="1120" w:val="left"/>
        </w:tabs>
        <w:numPr>
          <w:ilvl w:val="0"/>
          <w:numId w:val="3"/>
        </w:numPr>
        <w:rPr>
          <w:rFonts w:ascii="Arial" w:cs="Arial" w:eastAsia="Arial" w:hAnsi="Arial"/>
          <w:sz w:val="10"/>
          <w:szCs w:val="10"/>
          <w:color w:val="auto"/>
        </w:rPr>
      </w:pPr>
      <w:r>
        <w:rPr>
          <w:rFonts w:ascii="Arial" w:cs="Arial" w:eastAsia="Arial" w:hAnsi="Arial"/>
          <w:sz w:val="12"/>
          <w:szCs w:val="12"/>
          <w:color w:val="auto"/>
        </w:rPr>
        <w:t>See “Financial Disclosure Advisory” below</w:t>
      </w:r>
    </w:p>
    <w:p>
      <w:pPr>
        <w:sectPr>
          <w:pgSz w:w="11900" w:h="16838" w:orient="portrait"/>
          <w:cols w:equalWidth="0" w:num="1">
            <w:col w:w="9019"/>
          </w:cols>
          <w:pgMar w:left="1440" w:top="127"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Key Operating Metrics and Non-GAAP Results</w:t>
      </w:r>
    </w:p>
    <w:p>
      <w:pPr>
        <w:spacing w:after="0" w:line="87" w:lineRule="exact"/>
        <w:rPr>
          <w:sz w:val="20"/>
          <w:szCs w:val="20"/>
          <w:color w:val="auto"/>
        </w:rPr>
      </w:pPr>
    </w:p>
    <w:p>
      <w:pPr>
        <w:ind w:left="1480" w:hanging="360"/>
        <w:spacing w:after="0"/>
        <w:tabs>
          <w:tab w:leader="none" w:pos="14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Total Payment Volume increased 75% to $3.1 billion in the fourth quarter of 2021, compared to $1.8 billion in the fourth quarter of 2020.</w:t>
      </w:r>
    </w:p>
    <w:p>
      <w:pPr>
        <w:spacing w:after="0" w:line="98" w:lineRule="exact"/>
        <w:rPr>
          <w:rFonts w:ascii="Arial" w:cs="Arial" w:eastAsia="Arial" w:hAnsi="Arial"/>
          <w:sz w:val="11"/>
          <w:szCs w:val="11"/>
          <w:color w:val="auto"/>
        </w:rPr>
      </w:pPr>
    </w:p>
    <w:p>
      <w:pPr>
        <w:ind w:left="1480" w:right="1079" w:hanging="360"/>
        <w:spacing w:after="0" w:line="27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Revenue Less Ancillary Services increased 56% to $45.9 million in the fourth quarter of 2021, compared to $29.4 million in the fourth quarter of 2020.</w:t>
      </w:r>
    </w:p>
    <w:p>
      <w:pPr>
        <w:spacing w:after="0" w:line="51" w:lineRule="exact"/>
        <w:rPr>
          <w:rFonts w:ascii="Arial" w:cs="Arial" w:eastAsia="Arial" w:hAnsi="Arial"/>
          <w:sz w:val="12"/>
          <w:szCs w:val="12"/>
          <w:color w:val="auto"/>
        </w:rPr>
      </w:pPr>
    </w:p>
    <w:p>
      <w:pPr>
        <w:ind w:left="1480" w:right="939" w:hanging="360"/>
        <w:spacing w:after="0" w:line="27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Gross Margin decreased 1.6% in absolute terms to 66.9% in the fourth quarter of 2021, compared to 68.5% in the fourth quarter of 2020.</w:t>
      </w:r>
    </w:p>
    <w:p>
      <w:pPr>
        <w:spacing w:after="0" w:line="51" w:lineRule="exact"/>
        <w:rPr>
          <w:rFonts w:ascii="Arial" w:cs="Arial" w:eastAsia="Arial" w:hAnsi="Arial"/>
          <w:sz w:val="12"/>
          <w:szCs w:val="12"/>
          <w:color w:val="auto"/>
        </w:rPr>
      </w:pPr>
    </w:p>
    <w:p>
      <w:pPr>
        <w:ind w:left="1480" w:hanging="360"/>
        <w:spacing w:after="0"/>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Adjusted EBITDA was $(1.9) million in the fourth quarter of 2021, compared to $1.8 million in the fourth quarter of 2020.</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Fiscal Year 2021 Financial Highlights</w:t>
      </w:r>
      <w:r>
        <w:rPr>
          <w:rFonts w:ascii="Arial" w:cs="Arial" w:eastAsia="Arial" w:hAnsi="Arial"/>
          <w:sz w:val="10"/>
          <w:szCs w:val="10"/>
          <w:b w:val="1"/>
          <w:bCs w:val="1"/>
          <w:color w:val="auto"/>
        </w:rPr>
        <w:t>2</w:t>
      </w:r>
      <w:r>
        <w:rPr>
          <w:rFonts w:ascii="Arial" w:cs="Arial" w:eastAsia="Arial" w:hAnsi="Arial"/>
          <w:sz w:val="12"/>
          <w:szCs w:val="12"/>
          <w:b w:val="1"/>
          <w:bCs w:val="1"/>
          <w:color w:val="auto"/>
        </w:rPr>
        <w: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GAAP Results</w:t>
      </w:r>
    </w:p>
    <w:p>
      <w:pPr>
        <w:spacing w:after="0" w:line="87" w:lineRule="exact"/>
        <w:rPr>
          <w:sz w:val="20"/>
          <w:szCs w:val="20"/>
          <w:color w:val="auto"/>
        </w:rPr>
      </w:pPr>
    </w:p>
    <w:p>
      <w:pPr>
        <w:ind w:left="1480" w:hanging="360"/>
        <w:spacing w:after="0"/>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Revenue increased 53% to $201.1 million in fiscal year 2021, compared to $131.8 million in fiscal year 2020.</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Gross margin increased 2.0% in absolute terms to 62.3% in fiscal year 2021, compared to 60.3% in fiscal year 2020.</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loss was $(28.0) million in the fiscal year 2021, compared to Net loss of $(11.1) million in fiscal year 2020.</w:t>
      </w:r>
    </w:p>
    <w:p>
      <w:pPr>
        <w:spacing w:after="0" w:line="2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Key Operating Metrics and Non-GAAP Results</w:t>
      </w:r>
    </w:p>
    <w:p>
      <w:pPr>
        <w:spacing w:after="0" w:line="87" w:lineRule="exact"/>
        <w:rPr>
          <w:sz w:val="20"/>
          <w:szCs w:val="20"/>
          <w:color w:val="auto"/>
        </w:rPr>
      </w:pPr>
    </w:p>
    <w:p>
      <w:pPr>
        <w:ind w:left="1480" w:hanging="360"/>
        <w:spacing w:after="0"/>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Total Payment Volume increased 76% to $13.2 billion in fiscal year 2021, compared to $7.5 billion in fiscal year 2020.</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Revenue Less Ancillary Services increased 58% to $181.1 million in fiscal year 2021, compared to $114.6 million in fiscal year 2020.</w:t>
      </w:r>
    </w:p>
    <w:p>
      <w:pPr>
        <w:spacing w:after="0" w:line="98" w:lineRule="exact"/>
        <w:rPr>
          <w:rFonts w:ascii="Arial" w:cs="Arial" w:eastAsia="Arial" w:hAnsi="Arial"/>
          <w:sz w:val="11"/>
          <w:szCs w:val="11"/>
          <w:color w:val="auto"/>
        </w:rPr>
      </w:pPr>
    </w:p>
    <w:p>
      <w:pPr>
        <w:ind w:left="1480" w:hanging="360"/>
        <w:spacing w:after="0"/>
        <w:tabs>
          <w:tab w:leader="none" w:pos="1480" w:val="left"/>
        </w:tabs>
        <w:numPr>
          <w:ilvl w:val="0"/>
          <w:numId w:val="6"/>
        </w:numPr>
        <w:rPr>
          <w:rFonts w:ascii="Arial" w:cs="Arial" w:eastAsia="Arial" w:hAnsi="Arial"/>
          <w:sz w:val="11"/>
          <w:szCs w:val="11"/>
          <w:color w:val="auto"/>
        </w:rPr>
      </w:pPr>
      <w:r>
        <w:rPr>
          <w:rFonts w:ascii="Arial" w:cs="Arial" w:eastAsia="Arial" w:hAnsi="Arial"/>
          <w:sz w:val="11"/>
          <w:szCs w:val="11"/>
          <w:color w:val="auto"/>
        </w:rPr>
        <w:t>Adjusted Gross Margin decreased 0.3% in absolute terms to 69.1% in fiscal year 2021, compared to 69.4% in fiscal year 2020.</w:t>
      </w:r>
    </w:p>
    <w:p>
      <w:pPr>
        <w:spacing w:after="0" w:line="98" w:lineRule="exact"/>
        <w:rPr>
          <w:rFonts w:ascii="Arial" w:cs="Arial" w:eastAsia="Arial" w:hAnsi="Arial"/>
          <w:sz w:val="11"/>
          <w:szCs w:val="11"/>
          <w:color w:val="auto"/>
        </w:rPr>
      </w:pPr>
    </w:p>
    <w:p>
      <w:pPr>
        <w:ind w:left="1480" w:hanging="360"/>
        <w:spacing w:after="0"/>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EBITDA increased 266% to $22.7 million in fiscal year 2021, compared to $6.2 million in fiscal year 2020.</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2021 Business Highlights:</w:t>
      </w:r>
    </w:p>
    <w:p>
      <w:pPr>
        <w:spacing w:after="0" w:line="91" w:lineRule="exact"/>
        <w:rPr>
          <w:sz w:val="20"/>
          <w:szCs w:val="20"/>
          <w:color w:val="auto"/>
        </w:rPr>
      </w:pPr>
    </w:p>
    <w:p>
      <w:pPr>
        <w:ind w:left="1480" w:hanging="360"/>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Successfully completed an initial public offering in May 2021</w:t>
      </w:r>
    </w:p>
    <w:p>
      <w:pPr>
        <w:spacing w:after="0" w:line="87" w:lineRule="exact"/>
        <w:rPr>
          <w:rFonts w:ascii="Arial" w:cs="Arial" w:eastAsia="Arial" w:hAnsi="Arial"/>
          <w:sz w:val="12"/>
          <w:szCs w:val="12"/>
          <w:color w:val="auto"/>
        </w:rPr>
      </w:pPr>
    </w:p>
    <w:p>
      <w:pPr>
        <w:ind w:left="1480" w:right="879" w:hanging="360"/>
        <w:spacing w:after="0" w:line="276" w:lineRule="auto"/>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Acquired WPM, a leading software provider that enables seamless and secure payment experiences for universities and colleges across the United Kingdom</w:t>
      </w:r>
    </w:p>
    <w:p>
      <w:pPr>
        <w:spacing w:after="0" w:line="51" w:lineRule="exact"/>
        <w:rPr>
          <w:rFonts w:ascii="Arial" w:cs="Arial" w:eastAsia="Arial" w:hAnsi="Arial"/>
          <w:sz w:val="12"/>
          <w:szCs w:val="12"/>
          <w:color w:val="auto"/>
        </w:rPr>
      </w:pPr>
    </w:p>
    <w:p>
      <w:pPr>
        <w:ind w:left="1480" w:hanging="360"/>
        <w:spacing w:after="0"/>
        <w:tabs>
          <w:tab w:leader="none" w:pos="1480" w:val="left"/>
        </w:tabs>
        <w:numPr>
          <w:ilvl w:val="0"/>
          <w:numId w:val="7"/>
        </w:numPr>
        <w:rPr>
          <w:rFonts w:ascii="Arial" w:cs="Arial" w:eastAsia="Arial" w:hAnsi="Arial"/>
          <w:sz w:val="11"/>
          <w:szCs w:val="11"/>
          <w:color w:val="auto"/>
        </w:rPr>
      </w:pPr>
      <w:r>
        <w:rPr>
          <w:rFonts w:ascii="Arial" w:cs="Arial" w:eastAsia="Arial" w:hAnsi="Arial"/>
          <w:sz w:val="11"/>
          <w:szCs w:val="11"/>
          <w:color w:val="auto"/>
        </w:rPr>
        <w:t>Expanded digital education business in Canada and to key countries in Latin America, including Brazil, Colombia, Mexico, Peru and Chile</w:t>
      </w:r>
    </w:p>
    <w:p>
      <w:pPr>
        <w:spacing w:after="0" w:line="98" w:lineRule="exact"/>
        <w:rPr>
          <w:rFonts w:ascii="Arial" w:cs="Arial" w:eastAsia="Arial" w:hAnsi="Arial"/>
          <w:sz w:val="11"/>
          <w:szCs w:val="11"/>
          <w:color w:val="auto"/>
        </w:rPr>
      </w:pPr>
    </w:p>
    <w:p>
      <w:pPr>
        <w:ind w:left="1480" w:hanging="360"/>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Enhanced Board of Directors with the addition of </w:t>
      </w:r>
      <w:r>
        <w:rPr>
          <w:rFonts w:ascii="Arial" w:cs="Arial" w:eastAsia="Arial" w:hAnsi="Arial"/>
          <w:sz w:val="12"/>
          <w:szCs w:val="12"/>
          <w:u w:val="single" w:color="auto"/>
          <w:color w:val="auto"/>
        </w:rPr>
        <w:t>Edwin Santos</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Yvonne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118110</wp:posOffset>
            </wp:positionV>
            <wp:extent cx="5143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93" w:lineRule="exact"/>
        <w:rPr>
          <w:sz w:val="20"/>
          <w:szCs w:val="20"/>
          <w:color w:val="auto"/>
        </w:rPr>
      </w:pPr>
    </w:p>
    <w:p>
      <w:pPr>
        <w:ind w:left="1120" w:hanging="288"/>
        <w:spacing w:after="0"/>
        <w:tabs>
          <w:tab w:leader="none" w:pos="1120" w:val="left"/>
        </w:tabs>
        <w:numPr>
          <w:ilvl w:val="0"/>
          <w:numId w:val="8"/>
        </w:numPr>
        <w:rPr>
          <w:rFonts w:ascii="Arial" w:cs="Arial" w:eastAsia="Arial" w:hAnsi="Arial"/>
          <w:sz w:val="10"/>
          <w:szCs w:val="10"/>
          <w:color w:val="auto"/>
        </w:rPr>
      </w:pPr>
      <w:r>
        <w:rPr>
          <w:rFonts w:ascii="Arial" w:cs="Arial" w:eastAsia="Arial" w:hAnsi="Arial"/>
          <w:sz w:val="12"/>
          <w:szCs w:val="12"/>
          <w:color w:val="auto"/>
        </w:rPr>
        <w:t>See “Financial Disclosure Advisory” below</w:t>
      </w:r>
    </w:p>
    <w:p>
      <w:pPr>
        <w:sectPr>
          <w:pgSz w:w="11900" w:h="16838" w:orient="portrait"/>
          <w:cols w:equalWidth="0" w:num="1">
            <w:col w:w="9019"/>
          </w:cols>
          <w:pgMar w:left="1440" w:top="230" w:right="1440" w:bottom="1440" w:gutter="0" w:footer="0" w:header="0"/>
        </w:sectPr>
      </w:pPr>
    </w:p>
    <w:bookmarkStart w:id="6" w:name="page7"/>
    <w:bookmarkEnd w:id="6"/>
    <w:p>
      <w:pPr>
        <w:ind w:left="1480" w:right="1219" w:hanging="360"/>
        <w:spacing w:after="0" w:line="276" w:lineRule="auto"/>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Hosted its first-ever virtual industry event, </w:t>
      </w:r>
      <w:r>
        <w:rPr>
          <w:rFonts w:ascii="Arial" w:cs="Arial" w:eastAsia="Arial" w:hAnsi="Arial"/>
          <w:sz w:val="12"/>
          <w:szCs w:val="12"/>
          <w:u w:val="single" w:color="auto"/>
          <w:color w:val="auto"/>
        </w:rPr>
        <w:t>Flywire Forward</w:t>
      </w:r>
      <w:r>
        <w:rPr>
          <w:rFonts w:ascii="Arial" w:cs="Arial" w:eastAsia="Arial" w:hAnsi="Arial"/>
          <w:sz w:val="12"/>
          <w:szCs w:val="12"/>
          <w:color w:val="auto"/>
        </w:rPr>
        <w:t>, which brought together business professionals across a wide variety of industries to discuss the future of FinTech</w:t>
      </w:r>
    </w:p>
    <w:p>
      <w:pPr>
        <w:spacing w:after="0" w:line="51" w:lineRule="exact"/>
        <w:rPr>
          <w:rFonts w:ascii="Arial" w:cs="Arial" w:eastAsia="Arial" w:hAnsi="Arial"/>
          <w:sz w:val="12"/>
          <w:szCs w:val="12"/>
          <w:color w:val="auto"/>
        </w:rPr>
      </w:pPr>
    </w:p>
    <w:p>
      <w:pPr>
        <w:ind w:left="1480" w:hanging="360"/>
        <w:spacing w:after="0"/>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Expanded the Flywire ecosystem through channel partnerships with YayPay, Finvi and AdaptIT</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Distributed educational scholarships to students from around the world through the </w:t>
      </w:r>
      <w:r>
        <w:rPr>
          <w:rFonts w:ascii="Arial" w:cs="Arial" w:eastAsia="Arial" w:hAnsi="Arial"/>
          <w:sz w:val="12"/>
          <w:szCs w:val="12"/>
          <w:u w:val="single" w:color="auto"/>
          <w:color w:val="auto"/>
        </w:rPr>
        <w:t>Flywire Charitable Foundation</w:t>
      </w:r>
    </w:p>
    <w:p>
      <w:pPr>
        <w:spacing w:after="0" w:line="87" w:lineRule="exact"/>
        <w:rPr>
          <w:rFonts w:ascii="Arial" w:cs="Arial" w:eastAsia="Arial" w:hAnsi="Arial"/>
          <w:sz w:val="12"/>
          <w:szCs w:val="12"/>
          <w:color w:val="auto"/>
        </w:rPr>
      </w:pPr>
    </w:p>
    <w:p>
      <w:pPr>
        <w:ind w:left="1480" w:right="979" w:hanging="360"/>
        <w:spacing w:after="0" w:line="276" w:lineRule="auto"/>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Received six Comparably “Best Places to Work” awards, including Best CEO for Diversity, Best Leadership Team, Best Career Growth, Best Company Happiness, Best Company Compensation, and Best Company Perks &amp; Benefits</w:t>
      </w:r>
    </w:p>
    <w:p>
      <w:pPr>
        <w:spacing w:after="0" w:line="51" w:lineRule="exact"/>
        <w:rPr>
          <w:rFonts w:ascii="Arial" w:cs="Arial" w:eastAsia="Arial" w:hAnsi="Arial"/>
          <w:sz w:val="12"/>
          <w:szCs w:val="12"/>
          <w:color w:val="auto"/>
        </w:rPr>
      </w:pPr>
    </w:p>
    <w:p>
      <w:pPr>
        <w:ind w:left="1480" w:right="979" w:hanging="360"/>
        <w:spacing w:after="0" w:line="323" w:lineRule="auto"/>
        <w:tabs>
          <w:tab w:leader="none" w:pos="1480" w:val="left"/>
        </w:tabs>
        <w:numPr>
          <w:ilvl w:val="0"/>
          <w:numId w:val="9"/>
        </w:numPr>
        <w:rPr>
          <w:rFonts w:ascii="Arial" w:cs="Arial" w:eastAsia="Arial" w:hAnsi="Arial"/>
          <w:sz w:val="11"/>
          <w:szCs w:val="11"/>
          <w:color w:val="auto"/>
        </w:rPr>
      </w:pPr>
      <w:r>
        <w:rPr>
          <w:rFonts w:ascii="Arial" w:cs="Arial" w:eastAsia="Arial" w:hAnsi="Arial"/>
          <w:sz w:val="11"/>
          <w:szCs w:val="11"/>
          <w:color w:val="auto"/>
        </w:rPr>
        <w:t>Awarded Great Place to Work Certification</w:t>
      </w:r>
      <w:r>
        <w:rPr>
          <w:rFonts w:ascii="Arial" w:cs="Arial" w:eastAsia="Arial" w:hAnsi="Arial"/>
          <w:sz w:val="9"/>
          <w:szCs w:val="9"/>
          <w:color w:val="auto"/>
        </w:rPr>
        <w:t>™</w:t>
      </w:r>
      <w:r>
        <w:rPr>
          <w:rFonts w:ascii="Arial" w:cs="Arial" w:eastAsia="Arial" w:hAnsi="Arial"/>
          <w:sz w:val="11"/>
          <w:szCs w:val="11"/>
          <w:color w:val="auto"/>
        </w:rPr>
        <w:t xml:space="preserve"> by Great Place to Work®, the global authority on workplace culture, employee experience, and the leadership behaviors proven to deliver market-leading revenue, employee retention and increased innovation</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First Quarter and Fiscal-Year 2022 Outlook:</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Based on information available as of March 2, 2022, Flywire expects the following for the first quarter and fiscal-year 2022:</w:t>
      </w:r>
    </w:p>
    <w:p>
      <w:pPr>
        <w:spacing w:after="0" w:line="161"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39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First Quarter 2022</w:t>
            </w:r>
          </w:p>
        </w:tc>
      </w:tr>
      <w:tr>
        <w:trPr>
          <w:trHeight w:val="133"/>
        </w:trPr>
        <w:tc>
          <w:tcPr>
            <w:tcW w:w="39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3"/>
              </w:rPr>
              <w:t>$59 to $63 million</w:t>
            </w:r>
          </w:p>
        </w:tc>
      </w:tr>
      <w:tr>
        <w:trPr>
          <w:trHeight w:val="216"/>
        </w:trPr>
        <w:tc>
          <w:tcPr>
            <w:tcW w:w="3920" w:type="dxa"/>
            <w:vAlign w:val="bottom"/>
          </w:tcPr>
          <w:p>
            <w:pPr>
              <w:spacing w:after="0"/>
              <w:rPr>
                <w:sz w:val="20"/>
                <w:szCs w:val="20"/>
                <w:color w:val="auto"/>
              </w:rPr>
            </w:pPr>
            <w:r>
              <w:rPr>
                <w:rFonts w:ascii="Arial" w:cs="Arial" w:eastAsia="Arial" w:hAnsi="Arial"/>
                <w:sz w:val="12"/>
                <w:szCs w:val="12"/>
                <w:color w:val="auto"/>
              </w:rPr>
              <w:t>Revenue Less Ancillary Services</w:t>
            </w:r>
          </w:p>
        </w:tc>
        <w:tc>
          <w:tcPr>
            <w:tcW w:w="1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2"/>
                <w:szCs w:val="12"/>
                <w:color w:val="auto"/>
                <w:w w:val="93"/>
              </w:rPr>
              <w:t>$55 to $57 million</w:t>
            </w:r>
          </w:p>
        </w:tc>
      </w:tr>
      <w:tr>
        <w:trPr>
          <w:trHeight w:val="261"/>
        </w:trPr>
        <w:tc>
          <w:tcPr>
            <w:tcW w:w="39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86"/>
              <w:spacing w:after="0"/>
              <w:rPr>
                <w:sz w:val="20"/>
                <w:szCs w:val="20"/>
                <w:color w:val="auto"/>
              </w:rPr>
            </w:pPr>
            <w:r>
              <w:rPr>
                <w:rFonts w:ascii="Arial" w:cs="Arial" w:eastAsia="Arial" w:hAnsi="Arial"/>
                <w:sz w:val="10"/>
                <w:szCs w:val="10"/>
                <w:b w:val="1"/>
                <w:bCs w:val="1"/>
                <w:color w:val="auto"/>
                <w:w w:val="84"/>
              </w:rPr>
              <w:t>Fiscal Year 2022</w:t>
            </w:r>
          </w:p>
        </w:tc>
      </w:tr>
      <w:tr>
        <w:trPr>
          <w:trHeight w:val="133"/>
        </w:trPr>
        <w:tc>
          <w:tcPr>
            <w:tcW w:w="39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060" w:type="dxa"/>
            <w:vAlign w:val="bottom"/>
            <w:gridSpan w:val="2"/>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$266 to $276 million</w:t>
            </w:r>
          </w:p>
        </w:tc>
      </w:tr>
      <w:tr>
        <w:trPr>
          <w:trHeight w:val="216"/>
        </w:trPr>
        <w:tc>
          <w:tcPr>
            <w:tcW w:w="3920" w:type="dxa"/>
            <w:vAlign w:val="bottom"/>
          </w:tcPr>
          <w:p>
            <w:pPr>
              <w:spacing w:after="0"/>
              <w:rPr>
                <w:sz w:val="20"/>
                <w:szCs w:val="20"/>
                <w:color w:val="auto"/>
              </w:rPr>
            </w:pPr>
            <w:r>
              <w:rPr>
                <w:rFonts w:ascii="Arial" w:cs="Arial" w:eastAsia="Arial" w:hAnsi="Arial"/>
                <w:sz w:val="12"/>
                <w:szCs w:val="12"/>
                <w:color w:val="auto"/>
              </w:rPr>
              <w:t>Revenue Less Ancillary Services</w:t>
            </w:r>
          </w:p>
        </w:tc>
        <w:tc>
          <w:tcPr>
            <w:tcW w:w="1060" w:type="dxa"/>
            <w:vAlign w:val="bottom"/>
            <w:gridSpan w:val="2"/>
          </w:tcPr>
          <w:p>
            <w:pPr>
              <w:jc w:val="center"/>
              <w:spacing w:after="0"/>
              <w:rPr>
                <w:sz w:val="20"/>
                <w:szCs w:val="20"/>
                <w:color w:val="auto"/>
              </w:rPr>
            </w:pPr>
            <w:r>
              <w:rPr>
                <w:rFonts w:ascii="Arial" w:cs="Arial" w:eastAsia="Arial" w:hAnsi="Arial"/>
                <w:sz w:val="12"/>
                <w:szCs w:val="12"/>
                <w:color w:val="auto"/>
                <w:w w:val="94"/>
              </w:rPr>
              <w:t>$244 to $252 million</w:t>
            </w:r>
          </w:p>
        </w:tc>
      </w:tr>
      <w:tr>
        <w:trPr>
          <w:trHeight w:val="72"/>
        </w:trPr>
        <w:tc>
          <w:tcPr>
            <w:tcW w:w="3920" w:type="dxa"/>
            <w:vAlign w:val="bottom"/>
          </w:tcPr>
          <w:p>
            <w:pPr>
              <w:spacing w:after="0"/>
              <w:rPr>
                <w:sz w:val="6"/>
                <w:szCs w:val="6"/>
                <w:color w:val="auto"/>
              </w:rPr>
            </w:pPr>
          </w:p>
        </w:tc>
        <w:tc>
          <w:tcPr>
            <w:tcW w:w="1060" w:type="dxa"/>
            <w:vAlign w:val="bottom"/>
            <w:gridSpan w:val="2"/>
          </w:tcPr>
          <w:p>
            <w:pPr>
              <w:spacing w:after="0"/>
              <w:rPr>
                <w:sz w:val="6"/>
                <w:szCs w:val="6"/>
                <w:color w:val="auto"/>
              </w:rPr>
            </w:pPr>
          </w:p>
        </w:tc>
      </w:tr>
      <w:tr>
        <w:trPr>
          <w:trHeight w:val="144"/>
        </w:trPr>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Adjusted EBITDA*</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3"/>
              </w:rPr>
              <w:t>$9 to $13 million</w:t>
            </w:r>
          </w:p>
        </w:tc>
      </w:tr>
    </w:tbl>
    <w:p>
      <w:pPr>
        <w:sectPr>
          <w:pgSz w:w="11900" w:h="16838" w:orient="portrait"/>
          <w:cols w:equalWidth="0" w:num="1">
            <w:col w:w="9019"/>
          </w:cols>
          <w:pgMar w:left="1440" w:top="230" w:right="1440" w:bottom="1440" w:gutter="0" w:footer="0" w:header="0"/>
        </w:sectPr>
      </w:pPr>
    </w:p>
    <w:bookmarkStart w:id="7" w:name="page8"/>
    <w:bookmarkEnd w:id="7"/>
    <w:p>
      <w:pPr>
        <w:ind w:left="980" w:right="899" w:hanging="148"/>
        <w:spacing w:after="0" w:line="259" w:lineRule="auto"/>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192"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w:t>
      </w:r>
    </w:p>
    <w:p>
      <w:pPr>
        <w:spacing w:after="0" w:line="82" w:lineRule="exact"/>
        <w:rPr>
          <w:sz w:val="20"/>
          <w:szCs w:val="20"/>
          <w:color w:val="auto"/>
        </w:rPr>
      </w:pPr>
    </w:p>
    <w:p>
      <w:pPr>
        <w:ind w:left="840" w:right="979"/>
        <w:spacing w:after="0" w:line="298" w:lineRule="auto"/>
        <w:rPr>
          <w:sz w:val="20"/>
          <w:szCs w:val="20"/>
          <w:color w:val="auto"/>
        </w:rPr>
      </w:pPr>
      <w:r>
        <w:rPr>
          <w:rFonts w:ascii="Arial" w:cs="Arial" w:eastAsia="Arial" w:hAnsi="Arial"/>
          <w:sz w:val="11"/>
          <w:szCs w:val="11"/>
          <w:color w:val="auto"/>
        </w:rPr>
        <w:t xml:space="preserve">The Company will host a conference call to discuss fourth quarter and fiscal year 2021 financial results today at 5:00 pm ET. Hosting the call will be Mike Massaro, CEO, Rob Orgel, President and COO, and Mike Ellis, CFO. The conference call can be accessed live via webcast from the Company’s investor relations website at </w:t>
      </w:r>
      <w:r>
        <w:rPr>
          <w:rFonts w:ascii="Arial" w:cs="Arial" w:eastAsia="Arial" w:hAnsi="Arial"/>
          <w:sz w:val="11"/>
          <w:szCs w:val="11"/>
          <w:u w:val="single" w:color="auto"/>
          <w:color w:val="auto"/>
        </w:rPr>
        <w:t>https://ir.flywire.com/</w:t>
      </w:r>
      <w:r>
        <w:rPr>
          <w:rFonts w:ascii="Arial" w:cs="Arial" w:eastAsia="Arial" w:hAnsi="Arial"/>
          <w:sz w:val="11"/>
          <w:szCs w:val="11"/>
          <w:color w:val="auto"/>
        </w:rPr>
        <w:t>. A replay will be available on the investor relations website following the call.</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Financial Disclosure Advisory</w:t>
      </w:r>
    </w:p>
    <w:p>
      <w:pPr>
        <w:spacing w:after="0" w:line="82" w:lineRule="exact"/>
        <w:rPr>
          <w:sz w:val="20"/>
          <w:szCs w:val="20"/>
          <w:color w:val="auto"/>
        </w:rPr>
      </w:pPr>
    </w:p>
    <w:p>
      <w:pPr>
        <w:ind w:left="840" w:right="839"/>
        <w:spacing w:after="0" w:line="277" w:lineRule="auto"/>
        <w:rPr>
          <w:sz w:val="20"/>
          <w:szCs w:val="20"/>
          <w:color w:val="auto"/>
        </w:rPr>
      </w:pPr>
      <w:r>
        <w:rPr>
          <w:rFonts w:ascii="Arial" w:cs="Arial" w:eastAsia="Arial" w:hAnsi="Arial"/>
          <w:sz w:val="11"/>
          <w:szCs w:val="11"/>
          <w:color w:val="auto"/>
        </w:rPr>
        <w:t>The Company reports its financial results in accordance with U.S. generally accepted accounting principles (“GAAP”). The expected financial results discussed in this press release are preliminary and unaudited and represent the most current information available to the company’s management, as financial closing and audit procedures for the year ended December 31, 2021 are not yet complete. These estimates are not a comprehensive statement of the Company’s financial results for the fourth quarter and fiscal year ended December 31, 2021, and actual results may differ materially from these estimates as a result of the completion of year-end accounting procedures and adjustments, including tax provision analysis and the performance of the Company’s internal control over financial reporting, the completion of the external audit by the Company’s independent registered public accounting firm, the preparation of the Company’s financial statements and the subsequent occurrence or identification of events prior to the formal issuance of the audited financial statements for fiscal year 2021. The Company has not finalized its accounting treatment of certain international income and indirect tax matters. However, the Company expects that the maximum magnitude of any related adjustments is less than $3.3 million and would not impact revenue, gross margin or adjusted EBITDA, but would negatively impact the Company’s loss from operations, loss before income taxes, net loss and net loss per share as may be reported in its Annual Report on Form 10-K. In addition, results presented in this press release or on the conference call do not present all information necessary for an understanding of the Company’s financial condition and results of operations as of and for the quarter and year ended December 31, 2021.</w:t>
      </w:r>
    </w:p>
    <w:p>
      <w:pPr>
        <w:sectPr>
          <w:pgSz w:w="11900" w:h="16838" w:orient="portrait"/>
          <w:cols w:equalWidth="0" w:num="1">
            <w:col w:w="9019"/>
          </w:cols>
          <w:pgMar w:left="1440" w:top="230" w:right="1440" w:bottom="1440" w:gutter="0" w:footer="0" w:header="0"/>
        </w:sectPr>
      </w:pPr>
    </w:p>
    <w:bookmarkStart w:id="8" w:name="page9"/>
    <w:bookmarkEnd w:id="8"/>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Key Operating Metrics and Non-GAAP Financial Measures table</w:t>
      </w:r>
    </w:p>
    <w:p>
      <w:pPr>
        <w:spacing w:after="0" w:line="82" w:lineRule="exact"/>
        <w:rPr>
          <w:sz w:val="20"/>
          <w:szCs w:val="20"/>
          <w:color w:val="auto"/>
        </w:rPr>
      </w:pPr>
    </w:p>
    <w:p>
      <w:pPr>
        <w:jc w:val="both"/>
        <w:ind w:left="840" w:right="1019"/>
        <w:spacing w:after="0" w:line="306" w:lineRule="auto"/>
        <w:rPr>
          <w:sz w:val="20"/>
          <w:szCs w:val="20"/>
          <w:color w:val="auto"/>
        </w:rPr>
      </w:pPr>
      <w:r>
        <w:rPr>
          <w:rFonts w:ascii="Arial" w:cs="Arial" w:eastAsia="Arial" w:hAnsi="Arial"/>
          <w:sz w:val="10"/>
          <w:szCs w:val="10"/>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w:t>
      </w:r>
    </w:p>
    <w:p>
      <w:pPr>
        <w:spacing w:after="0" w:line="1" w:lineRule="exact"/>
        <w:rPr>
          <w:sz w:val="20"/>
          <w:szCs w:val="20"/>
          <w:color w:val="auto"/>
        </w:rPr>
      </w:pPr>
    </w:p>
    <w:p>
      <w:pPr>
        <w:ind w:left="840" w:right="919"/>
        <w:spacing w:after="0" w:line="281" w:lineRule="auto"/>
        <w:rPr>
          <w:sz w:val="20"/>
          <w:szCs w:val="20"/>
          <w:color w:val="auto"/>
        </w:rPr>
      </w:pPr>
      <w:r>
        <w:rPr>
          <w:rFonts w:ascii="Arial" w:cs="Arial" w:eastAsia="Arial" w:hAnsi="Arial"/>
          <w:sz w:val="11"/>
          <w:szCs w:val="11"/>
          <w:color w:val="auto"/>
        </w:rPr>
        <w:t>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15" w:lineRule="exact"/>
        <w:rPr>
          <w:sz w:val="20"/>
          <w:szCs w:val="20"/>
          <w:color w:val="auto"/>
        </w:rPr>
      </w:pPr>
    </w:p>
    <w:p>
      <w:pPr>
        <w:ind w:left="840" w:right="1019"/>
        <w:spacing w:after="0" w:line="323" w:lineRule="auto"/>
        <w:rPr>
          <w:sz w:val="20"/>
          <w:szCs w:val="20"/>
          <w:color w:val="auto"/>
        </w:rPr>
      </w:pPr>
      <w:r>
        <w:rPr>
          <w:rFonts w:ascii="Arial" w:cs="Arial" w:eastAsia="Arial" w:hAnsi="Arial"/>
          <w:sz w:val="11"/>
          <w:szCs w:val="11"/>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29" w:lineRule="exact"/>
        <w:rPr>
          <w:sz w:val="20"/>
          <w:szCs w:val="20"/>
          <w:color w:val="auto"/>
        </w:rPr>
      </w:pPr>
    </w:p>
    <w:p>
      <w:pPr>
        <w:ind w:left="1480" w:right="999" w:hanging="360"/>
        <w:spacing w:after="0" w:line="340" w:lineRule="auto"/>
        <w:tabs>
          <w:tab w:leader="none" w:pos="1480"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Revenue Less Ancillary Services. Revenue Less Ancillary Services represents our consolidated revenue in accordance with GAAP after excluding (i) pass-through cost for printing and mailing services and (ii) marketing fees. We exclude these amounts to arrive at this supplemental non-GAAP financial measure as we view these services as ancillary to the primary services we provide to our clients.</w:t>
      </w:r>
    </w:p>
    <w:p>
      <w:pPr>
        <w:spacing w:after="0" w:line="24" w:lineRule="exact"/>
        <w:rPr>
          <w:rFonts w:ascii="Arial" w:cs="Arial" w:eastAsia="Arial" w:hAnsi="Arial"/>
          <w:sz w:val="10"/>
          <w:szCs w:val="10"/>
          <w:color w:val="auto"/>
        </w:rPr>
      </w:pPr>
    </w:p>
    <w:p>
      <w:pPr>
        <w:ind w:left="1480" w:right="919" w:hanging="360"/>
        <w:spacing w:after="0" w:line="256" w:lineRule="auto"/>
        <w:tabs>
          <w:tab w:leader="none" w:pos="1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Adjusted Gross Margin. Adjusted gross margin represents adjusted gross profit divided by Revenue Less Ancillary Services. 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65" w:lineRule="exact"/>
        <w:rPr>
          <w:rFonts w:ascii="Arial" w:cs="Arial" w:eastAsia="Arial" w:hAnsi="Arial"/>
          <w:sz w:val="12"/>
          <w:szCs w:val="12"/>
          <w:color w:val="auto"/>
        </w:rPr>
      </w:pPr>
    </w:p>
    <w:p>
      <w:pPr>
        <w:ind w:left="1480" w:right="1019" w:hanging="360"/>
        <w:spacing w:after="0" w:line="263" w:lineRule="auto"/>
        <w:tabs>
          <w:tab w:leader="none" w:pos="14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Adjusted EBITDA. Adjusted EBITDA represents EBITDA further adjusted by excluding (i) stock-based compensation expense, (ii) the impact from the change in fair value measurement for contingent consideration associated with acquisitions, (iii) the impact from the change in fair value measurement of our</w:t>
      </w:r>
    </w:p>
    <w:p>
      <w:pPr>
        <w:sectPr>
          <w:pgSz w:w="11900" w:h="16838" w:orient="portrait"/>
          <w:cols w:equalWidth="0" w:num="1">
            <w:col w:w="9019"/>
          </w:cols>
          <w:pgMar w:left="1440" w:top="226" w:right="1440" w:bottom="1440" w:gutter="0" w:footer="0" w:header="0"/>
        </w:sectPr>
      </w:pPr>
    </w:p>
    <w:bookmarkStart w:id="9" w:name="page10"/>
    <w:bookmarkEnd w:id="9"/>
    <w:p>
      <w:pPr>
        <w:ind w:left="1480" w:right="91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preferred stock warrants, (iv) other income (expense), net,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24" w:lineRule="exact"/>
        <w:rPr>
          <w:sz w:val="20"/>
          <w:szCs w:val="20"/>
          <w:color w:val="auto"/>
        </w:rPr>
      </w:pPr>
    </w:p>
    <w:p>
      <w:pPr>
        <w:ind w:left="840" w:right="939"/>
        <w:spacing w:after="0" w:line="279" w:lineRule="auto"/>
        <w:rPr>
          <w:sz w:val="20"/>
          <w:szCs w:val="20"/>
          <w:color w:val="auto"/>
        </w:rPr>
      </w:pPr>
      <w:r>
        <w:rPr>
          <w:rFonts w:ascii="Arial" w:cs="Arial" w:eastAsia="Arial" w:hAnsi="Arial"/>
          <w:sz w:val="11"/>
          <w:szCs w:val="11"/>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 We have not provided a quantitative reconciliation of forecasted Adjusted EBITDA to forecasted GAAP net income (loss) or to forecasted GAAP income (loss) before income taxes within this earnings release because we are unable, without making unreasonable efforts, to calculate certain reconciling items with confidence. These items include but are not limited to income taxes which are directly impacted by unpredictable fluctuations in the market price of the Flywire’s stock.</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Flywire</w:t>
      </w:r>
    </w:p>
    <w:p>
      <w:pPr>
        <w:spacing w:after="0" w:line="82" w:lineRule="exact"/>
        <w:rPr>
          <w:sz w:val="20"/>
          <w:szCs w:val="20"/>
          <w:color w:val="auto"/>
        </w:rPr>
      </w:pPr>
    </w:p>
    <w:p>
      <w:pPr>
        <w:ind w:left="840" w:right="1199"/>
        <w:spacing w:after="0" w:line="263" w:lineRule="auto"/>
        <w:rPr>
          <w:sz w:val="20"/>
          <w:szCs w:val="20"/>
          <w:color w:val="auto"/>
        </w:rPr>
      </w:pPr>
      <w:r>
        <w:rPr>
          <w:rFonts w:ascii="Arial" w:cs="Arial" w:eastAsia="Arial" w:hAnsi="Arial"/>
          <w:sz w:val="12"/>
          <w:szCs w:val="12"/>
          <w:color w:val="auto"/>
        </w:rPr>
        <w:t>Flywire Corporation (Nasdaq: FLYW)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22" w:lineRule="exact"/>
        <w:rPr>
          <w:sz w:val="20"/>
          <w:szCs w:val="20"/>
          <w:color w:val="auto"/>
        </w:rPr>
      </w:pPr>
    </w:p>
    <w:p>
      <w:pPr>
        <w:jc w:val="both"/>
        <w:ind w:left="840" w:right="979"/>
        <w:spacing w:after="0" w:line="298" w:lineRule="auto"/>
        <w:rPr>
          <w:sz w:val="20"/>
          <w:szCs w:val="20"/>
          <w:color w:val="auto"/>
        </w:rPr>
      </w:pPr>
      <w:r>
        <w:rPr>
          <w:rFonts w:ascii="Arial" w:cs="Arial" w:eastAsia="Arial" w:hAnsi="Arial"/>
          <w:sz w:val="11"/>
          <w:szCs w:val="11"/>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05" w:lineRule="exact"/>
        <w:rPr>
          <w:sz w:val="20"/>
          <w:szCs w:val="20"/>
          <w:color w:val="auto"/>
        </w:rPr>
      </w:pPr>
    </w:p>
    <w:p>
      <w:pPr>
        <w:ind w:left="840" w:right="1039"/>
        <w:spacing w:after="0" w:line="263" w:lineRule="auto"/>
        <w:rPr>
          <w:sz w:val="20"/>
          <w:szCs w:val="20"/>
          <w:color w:val="auto"/>
        </w:rPr>
      </w:pPr>
      <w:r>
        <w:rPr>
          <w:rFonts w:ascii="Arial" w:cs="Arial" w:eastAsia="Arial" w:hAnsi="Arial"/>
          <w:sz w:val="12"/>
          <w:szCs w:val="12"/>
          <w:color w:val="auto"/>
        </w:rPr>
        <w:t xml:space="preserve">Flywire supports over 2,500 clients with diverse payment methods in more than 140 currencies across 240 countries and territories around the world. Flywire is headquartered in Boston, MA, USA with global offices. For more information, visit </w:t>
      </w:r>
      <w:r>
        <w:rPr>
          <w:rFonts w:ascii="Arial" w:cs="Arial" w:eastAsia="Arial" w:hAnsi="Arial"/>
          <w:sz w:val="12"/>
          <w:szCs w:val="12"/>
          <w:b w:val="1"/>
          <w:bCs w:val="1"/>
          <w:u w:val="single" w:color="auto"/>
          <w:color w:val="auto"/>
        </w:rPr>
        <w:t>www.flywire.com</w:t>
      </w:r>
      <w:r>
        <w:rPr>
          <w:rFonts w:ascii="Arial" w:cs="Arial" w:eastAsia="Arial" w:hAnsi="Arial"/>
          <w:sz w:val="12"/>
          <w:szCs w:val="12"/>
          <w:color w:val="auto"/>
        </w:rPr>
        <w:t xml:space="preserve">. Follow Flywire on </w:t>
      </w:r>
      <w:r>
        <w:rPr>
          <w:rFonts w:ascii="Arial" w:cs="Arial" w:eastAsia="Arial" w:hAnsi="Arial"/>
          <w:sz w:val="12"/>
          <w:szCs w:val="12"/>
          <w:b w:val="1"/>
          <w:bCs w:val="1"/>
          <w:u w:val="single" w:color="auto"/>
          <w:color w:val="auto"/>
        </w:rPr>
        <w:t>Twitter</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LinkedIn</w:t>
      </w:r>
      <w:r>
        <w:rPr>
          <w:rFonts w:ascii="Arial" w:cs="Arial" w:eastAsia="Arial" w:hAnsi="Arial"/>
          <w:sz w:val="12"/>
          <w:szCs w:val="12"/>
          <w:b w:val="1"/>
          <w:bCs w:val="1"/>
          <w:color w:val="auto"/>
        </w:rPr>
        <w:t xml:space="preserve"> </w:t>
      </w:r>
      <w:r>
        <w:rPr>
          <w:rFonts w:ascii="Arial" w:cs="Arial" w:eastAsia="Arial" w:hAnsi="Arial"/>
          <w:sz w:val="12"/>
          <w:szCs w:val="12"/>
          <w:color w:val="auto"/>
        </w:rPr>
        <w:t>and</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Facebook</w:t>
      </w:r>
      <w:r>
        <w:rPr>
          <w:rFonts w:ascii="Arial" w:cs="Arial" w:eastAsia="Arial" w:hAnsi="Arial"/>
          <w:sz w:val="12"/>
          <w:szCs w:val="12"/>
          <w:color w:val="auto"/>
        </w:rPr>
        <w:t>.</w:t>
      </w:r>
    </w:p>
    <w:p>
      <w:pPr>
        <w:sectPr>
          <w:pgSz w:w="11900" w:h="16838" w:orient="portrait"/>
          <w:cols w:equalWidth="0" w:num="1">
            <w:col w:w="9019"/>
          </w:cols>
          <w:pgMar w:left="1440" w:top="230" w:right="1440" w:bottom="1440" w:gutter="0" w:footer="0" w:header="0"/>
        </w:sectPr>
      </w:pPr>
    </w:p>
    <w:bookmarkStart w:id="10" w:name="page11"/>
    <w:bookmarkEnd w:id="10"/>
    <w:p>
      <w:pPr>
        <w:ind w:left="840"/>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Safe Harbor Statement</w:t>
      </w:r>
    </w:p>
    <w:p>
      <w:pPr>
        <w:spacing w:after="0" w:line="78" w:lineRule="exact"/>
        <w:rPr>
          <w:sz w:val="20"/>
          <w:szCs w:val="20"/>
          <w:color w:val="auto"/>
        </w:rPr>
      </w:pPr>
    </w:p>
    <w:p>
      <w:pPr>
        <w:ind w:left="840" w:right="879"/>
        <w:spacing w:after="0" w:line="275" w:lineRule="auto"/>
        <w:rPr>
          <w:sz w:val="20"/>
          <w:szCs w:val="20"/>
          <w:color w:val="auto"/>
        </w:rPr>
      </w:pPr>
      <w:r>
        <w:rPr>
          <w:rFonts w:ascii="Arial" w:cs="Arial" w:eastAsia="Arial" w:hAnsi="Arial"/>
          <w:sz w:val="11"/>
          <w:szCs w:val="11"/>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w:t>
      </w:r>
    </w:p>
    <w:p>
      <w:pPr>
        <w:sectPr>
          <w:pgSz w:w="11900" w:h="16838" w:orient="portrait"/>
          <w:cols w:equalWidth="0" w:num="1">
            <w:col w:w="9019"/>
          </w:cols>
          <w:pgMar w:left="1440" w:top="230" w:right="1440" w:bottom="1440" w:gutter="0" w:footer="0" w:header="0"/>
        </w:sectPr>
      </w:pPr>
    </w:p>
    <w:bookmarkStart w:id="11" w:name="page12"/>
    <w:bookmarkEnd w:id="11"/>
    <w:p>
      <w:pPr>
        <w:ind w:left="840" w:right="959"/>
        <w:spacing w:after="0" w:line="283"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Factors” and “Management’s Discussion and Analysis of Financial Condition and Results of Operations” sections of Flywire’s Prospectus dated May 25, 2021, and Quarterly Report on Form 10-Q for the quarter ended September 30, 2021, which are on file with the Securities and Exchange Commission (SEC) and available on the SEC’s website at </w:t>
      </w:r>
      <w:r>
        <w:rPr>
          <w:rFonts w:ascii="Arial" w:cs="Arial" w:eastAsia="Arial" w:hAnsi="Arial"/>
          <w:sz w:val="11"/>
          <w:szCs w:val="11"/>
          <w:u w:val="single" w:color="auto"/>
          <w:color w:val="auto"/>
        </w:rPr>
        <w:t>https://www.sec.gov/</w:t>
      </w:r>
      <w:r>
        <w:rPr>
          <w:rFonts w:ascii="Arial" w:cs="Arial" w:eastAsia="Arial" w:hAnsi="Arial"/>
          <w:sz w:val="11"/>
          <w:szCs w:val="11"/>
          <w:color w:val="auto"/>
        </w:rPr>
        <w:t>. Additional factors may be described in those sections of Flywire’s Annual Report on Form 10-K for the year ended December 31, 2021, expected to be filed with the SEC in the first quarter of 2022.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pacing w:after="0" w:line="1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Contacts</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w:t>
      </w:r>
      <w:r>
        <w:rPr>
          <w:rFonts w:ascii="Arial" w:cs="Arial" w:eastAsia="Arial" w:hAnsi="Arial"/>
          <w:sz w:val="12"/>
          <w:szCs w:val="12"/>
          <w:color w:val="auto"/>
        </w:rPr>
        <w:t>:</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Sarah King</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Sarah.King@Flywire.com</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Prosek Partners</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pro-flywire@prosek.com</w:t>
      </w:r>
    </w:p>
    <w:p>
      <w:pPr>
        <w:spacing w:after="0" w:line="137"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Relations</w:t>
      </w:r>
      <w:r>
        <w:rPr>
          <w:rFonts w:ascii="Arial" w:cs="Arial" w:eastAsia="Arial" w:hAnsi="Arial"/>
          <w:sz w:val="12"/>
          <w:szCs w:val="12"/>
          <w:color w:val="auto"/>
        </w:rPr>
        <w: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ICR</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flywireir@icrinc.com</w:t>
      </w:r>
    </w:p>
    <w:p>
      <w:pPr>
        <w:sectPr>
          <w:pgSz w:w="11900" w:h="16838" w:orient="portrait"/>
          <w:cols w:equalWidth="0" w:num="1">
            <w:col w:w="9019"/>
          </w:cols>
          <w:pgMar w:left="1440" w:top="230"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Preliminary Unaudited Condensed Consolidated Statement of Operations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 except share and per share amounts)</w:t>
      </w:r>
    </w:p>
    <w:p>
      <w:pPr>
        <w:spacing w:after="0" w:line="21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5"/>
          </w:tcPr>
          <w:p>
            <w:pPr>
              <w:jc w:val="right"/>
              <w:ind w:right="580"/>
              <w:spacing w:after="0"/>
              <w:rPr>
                <w:sz w:val="20"/>
                <w:szCs w:val="20"/>
                <w:color w:val="auto"/>
              </w:rPr>
            </w:pPr>
            <w:r>
              <w:rPr>
                <w:rFonts w:ascii="Arial" w:cs="Arial" w:eastAsia="Arial" w:hAnsi="Arial"/>
                <w:sz w:val="10"/>
                <w:szCs w:val="10"/>
                <w:b w:val="1"/>
                <w:bCs w:val="1"/>
                <w:color w:val="auto"/>
              </w:rPr>
              <w:t>Three Months Ended</w:t>
            </w:r>
          </w:p>
        </w:tc>
        <w:tc>
          <w:tcPr>
            <w:tcW w:w="60" w:type="dxa"/>
            <w:vAlign w:val="bottom"/>
          </w:tcPr>
          <w:p>
            <w:pPr>
              <w:spacing w:after="0"/>
              <w:rPr>
                <w:sz w:val="10"/>
                <w:szCs w:val="10"/>
                <w:color w:val="auto"/>
              </w:rPr>
            </w:pPr>
          </w:p>
        </w:tc>
        <w:tc>
          <w:tcPr>
            <w:tcW w:w="980" w:type="dxa"/>
            <w:vAlign w:val="bottom"/>
            <w:gridSpan w:val="3"/>
          </w:tcPr>
          <w:p>
            <w:pPr>
              <w:jc w:val="right"/>
              <w:ind w:right="11"/>
              <w:spacing w:after="0"/>
              <w:rPr>
                <w:sz w:val="20"/>
                <w:szCs w:val="20"/>
                <w:color w:val="auto"/>
              </w:rPr>
            </w:pPr>
            <w:r>
              <w:rPr>
                <w:rFonts w:ascii="Arial" w:cs="Arial" w:eastAsia="Arial" w:hAnsi="Arial"/>
                <w:sz w:val="10"/>
                <w:szCs w:val="10"/>
                <w:b w:val="1"/>
                <w:bCs w:val="1"/>
                <w:color w:val="auto"/>
              </w:rPr>
              <w:t>Year Ended</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460" w:type="dxa"/>
            <w:vAlign w:val="bottom"/>
            <w:tcBorders>
              <w:top w:val="single" w:sz="8" w:color="auto"/>
            </w:tcBorders>
            <w:gridSpan w:val="4"/>
          </w:tcPr>
          <w:p>
            <w:pPr>
              <w:ind w:left="420"/>
              <w:spacing w:after="0" w:line="74" w:lineRule="exact"/>
              <w:rPr>
                <w:sz w:val="20"/>
                <w:szCs w:val="20"/>
                <w:color w:val="auto"/>
              </w:rPr>
            </w:pPr>
            <w:r>
              <w:rPr>
                <w:rFonts w:ascii="Arial" w:cs="Arial" w:eastAsia="Arial" w:hAnsi="Arial"/>
                <w:sz w:val="8"/>
                <w:szCs w:val="8"/>
                <w:b w:val="1"/>
                <w:bCs w:val="1"/>
                <w:color w:val="auto"/>
              </w:rPr>
              <w:t>December 31,</w:t>
            </w:r>
          </w:p>
        </w:tc>
        <w:tc>
          <w:tcPr>
            <w:tcW w:w="2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gridSpan w:val="3"/>
          </w:tcPr>
          <w:p>
            <w:pPr>
              <w:jc w:val="right"/>
              <w:spacing w:after="0" w:line="74" w:lineRule="exact"/>
              <w:rPr>
                <w:sz w:val="20"/>
                <w:szCs w:val="20"/>
                <w:color w:val="auto"/>
              </w:rPr>
            </w:pPr>
            <w:r>
              <w:rPr>
                <w:rFonts w:ascii="Arial" w:cs="Arial" w:eastAsia="Arial" w:hAnsi="Arial"/>
                <w:sz w:val="8"/>
                <w:szCs w:val="8"/>
                <w:b w:val="1"/>
                <w:bCs w:val="1"/>
                <w:color w:val="auto"/>
              </w:rPr>
              <w:t>December 31,</w:t>
            </w:r>
          </w:p>
        </w:tc>
        <w:tc>
          <w:tcPr>
            <w:tcW w:w="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0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82"/>
              <w:spacing w:after="0" w:line="114"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161"/>
              <w:spacing w:after="0" w:line="114" w:lineRule="exact"/>
              <w:rPr>
                <w:sz w:val="20"/>
                <w:szCs w:val="20"/>
                <w:color w:val="auto"/>
              </w:rPr>
            </w:pPr>
            <w:r>
              <w:rPr>
                <w:rFonts w:ascii="Arial" w:cs="Arial" w:eastAsia="Arial" w:hAnsi="Arial"/>
                <w:sz w:val="10"/>
                <w:szCs w:val="10"/>
                <w:b w:val="1"/>
                <w:bCs w:val="1"/>
                <w:color w:val="auto"/>
              </w:rPr>
              <w:t>2020</w:t>
            </w:r>
          </w:p>
        </w:tc>
        <w:tc>
          <w:tcPr>
            <w:tcW w:w="2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ind w:left="160"/>
              <w:spacing w:after="0" w:line="114" w:lineRule="exact"/>
              <w:rPr>
                <w:sz w:val="20"/>
                <w:szCs w:val="20"/>
                <w:color w:val="auto"/>
              </w:rPr>
            </w:pPr>
            <w:r>
              <w:rPr>
                <w:rFonts w:ascii="Arial" w:cs="Arial" w:eastAsia="Arial" w:hAnsi="Arial"/>
                <w:sz w:val="10"/>
                <w:szCs w:val="10"/>
                <w:b w:val="1"/>
                <w:bCs w:val="1"/>
                <w:color w:val="auto"/>
              </w:rPr>
              <w:t>2021</w:t>
            </w:r>
          </w:p>
        </w:tc>
        <w:tc>
          <w:tcPr>
            <w:tcW w:w="2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51,394</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33,231</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160"/>
              <w:spacing w:after="0" w:line="133" w:lineRule="exact"/>
              <w:rPr>
                <w:sz w:val="20"/>
                <w:szCs w:val="20"/>
                <w:color w:val="auto"/>
              </w:rPr>
            </w:pPr>
            <w:r>
              <w:rPr>
                <w:rFonts w:ascii="Arial" w:cs="Arial" w:eastAsia="Arial" w:hAnsi="Arial"/>
                <w:sz w:val="12"/>
                <w:szCs w:val="12"/>
                <w:color w:val="auto"/>
                <w:w w:val="82"/>
              </w:rPr>
              <w:t>201,149</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2"/>
              </w:rPr>
              <w:t>131,783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40" w:type="dxa"/>
            <w:vAlign w:val="bottom"/>
          </w:tcPr>
          <w:p>
            <w:pPr>
              <w:spacing w:after="0"/>
              <w:rPr>
                <w:sz w:val="20"/>
                <w:szCs w:val="20"/>
                <w:color w:val="auto"/>
              </w:rPr>
            </w:pPr>
            <w:r>
              <w:rPr>
                <w:rFonts w:ascii="Arial" w:cs="Arial" w:eastAsia="Arial" w:hAnsi="Arial"/>
                <w:sz w:val="12"/>
                <w:szCs w:val="12"/>
                <w:color w:val="auto"/>
              </w:rPr>
              <w:t>Costs and operating expenses:</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Payment processing and services costs</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19,254</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11,551</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70,191</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47,805</w:t>
            </w:r>
          </w:p>
        </w:tc>
        <w:tc>
          <w:tcPr>
            <w:tcW w:w="0" w:type="dxa"/>
            <w:vAlign w:val="bottom"/>
          </w:tcPr>
          <w:p>
            <w:pPr>
              <w:spacing w:after="0"/>
              <w:rPr>
                <w:sz w:val="1"/>
                <w:szCs w:val="1"/>
                <w:color w:val="auto"/>
              </w:rPr>
            </w:pPr>
          </w:p>
        </w:tc>
      </w:tr>
      <w:tr>
        <w:trPr>
          <w:trHeight w:val="144"/>
        </w:trPr>
        <w:tc>
          <w:tcPr>
            <w:tcW w:w="4040" w:type="dxa"/>
            <w:vAlign w:val="bottom"/>
          </w:tcPr>
          <w:p>
            <w:pPr>
              <w:ind w:left="240"/>
              <w:spacing w:after="0"/>
              <w:rPr>
                <w:sz w:val="20"/>
                <w:szCs w:val="20"/>
                <w:color w:val="auto"/>
              </w:rPr>
            </w:pPr>
            <w:r>
              <w:rPr>
                <w:rFonts w:ascii="Arial" w:cs="Arial" w:eastAsia="Arial" w:hAnsi="Arial"/>
                <w:sz w:val="12"/>
                <w:szCs w:val="12"/>
                <w:color w:val="auto"/>
              </w:rPr>
              <w:t>Technology and development</w:t>
            </w:r>
          </w:p>
        </w:tc>
        <w:tc>
          <w:tcPr>
            <w:tcW w:w="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9,092</w:t>
            </w:r>
          </w:p>
        </w:tc>
        <w:tc>
          <w:tcPr>
            <w:tcW w:w="6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2"/>
                <w:szCs w:val="12"/>
                <w:color w:val="auto"/>
              </w:rPr>
              <w:t>6,696</w:t>
            </w: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31,295</w:t>
            </w:r>
          </w:p>
        </w:tc>
        <w:tc>
          <w:tcPr>
            <w:tcW w:w="1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24,501</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Selling and marketing</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15,897</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8,270</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51,297</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32,612</w:t>
            </w:r>
          </w:p>
        </w:tc>
        <w:tc>
          <w:tcPr>
            <w:tcW w:w="0" w:type="dxa"/>
            <w:vAlign w:val="bottom"/>
          </w:tcPr>
          <w:p>
            <w:pPr>
              <w:spacing w:after="0"/>
              <w:rPr>
                <w:sz w:val="1"/>
                <w:szCs w:val="1"/>
                <w:color w:val="auto"/>
              </w:rPr>
            </w:pPr>
          </w:p>
        </w:tc>
      </w:tr>
      <w:tr>
        <w:trPr>
          <w:trHeight w:val="144"/>
        </w:trPr>
        <w:tc>
          <w:tcPr>
            <w:tcW w:w="4040" w:type="dxa"/>
            <w:vAlign w:val="bottom"/>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17,478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9,695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61,623</w:t>
            </w:r>
          </w:p>
        </w:tc>
        <w:tc>
          <w:tcPr>
            <w:tcW w:w="1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42,680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costs and operating expenses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61,721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214,406</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147,598</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2"/>
                <w:szCs w:val="12"/>
                <w:color w:val="auto"/>
              </w:rPr>
              <w:t>Loss from operations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(10,327)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(2,981)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(13,257)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(15,815)</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240"/>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(217)</w:t>
            </w:r>
          </w:p>
        </w:tc>
        <w:tc>
          <w:tcPr>
            <w:tcW w:w="6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(673)</w:t>
            </w:r>
          </w:p>
        </w:tc>
        <w:tc>
          <w:tcPr>
            <w:tcW w:w="6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(2,021)</w:t>
            </w:r>
          </w:p>
        </w:tc>
        <w:tc>
          <w:tcPr>
            <w:tcW w:w="18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(2,533)</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preferred stock warrant liability</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(380)</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(10,758)</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44"/>
        </w:trPr>
        <w:tc>
          <w:tcPr>
            <w:tcW w:w="4040" w:type="dxa"/>
            <w:vAlign w:val="bottom"/>
          </w:tcPr>
          <w:p>
            <w:pPr>
              <w:ind w:left="240"/>
              <w:spacing w:after="0"/>
              <w:rPr>
                <w:sz w:val="20"/>
                <w:szCs w:val="20"/>
                <w:color w:val="auto"/>
              </w:rPr>
            </w:pPr>
            <w:r>
              <w:rPr>
                <w:rFonts w:ascii="Arial" w:cs="Arial" w:eastAsia="Arial" w:hAnsi="Arial"/>
                <w:sz w:val="12"/>
                <w:szCs w:val="12"/>
                <w:color w:val="auto"/>
              </w:rPr>
              <w:t>Other income (expense), net</w:t>
            </w: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625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109</w:t>
            </w:r>
          </w:p>
        </w:tc>
        <w:tc>
          <w:tcPr>
            <w:tcW w:w="1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697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other income (expenses), net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(12,670)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(2,461)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2"/>
                <w:szCs w:val="12"/>
                <w:color w:val="auto"/>
              </w:rPr>
              <w:t>Loss before provision for income taxes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(9,941)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(3,409)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(25,927)</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(18,276)</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(Benefit from) provision for income taxes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2,032</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(7,169)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(11,155)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(4,031)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(27,959)</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(11,107)</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(105)</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(235)</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(185)</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4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(11,260)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(4,266)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(28,114)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(11,423)</w:t>
            </w:r>
          </w:p>
        </w:tc>
        <w:tc>
          <w:tcPr>
            <w:tcW w:w="0" w:type="dxa"/>
            <w:vAlign w:val="bottom"/>
          </w:tcPr>
          <w:p>
            <w:pPr>
              <w:spacing w:after="0"/>
              <w:rPr>
                <w:sz w:val="1"/>
                <w:szCs w:val="1"/>
                <w:color w:val="auto"/>
              </w:rPr>
            </w:pPr>
          </w:p>
        </w:tc>
      </w:tr>
      <w:tr>
        <w:trPr>
          <w:trHeight w:val="32"/>
        </w:trPr>
        <w:tc>
          <w:tcPr>
            <w:tcW w:w="4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 - basic and 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(11,260)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(4,035)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(27,972)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(11,121)</w:t>
            </w:r>
          </w:p>
        </w:tc>
        <w:tc>
          <w:tcPr>
            <w:tcW w:w="0" w:type="dxa"/>
            <w:vAlign w:val="bottom"/>
          </w:tcPr>
          <w:p>
            <w:pPr>
              <w:spacing w:after="0"/>
              <w:rPr>
                <w:sz w:val="1"/>
                <w:szCs w:val="1"/>
                <w:color w:val="auto"/>
              </w:rPr>
            </w:pPr>
          </w:p>
        </w:tc>
      </w:tr>
      <w:tr>
        <w:trPr>
          <w:trHeight w:val="27"/>
        </w:trPr>
        <w:tc>
          <w:tcPr>
            <w:tcW w:w="4040" w:type="dxa"/>
            <w:vAlign w:val="bottom"/>
            <w:vMerge w:val="restart"/>
          </w:tcPr>
          <w:p>
            <w:pPr>
              <w:spacing w:after="0"/>
              <w:rPr>
                <w:sz w:val="20"/>
                <w:szCs w:val="20"/>
                <w:color w:val="auto"/>
              </w:rPr>
            </w:pPr>
            <w:r>
              <w:rPr>
                <w:rFonts w:ascii="Arial" w:cs="Arial" w:eastAsia="Arial" w:hAnsi="Arial"/>
                <w:sz w:val="12"/>
                <w:szCs w:val="12"/>
                <w:color w:val="auto"/>
              </w:rPr>
              <w:t>Net loss per share attributable to common stockholders - basic and diluted</w:t>
            </w: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04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(0.11)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(0.21)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32"/>
        </w:trPr>
        <w:tc>
          <w:tcPr>
            <w:tcW w:w="4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0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common shares outstanding - basic and diluted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105,294,894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19,046,674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6"/>
              </w:rPr>
              <w:t>71,168,054</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w w:val="96"/>
              </w:rPr>
              <w:t>18,389,898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Preliminary Unaudited 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 except share amounts)</w:t>
      </w:r>
    </w:p>
    <w:p>
      <w:pPr>
        <w:spacing w:after="0" w:line="138"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84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58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0"/>
              <w:spacing w:after="0" w:line="114" w:lineRule="exact"/>
              <w:rPr>
                <w:sz w:val="20"/>
                <w:szCs w:val="20"/>
                <w:color w:val="auto"/>
              </w:rPr>
            </w:pPr>
            <w:r>
              <w:rPr>
                <w:rFonts w:ascii="Arial" w:cs="Arial" w:eastAsia="Arial" w:hAnsi="Arial"/>
                <w:sz w:val="10"/>
                <w:szCs w:val="10"/>
                <w:b w:val="1"/>
                <w:bCs w:val="1"/>
                <w:color w:val="auto"/>
              </w:rPr>
              <w:t>2021</w:t>
            </w:r>
          </w:p>
        </w:tc>
        <w:tc>
          <w:tcPr>
            <w:tcW w:w="2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0"/>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86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385,360</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104,052</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Restricted cash</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4,000</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 of allowance for doubtful accounts of $106 and $481, respectively</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12,968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11,573</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Unbilled receivables</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3,340</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1,698</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Funds receivable from payment partners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28,286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22,481</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9,834</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3,754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current assets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443,788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148,558</w:t>
            </w: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9,442</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5,101</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Intangible assets, net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93,396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68,211</w:t>
            </w: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Goodwill</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86,044</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44,650</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7,005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4,922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720"/>
              <w:spacing w:after="0"/>
              <w:rPr>
                <w:sz w:val="20"/>
                <w:szCs w:val="20"/>
                <w:color w:val="auto"/>
              </w:rPr>
            </w:pPr>
            <w:r>
              <w:rPr>
                <w:rFonts w:ascii="Arial" w:cs="Arial" w:eastAsia="Arial" w:hAnsi="Arial"/>
                <w:sz w:val="12"/>
                <w:szCs w:val="12"/>
                <w:color w:val="auto"/>
              </w:rPr>
              <w:t>Total assets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60" w:type="dxa"/>
            <w:vAlign w:val="bottom"/>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639,675</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271,442</w:t>
            </w:r>
          </w:p>
        </w:tc>
        <w:tc>
          <w:tcPr>
            <w:tcW w:w="0" w:type="dxa"/>
            <w:vAlign w:val="bottom"/>
          </w:tcPr>
          <w:p>
            <w:pPr>
              <w:spacing w:after="0"/>
              <w:rPr>
                <w:sz w:val="1"/>
                <w:szCs w:val="1"/>
                <w:color w:val="auto"/>
              </w:rPr>
            </w:pPr>
          </w:p>
        </w:tc>
      </w:tr>
      <w:tr>
        <w:trPr>
          <w:trHeight w:val="136"/>
        </w:trPr>
        <w:tc>
          <w:tcPr>
            <w:tcW w:w="58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Liabilities, Convertible Preferred Stock, Redeemable Convertible Preferred Stock and Stockholders’</w:t>
            </w: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86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Equity (Deficit)</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10,254</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5,436</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Funds payable to clients</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71,302</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59,986</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23,171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14,991</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5,488</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1,227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Contingent consideration</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7,719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6,740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720"/>
              <w:spacing w:after="0"/>
              <w:rPr>
                <w:sz w:val="20"/>
                <w:szCs w:val="20"/>
                <w:color w:val="auto"/>
              </w:rPr>
            </w:pPr>
            <w:r>
              <w:rPr>
                <w:rFonts w:ascii="Arial" w:cs="Arial" w:eastAsia="Arial" w:hAnsi="Arial"/>
                <w:sz w:val="12"/>
                <w:szCs w:val="12"/>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117,934</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88,380</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8,230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481</w:t>
            </w: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Contingent consideration, net of current portion</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3,590</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5,760</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Preferred stock warrant liability</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1,932</w:t>
            </w:r>
          </w:p>
        </w:tc>
        <w:tc>
          <w:tcPr>
            <w:tcW w:w="0" w:type="dxa"/>
            <w:vAlign w:val="bottom"/>
          </w:tcPr>
          <w:p>
            <w:pPr>
              <w:spacing w:after="0"/>
              <w:rPr>
                <w:sz w:val="1"/>
                <w:szCs w:val="1"/>
                <w:color w:val="auto"/>
              </w:rPr>
            </w:pPr>
          </w:p>
        </w:tc>
      </w:tr>
      <w:tr>
        <w:trPr>
          <w:trHeight w:val="144"/>
        </w:trPr>
        <w:tc>
          <w:tcPr>
            <w:tcW w:w="5860" w:type="dxa"/>
            <w:vAlign w:val="bottom"/>
          </w:tcPr>
          <w:p>
            <w:pPr>
              <w:spacing w:after="0"/>
              <w:rPr>
                <w:sz w:val="20"/>
                <w:szCs w:val="20"/>
                <w:color w:val="auto"/>
              </w:rPr>
            </w:pPr>
            <w:r>
              <w:rPr>
                <w:rFonts w:ascii="Arial" w:cs="Arial" w:eastAsia="Arial" w:hAnsi="Arial"/>
                <w:sz w:val="12"/>
                <w:szCs w:val="12"/>
                <w:color w:val="auto"/>
              </w:rPr>
              <w:t>Long-term debt</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25,939</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24,352</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1,655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2,129</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720"/>
              <w:spacing w:after="0"/>
              <w:rPr>
                <w:sz w:val="20"/>
                <w:szCs w:val="20"/>
                <w:color w:val="auto"/>
              </w:rPr>
            </w:pPr>
            <w:r>
              <w:rPr>
                <w:rFonts w:ascii="Arial" w:cs="Arial" w:eastAsia="Arial" w:hAnsi="Arial"/>
                <w:sz w:val="12"/>
                <w:szCs w:val="12"/>
                <w:color w:val="auto"/>
              </w:rPr>
              <w:t>Total liabilities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860" w:type="dxa"/>
            <w:vAlign w:val="bottom"/>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157,348</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123,034</w:t>
            </w:r>
          </w:p>
        </w:tc>
        <w:tc>
          <w:tcPr>
            <w:tcW w:w="0" w:type="dxa"/>
            <w:vAlign w:val="bottom"/>
          </w:tcPr>
          <w:p>
            <w:pPr>
              <w:spacing w:after="0"/>
              <w:rPr>
                <w:sz w:val="1"/>
                <w:szCs w:val="1"/>
                <w:color w:val="auto"/>
              </w:rPr>
            </w:pPr>
          </w:p>
        </w:tc>
      </w:tr>
      <w:tr>
        <w:trPr>
          <w:trHeight w:val="148"/>
        </w:trPr>
        <w:tc>
          <w:tcPr>
            <w:tcW w:w="586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14)</w:t>
            </w: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spacing w:after="0" w:line="135" w:lineRule="exact"/>
              <w:rPr>
                <w:sz w:val="20"/>
                <w:szCs w:val="20"/>
                <w:color w:val="auto"/>
              </w:rPr>
            </w:pPr>
            <w:r>
              <w:rPr>
                <w:rFonts w:ascii="Arial" w:cs="Arial" w:eastAsia="Arial" w:hAnsi="Arial"/>
                <w:sz w:val="12"/>
                <w:szCs w:val="12"/>
                <w:color w:val="auto"/>
              </w:rPr>
              <w:t>Convertible preferred stock (Series A, B, B1, B1-NV, C and D), $0.0001 par value; 0 and 62,915,394 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120"/>
              <w:spacing w:after="0"/>
              <w:rPr>
                <w:sz w:val="20"/>
                <w:szCs w:val="20"/>
                <w:color w:val="auto"/>
              </w:rPr>
            </w:pPr>
            <w:r>
              <w:rPr>
                <w:rFonts w:ascii="Arial" w:cs="Arial" w:eastAsia="Arial" w:hAnsi="Arial"/>
                <w:sz w:val="12"/>
                <w:szCs w:val="12"/>
                <w:color w:val="auto"/>
                <w:w w:val="98"/>
              </w:rPr>
              <w:t>authorized at December 31, 2021 and 2020, respectively; 0 and 54,208,461 shares issued and outstanding at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120"/>
              <w:spacing w:after="0"/>
              <w:rPr>
                <w:sz w:val="20"/>
                <w:szCs w:val="20"/>
                <w:color w:val="auto"/>
              </w:rPr>
            </w:pPr>
            <w:r>
              <w:rPr>
                <w:rFonts w:ascii="Arial" w:cs="Arial" w:eastAsia="Arial" w:hAnsi="Arial"/>
                <w:sz w:val="12"/>
                <w:szCs w:val="12"/>
                <w:color w:val="auto"/>
                <w:w w:val="94"/>
              </w:rPr>
              <w:t>December 31, 2021 and 2020, respectively; liquidation preference of $0 and $110,716 at December 31, 2021 and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120"/>
              <w:spacing w:after="0"/>
              <w:rPr>
                <w:sz w:val="20"/>
                <w:szCs w:val="20"/>
                <w:color w:val="auto"/>
              </w:rPr>
            </w:pPr>
            <w:r>
              <w:rPr>
                <w:rFonts w:ascii="Arial" w:cs="Arial" w:eastAsia="Arial" w:hAnsi="Arial"/>
                <w:sz w:val="12"/>
                <w:szCs w:val="12"/>
                <w:color w:val="auto"/>
              </w:rPr>
              <w:t>2020, respectively</w:t>
            </w:r>
          </w:p>
        </w:tc>
        <w:tc>
          <w:tcPr>
            <w:tcW w:w="100" w:type="dxa"/>
            <w:vAlign w:val="bottom"/>
          </w:tcPr>
          <w:p>
            <w:pPr>
              <w:spacing w:after="0"/>
              <w:rPr>
                <w:sz w:val="13"/>
                <w:szCs w:val="1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110,401</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4"/>
              </w:rPr>
              <w:t>Redeemable convertible preferred stock (Series E-1, E-2, F-1 and F-2), $0.0001 par value; 0 and 16,023,132 shares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8"/>
              </w:rPr>
              <w:t>authorized at December 31, 2021 and 2020, respectively; 0 and 11,239,920 shares issued and outstanding at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December 31, 2021 and 2020, respectively; liquidation preference of $0 and $150,000, respectively at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December 31, 2021 and 2020</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119,769</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2"/>
                <w:szCs w:val="12"/>
                <w:color w:val="auto"/>
              </w:rPr>
              <w:t>Stockholders’ equity (deficit)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6"/>
              </w:rPr>
              <w:t>Preferred stock, $0.0001 par value; 10,000,000 and 0 shares authorized as of December 31, 2021 and 2020,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respectively; and none issued and outstanding as of December 31, 2021 and 2020, respectively</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860" w:type="dxa"/>
            <w:vAlign w:val="bottom"/>
          </w:tcPr>
          <w:p>
            <w:pPr>
              <w:ind w:left="240"/>
              <w:spacing w:after="0" w:line="135" w:lineRule="exact"/>
              <w:rPr>
                <w:sz w:val="20"/>
                <w:szCs w:val="20"/>
                <w:color w:val="auto"/>
              </w:rPr>
            </w:pPr>
            <w:r>
              <w:rPr>
                <w:rFonts w:ascii="Arial" w:cs="Arial" w:eastAsia="Arial" w:hAnsi="Arial"/>
                <w:sz w:val="12"/>
                <w:szCs w:val="12"/>
                <w:color w:val="auto"/>
                <w:w w:val="93"/>
              </w:rPr>
              <w:t>Voting common stock, $0.0001 par value; 2,000,000,000 and 146,898,270 shares authorized as of December 31,</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60" w:type="dxa"/>
            <w:vAlign w:val="bottom"/>
          </w:tcPr>
          <w:p>
            <w:pPr>
              <w:ind w:left="360"/>
              <w:spacing w:after="0"/>
              <w:rPr>
                <w:sz w:val="20"/>
                <w:szCs w:val="20"/>
                <w:color w:val="auto"/>
              </w:rPr>
            </w:pPr>
            <w:r>
              <w:rPr>
                <w:rFonts w:ascii="Arial" w:cs="Arial" w:eastAsia="Arial" w:hAnsi="Arial"/>
                <w:sz w:val="12"/>
                <w:szCs w:val="12"/>
                <w:color w:val="auto"/>
                <w:w w:val="92"/>
              </w:rPr>
              <w:t>2021 and December 31, 2020, respectively, 102,780,101 shares issued and 100,462,379 shares outstanding as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tcPr>
          <w:p>
            <w:pPr>
              <w:ind w:left="360"/>
              <w:spacing w:after="0"/>
              <w:rPr>
                <w:sz w:val="20"/>
                <w:szCs w:val="20"/>
                <w:color w:val="auto"/>
              </w:rPr>
            </w:pPr>
            <w:r>
              <w:rPr>
                <w:rFonts w:ascii="Arial" w:cs="Arial" w:eastAsia="Arial" w:hAnsi="Arial"/>
                <w:sz w:val="12"/>
                <w:szCs w:val="12"/>
                <w:color w:val="auto"/>
                <w:w w:val="92"/>
              </w:rPr>
              <w:t>of December 31, 2021; 22,240,872 shares issued and 19,923,150 shares outstanding as of December 31, 2020</w:t>
            </w:r>
          </w:p>
        </w:tc>
        <w:tc>
          <w:tcPr>
            <w:tcW w:w="10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3"/>
              </w:rPr>
              <w:t>Non-voting common stock, $0.0001 par value; 10,000,000 and 0 shares authorized as of December 31, 2021 and</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4"/>
              </w:rPr>
              <w:t>2020, respectively; 5,988,378 and 0 issued and outstanding as of December 31, 2021 and 2020, respectively</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860" w:type="dxa"/>
            <w:vAlign w:val="bottom"/>
          </w:tcPr>
          <w:p>
            <w:pPr>
              <w:ind w:left="240"/>
              <w:spacing w:after="0"/>
              <w:rPr>
                <w:sz w:val="20"/>
                <w:szCs w:val="20"/>
                <w:color w:val="auto"/>
              </w:rPr>
            </w:pPr>
            <w:r>
              <w:rPr>
                <w:rFonts w:ascii="Arial" w:cs="Arial" w:eastAsia="Arial" w:hAnsi="Arial"/>
                <w:sz w:val="12"/>
                <w:szCs w:val="12"/>
                <w:color w:val="auto"/>
              </w:rPr>
              <w:t>Treasury Stock, 2,317,722 shares as of December 31, 2021 and 2020, held at cost</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(748)</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(748)</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Additional paid-in capital</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609,194</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16,970</w:t>
            </w:r>
          </w:p>
        </w:tc>
        <w:tc>
          <w:tcPr>
            <w:tcW w:w="0" w:type="dxa"/>
            <w:vAlign w:val="bottom"/>
          </w:tcPr>
          <w:p>
            <w:pPr>
              <w:spacing w:after="0"/>
              <w:rPr>
                <w:sz w:val="1"/>
                <w:szCs w:val="1"/>
                <w:color w:val="auto"/>
              </w:rPr>
            </w:pPr>
          </w:p>
        </w:tc>
      </w:tr>
      <w:tr>
        <w:trPr>
          <w:trHeight w:val="144"/>
        </w:trPr>
        <w:tc>
          <w:tcPr>
            <w:tcW w:w="5860" w:type="dxa"/>
            <w:vAlign w:val="bottom"/>
          </w:tcPr>
          <w:p>
            <w:pPr>
              <w:ind w:left="480"/>
              <w:spacing w:after="0"/>
              <w:rPr>
                <w:sz w:val="20"/>
                <w:szCs w:val="20"/>
                <w:color w:val="auto"/>
              </w:rPr>
            </w:pPr>
            <w:r>
              <w:rPr>
                <w:rFonts w:ascii="Arial" w:cs="Arial" w:eastAsia="Arial" w:hAnsi="Arial"/>
                <w:sz w:val="12"/>
                <w:szCs w:val="12"/>
                <w:color w:val="auto"/>
              </w:rPr>
              <w:t>Accumulated other comprehensive income (loss)</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2"/>
                <w:szCs w:val="12"/>
                <w:color w:val="auto"/>
              </w:rPr>
              <w:t>(399)</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(214)</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Accumulated (deficit)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3"/>
              </w:rPr>
              <w:t>(125,731)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(97,772)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720"/>
              <w:spacing w:after="0"/>
              <w:rPr>
                <w:sz w:val="20"/>
                <w:szCs w:val="20"/>
                <w:color w:val="auto"/>
              </w:rPr>
            </w:pPr>
            <w:r>
              <w:rPr>
                <w:rFonts w:ascii="Arial" w:cs="Arial" w:eastAsia="Arial" w:hAnsi="Arial"/>
                <w:sz w:val="12"/>
                <w:szCs w:val="12"/>
                <w:color w:val="auto"/>
              </w:rPr>
              <w:t>Total stockholders’ equity (deficit)</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860" w:type="dxa"/>
            <w:vAlign w:val="bottom"/>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482,327</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(81,762)</w:t>
            </w:r>
          </w:p>
        </w:tc>
        <w:tc>
          <w:tcPr>
            <w:tcW w:w="0" w:type="dxa"/>
            <w:vAlign w:val="bottom"/>
          </w:tcPr>
          <w:p>
            <w:pPr>
              <w:spacing w:after="0"/>
              <w:rPr>
                <w:sz w:val="1"/>
                <w:szCs w:val="1"/>
                <w:color w:val="auto"/>
              </w:rPr>
            </w:pPr>
          </w:p>
        </w:tc>
      </w:tr>
      <w:tr>
        <w:trPr>
          <w:trHeight w:val="140"/>
        </w:trPr>
        <w:tc>
          <w:tcPr>
            <w:tcW w:w="5860" w:type="dxa"/>
            <w:vAlign w:val="bottom"/>
            <w:shd w:val="clear" w:color="auto" w:fill="CCEEFF"/>
          </w:tcPr>
          <w:p>
            <w:pPr>
              <w:ind w:left="720"/>
              <w:spacing w:after="0"/>
              <w:rPr>
                <w:sz w:val="20"/>
                <w:szCs w:val="20"/>
                <w:color w:val="auto"/>
              </w:rPr>
            </w:pPr>
            <w:r>
              <w:rPr>
                <w:rFonts w:ascii="Arial" w:cs="Arial" w:eastAsia="Arial" w:hAnsi="Arial"/>
                <w:sz w:val="12"/>
                <w:szCs w:val="12"/>
                <w:color w:val="auto"/>
                <w:w w:val="95"/>
              </w:rPr>
              <w:t>Total liabilities, convertible preferred stock, redeemable convertible preferred stock and stockholders’</w:t>
            </w: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860" w:type="dxa"/>
            <w:vAlign w:val="bottom"/>
            <w:shd w:val="clear" w:color="auto" w:fill="CCEEFF"/>
          </w:tcPr>
          <w:p>
            <w:pPr>
              <w:ind w:left="840"/>
              <w:spacing w:after="0"/>
              <w:rPr>
                <w:sz w:val="20"/>
                <w:szCs w:val="20"/>
                <w:color w:val="auto"/>
              </w:rPr>
            </w:pPr>
            <w:r>
              <w:rPr>
                <w:rFonts w:ascii="Arial" w:cs="Arial" w:eastAsia="Arial" w:hAnsi="Arial"/>
                <w:sz w:val="12"/>
                <w:szCs w:val="12"/>
                <w:color w:val="auto"/>
              </w:rPr>
              <w:t>equity (deficit)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639,675</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271,442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Preliminary Unaudited Condensed Consolidated Statement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Thousands)</w:t>
      </w:r>
    </w:p>
    <w:p>
      <w:pPr>
        <w:spacing w:after="0" w:line="15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0"/>
                <w:szCs w:val="10"/>
                <w:b w:val="1"/>
                <w:bCs w:val="1"/>
                <w:color w:val="auto"/>
                <w:w w:val="89"/>
              </w:rPr>
              <w:t>Year Ended December 31,</w:t>
            </w:r>
          </w:p>
        </w:tc>
        <w:tc>
          <w:tcPr>
            <w:tcW w:w="0" w:type="dxa"/>
            <w:vAlign w:val="bottom"/>
          </w:tcPr>
          <w:p>
            <w:pPr>
              <w:spacing w:after="0"/>
              <w:rPr>
                <w:sz w:val="1"/>
                <w:szCs w:val="1"/>
                <w:color w:val="auto"/>
              </w:rPr>
            </w:pPr>
          </w:p>
        </w:tc>
      </w:tr>
      <w:tr>
        <w:trPr>
          <w:trHeight w:val="88"/>
        </w:trPr>
        <w:tc>
          <w:tcPr>
            <w:tcW w:w="6100" w:type="dxa"/>
            <w:vAlign w:val="bottom"/>
            <w:tcBorders>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81"/>
              <w:spacing w:after="0" w:line="88" w:lineRule="exact"/>
              <w:rPr>
                <w:sz w:val="20"/>
                <w:szCs w:val="20"/>
                <w:color w:val="auto"/>
              </w:rPr>
            </w:pPr>
            <w:r>
              <w:rPr>
                <w:rFonts w:ascii="Arial" w:cs="Arial" w:eastAsia="Arial" w:hAnsi="Arial"/>
                <w:sz w:val="10"/>
                <w:szCs w:val="10"/>
                <w:b w:val="1"/>
                <w:bCs w:val="1"/>
                <w:color w:val="auto"/>
              </w:rPr>
              <w:t>2021</w:t>
            </w:r>
          </w:p>
        </w:tc>
        <w:tc>
          <w:tcPr>
            <w:tcW w:w="22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80"/>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10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operating activities:</w:t>
            </w: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Net loss</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w w:val="87"/>
              </w:rPr>
              <w:t>$ (27,959)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(11,107)</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8,998</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6,794</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Stock-based compensation expense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18,928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3,844</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Amortization of deferred contract costs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245</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414</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preferred stock warrant liability</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10,758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Change in fair value of contingent consideration</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2,263</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5,400</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tax provision</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(8,535)</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Bad debt expense</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165</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237</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interest expense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252</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227</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Other</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228</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operating assets and liabilities, net of acquisition:</w:t>
            </w: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ind w:left="480"/>
              <w:spacing w:after="0"/>
              <w:rPr>
                <w:sz w:val="20"/>
                <w:szCs w:val="20"/>
                <w:color w:val="auto"/>
              </w:rPr>
            </w:pPr>
            <w:r>
              <w:rPr>
                <w:rFonts w:ascii="Arial" w:cs="Arial" w:eastAsia="Arial" w:hAnsi="Arial"/>
                <w:sz w:val="12"/>
                <w:szCs w:val="12"/>
                <w:color w:val="auto"/>
              </w:rPr>
              <w:t>Accounts receivable</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(587)</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(1,555)</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Unbilled receivables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(1,642)</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(401)</w:t>
            </w:r>
          </w:p>
        </w:tc>
        <w:tc>
          <w:tcPr>
            <w:tcW w:w="0" w:type="dxa"/>
            <w:vAlign w:val="bottom"/>
          </w:tcPr>
          <w:p>
            <w:pPr>
              <w:spacing w:after="0"/>
              <w:rPr>
                <w:sz w:val="1"/>
                <w:szCs w:val="1"/>
                <w:color w:val="auto"/>
              </w:rPr>
            </w:pPr>
          </w:p>
        </w:tc>
      </w:tr>
      <w:tr>
        <w:trPr>
          <w:trHeight w:val="144"/>
        </w:trPr>
        <w:tc>
          <w:tcPr>
            <w:tcW w:w="6100" w:type="dxa"/>
            <w:vAlign w:val="bottom"/>
          </w:tcPr>
          <w:p>
            <w:pPr>
              <w:ind w:left="480"/>
              <w:spacing w:after="0"/>
              <w:rPr>
                <w:sz w:val="20"/>
                <w:szCs w:val="20"/>
                <w:color w:val="auto"/>
              </w:rPr>
            </w:pPr>
            <w:r>
              <w:rPr>
                <w:rFonts w:ascii="Arial" w:cs="Arial" w:eastAsia="Arial" w:hAnsi="Arial"/>
                <w:sz w:val="12"/>
                <w:szCs w:val="12"/>
                <w:color w:val="auto"/>
              </w:rPr>
              <w:t>Funds receivable from payment partners</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(5,805)</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(6,033)</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(7,718)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(3,840)</w:t>
            </w:r>
          </w:p>
        </w:tc>
        <w:tc>
          <w:tcPr>
            <w:tcW w:w="0" w:type="dxa"/>
            <w:vAlign w:val="bottom"/>
          </w:tcPr>
          <w:p>
            <w:pPr>
              <w:spacing w:after="0"/>
              <w:rPr>
                <w:sz w:val="1"/>
                <w:szCs w:val="1"/>
                <w:color w:val="auto"/>
              </w:rPr>
            </w:pPr>
          </w:p>
        </w:tc>
      </w:tr>
      <w:tr>
        <w:trPr>
          <w:trHeight w:val="144"/>
        </w:trPr>
        <w:tc>
          <w:tcPr>
            <w:tcW w:w="6100" w:type="dxa"/>
            <w:vAlign w:val="bottom"/>
          </w:tcPr>
          <w:p>
            <w:pPr>
              <w:ind w:left="480"/>
              <w:spacing w:after="0"/>
              <w:rPr>
                <w:sz w:val="20"/>
                <w:szCs w:val="20"/>
                <w:color w:val="auto"/>
              </w:rPr>
            </w:pPr>
            <w:r>
              <w:rPr>
                <w:rFonts w:ascii="Arial" w:cs="Arial" w:eastAsia="Arial" w:hAnsi="Arial"/>
                <w:sz w:val="12"/>
                <w:szCs w:val="12"/>
                <w:color w:val="auto"/>
              </w:rPr>
              <w:t>Funds payable to clients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11,316</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(5,279)</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Accounts payable, accrued expenses and other current liabilities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11,686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5,669</w:t>
            </w:r>
          </w:p>
        </w:tc>
        <w:tc>
          <w:tcPr>
            <w:tcW w:w="0" w:type="dxa"/>
            <w:vAlign w:val="bottom"/>
          </w:tcPr>
          <w:p>
            <w:pPr>
              <w:spacing w:after="0"/>
              <w:rPr>
                <w:sz w:val="1"/>
                <w:szCs w:val="1"/>
                <w:color w:val="auto"/>
              </w:rPr>
            </w:pPr>
          </w:p>
        </w:tc>
      </w:tr>
      <w:tr>
        <w:trPr>
          <w:trHeight w:val="144"/>
        </w:trPr>
        <w:tc>
          <w:tcPr>
            <w:tcW w:w="6100" w:type="dxa"/>
            <w:vAlign w:val="bottom"/>
          </w:tcPr>
          <w:p>
            <w:pPr>
              <w:ind w:left="480"/>
              <w:spacing w:after="0"/>
              <w:rPr>
                <w:sz w:val="20"/>
                <w:szCs w:val="20"/>
                <w:color w:val="auto"/>
              </w:rPr>
            </w:pPr>
            <w:r>
              <w:rPr>
                <w:rFonts w:ascii="Arial" w:cs="Arial" w:eastAsia="Arial" w:hAnsi="Arial"/>
                <w:sz w:val="12"/>
                <w:szCs w:val="12"/>
                <w:color w:val="auto"/>
              </w:rPr>
              <w:t>Contingent consideration</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(3,212)</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(693)</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Other liabilities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(579)</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44"/>
        </w:trPr>
        <w:tc>
          <w:tcPr>
            <w:tcW w:w="6100" w:type="dxa"/>
            <w:vAlign w:val="bottom"/>
          </w:tcPr>
          <w:p>
            <w:pPr>
              <w:ind w:left="480"/>
              <w:spacing w:after="0"/>
              <w:rPr>
                <w:sz w:val="20"/>
                <w:szCs w:val="20"/>
                <w:color w:val="auto"/>
              </w:rPr>
            </w:pPr>
            <w:r>
              <w:rPr>
                <w:rFonts w:ascii="Arial" w:cs="Arial" w:eastAsia="Arial" w:hAnsi="Arial"/>
                <w:sz w:val="12"/>
                <w:szCs w:val="12"/>
                <w:color w:val="auto"/>
              </w:rPr>
              <w:t>Deferred revenue</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(159)</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(73)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ind w:left="720"/>
              <w:spacing w:after="0"/>
              <w:rPr>
                <w:sz w:val="20"/>
                <w:szCs w:val="20"/>
                <w:color w:val="auto"/>
              </w:rPr>
            </w:pPr>
            <w:r>
              <w:rPr>
                <w:rFonts w:ascii="Arial" w:cs="Arial" w:eastAsia="Arial" w:hAnsi="Arial"/>
                <w:sz w:val="12"/>
                <w:szCs w:val="12"/>
                <w:color w:val="auto"/>
              </w:rPr>
              <w:t>Net cash provided by (used in) operating activities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17,131</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(14,223)</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Purchases of property and equipment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(6,684)</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(2,141)</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Acquisition of businesses, net of cash acquired</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(56,111)</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(79,401)</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Asset acquisition, net of cash acquired</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(119)</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720"/>
              <w:spacing w:after="0"/>
              <w:rPr>
                <w:sz w:val="20"/>
                <w:szCs w:val="20"/>
                <w:color w:val="auto"/>
              </w:rPr>
            </w:pPr>
            <w:r>
              <w:rPr>
                <w:rFonts w:ascii="Arial" w:cs="Arial" w:eastAsia="Arial" w:hAnsi="Arial"/>
                <w:sz w:val="12"/>
                <w:szCs w:val="12"/>
                <w:color w:val="auto"/>
              </w:rPr>
              <w:t>Net cash used in investing activities</w:t>
            </w: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(62,914)</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(81,542)</w:t>
            </w:r>
          </w:p>
        </w:tc>
        <w:tc>
          <w:tcPr>
            <w:tcW w:w="0" w:type="dxa"/>
            <w:vAlign w:val="bottom"/>
          </w:tcPr>
          <w:p>
            <w:pPr>
              <w:spacing w:after="0"/>
              <w:rPr>
                <w:sz w:val="1"/>
                <w:szCs w:val="1"/>
                <w:color w:val="auto"/>
              </w:rPr>
            </w:pPr>
          </w:p>
        </w:tc>
      </w:tr>
      <w:tr>
        <w:trPr>
          <w:trHeight w:val="142"/>
        </w:trPr>
        <w:tc>
          <w:tcPr>
            <w:tcW w:w="6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Proceeds from initial public offering, net of underwriting discounts and commissions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268,694</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Payment of costs related to initial public offering</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(4,860)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Proceeds from issuance of long-term debt</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25,939</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4,167</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Payment of long-term debt issuance costs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Payment of long-term debt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(25,000)</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(4,167)</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redeemable convertible preferred stock, net of issuance costs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59,735</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119,755</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Proceeds from exercise of warrants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294</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Contingent consideration paid for acquisitions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(3,800)</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(1,307)</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Proceeds from exercise of stock options</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6,928</w:t>
            </w:r>
          </w:p>
        </w:tc>
        <w:tc>
          <w:tcPr>
            <w:tcW w:w="8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773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ind w:left="720"/>
              <w:spacing w:after="0"/>
              <w:rPr>
                <w:sz w:val="20"/>
                <w:szCs w:val="20"/>
                <w:color w:val="auto"/>
              </w:rPr>
            </w:pPr>
            <w:r>
              <w:rPr>
                <w:rFonts w:ascii="Arial" w:cs="Arial" w:eastAsia="Arial" w:hAnsi="Arial"/>
                <w:sz w:val="12"/>
                <w:szCs w:val="12"/>
                <w:color w:val="auto"/>
              </w:rPr>
              <w:t>Net cash provided by financing activities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327,512</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119,049</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2"/>
                <w:szCs w:val="12"/>
                <w:color w:val="auto"/>
              </w:rPr>
              <w:t>Effect of exchange rates changes on cash and cash equivalents</w:t>
            </w: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(1,421)</w:t>
            </w: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increase in cash, cash equivalents and restricted cash</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280,308</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23,025</w:t>
            </w: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b w:val="1"/>
                <w:bCs w:val="1"/>
                <w:color w:val="auto"/>
              </w:rPr>
              <w:t>Cash, cash equivalents and restricted cash, beginning of period</w:t>
            </w: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$ 109,052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86,027</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cash equivalents and restricted cash, end of period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$ 389,360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109,052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Preliminary Reconciliation of Non-GAAP Financial Measures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(Historical &amp; Guidance)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millions)</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220" w:type="dxa"/>
            <w:vAlign w:val="bottom"/>
            <w:gridSpan w:val="6"/>
          </w:tcPr>
          <w:p>
            <w:pPr>
              <w:jc w:val="center"/>
              <w:ind w:right="280"/>
              <w:spacing w:after="0"/>
              <w:rPr>
                <w:sz w:val="20"/>
                <w:szCs w:val="20"/>
                <w:color w:val="auto"/>
              </w:rPr>
            </w:pPr>
            <w:r>
              <w:rPr>
                <w:rFonts w:ascii="Arial" w:cs="Arial" w:eastAsia="Arial" w:hAnsi="Arial"/>
                <w:sz w:val="10"/>
                <w:szCs w:val="10"/>
                <w:b w:val="1"/>
                <w:bCs w:val="1"/>
                <w:color w:val="auto"/>
                <w:w w:val="86"/>
              </w:rPr>
              <w:t>Three Months Ended</w:t>
            </w:r>
          </w:p>
        </w:tc>
        <w:tc>
          <w:tcPr>
            <w:tcW w:w="60" w:type="dxa"/>
            <w:vAlign w:val="bottom"/>
          </w:tcPr>
          <w:p>
            <w:pPr>
              <w:spacing w:after="0"/>
              <w:rPr>
                <w:sz w:val="10"/>
                <w:szCs w:val="10"/>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113"/>
        </w:trPr>
        <w:tc>
          <w:tcPr>
            <w:tcW w:w="5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5"/>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60" w:type="dxa"/>
            <w:vAlign w:val="bottom"/>
          </w:tcPr>
          <w:p>
            <w:pPr>
              <w:spacing w:after="0"/>
              <w:rPr>
                <w:sz w:val="9"/>
                <w:szCs w:val="9"/>
                <w:color w:val="auto"/>
              </w:rPr>
            </w:pPr>
          </w:p>
        </w:tc>
        <w:tc>
          <w:tcPr>
            <w:tcW w:w="1020" w:type="dxa"/>
            <w:vAlign w:val="bottom"/>
            <w:gridSpan w:val="5"/>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0" w:type="dxa"/>
            <w:vAlign w:val="bottom"/>
          </w:tcPr>
          <w:p>
            <w:pPr>
              <w:spacing w:after="0"/>
              <w:rPr>
                <w:sz w:val="1"/>
                <w:szCs w:val="1"/>
                <w:color w:val="auto"/>
              </w:rPr>
            </w:pPr>
          </w:p>
        </w:tc>
      </w:tr>
      <w:tr>
        <w:trPr>
          <w:trHeight w:val="88"/>
        </w:trPr>
        <w:tc>
          <w:tcPr>
            <w:tcW w:w="504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w w:val="80"/>
              </w:rPr>
              <w:t>2021</w:t>
            </w:r>
          </w:p>
        </w:tc>
        <w:tc>
          <w:tcPr>
            <w:tcW w:w="2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1"/>
              <w:spacing w:after="0" w:line="88" w:lineRule="exact"/>
              <w:rPr>
                <w:sz w:val="20"/>
                <w:szCs w:val="20"/>
                <w:color w:val="auto"/>
              </w:rPr>
            </w:pPr>
            <w:r>
              <w:rPr>
                <w:rFonts w:ascii="Arial" w:cs="Arial" w:eastAsia="Arial" w:hAnsi="Arial"/>
                <w:sz w:val="10"/>
                <w:szCs w:val="10"/>
                <w:b w:val="1"/>
                <w:bCs w:val="1"/>
                <w:color w:val="auto"/>
                <w:w w:val="80"/>
              </w:rPr>
              <w:t>2020</w:t>
            </w:r>
          </w:p>
        </w:tc>
        <w:tc>
          <w:tcPr>
            <w:tcW w:w="2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w w:val="80"/>
              </w:rPr>
              <w:t>2021</w:t>
            </w:r>
          </w:p>
        </w:tc>
        <w:tc>
          <w:tcPr>
            <w:tcW w:w="26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1"/>
              <w:spacing w:after="0" w:line="88" w:lineRule="exact"/>
              <w:rPr>
                <w:sz w:val="20"/>
                <w:szCs w:val="20"/>
                <w:color w:val="auto"/>
              </w:rPr>
            </w:pPr>
            <w:r>
              <w:rPr>
                <w:rFonts w:ascii="Arial" w:cs="Arial" w:eastAsia="Arial" w:hAnsi="Arial"/>
                <w:sz w:val="10"/>
                <w:szCs w:val="10"/>
                <w:b w:val="1"/>
                <w:bCs w:val="1"/>
                <w:color w:val="auto"/>
                <w:w w:val="89"/>
              </w:rPr>
              <w:t>2020</w:t>
            </w: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51.4</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33.2</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201.1</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131.8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and mailing</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5"/>
              </w:rPr>
              <w:t>(18.2)</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5"/>
              </w:rPr>
              <w:t>(15.8)</w:t>
            </w:r>
          </w:p>
        </w:tc>
        <w:tc>
          <w:tcPr>
            <w:tcW w:w="0" w:type="dxa"/>
            <w:vAlign w:val="bottom"/>
          </w:tcPr>
          <w:p>
            <w:pPr>
              <w:spacing w:after="0"/>
              <w:rPr>
                <w:sz w:val="1"/>
                <w:szCs w:val="1"/>
                <w:color w:val="auto"/>
              </w:rPr>
            </w:pPr>
          </w:p>
        </w:tc>
      </w:tr>
      <w:tr>
        <w:trPr>
          <w:trHeight w:val="144"/>
        </w:trPr>
        <w:tc>
          <w:tcPr>
            <w:tcW w:w="504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6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(0.6)</w:t>
            </w:r>
          </w:p>
        </w:tc>
        <w:tc>
          <w:tcPr>
            <w:tcW w:w="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(0.1)</w:t>
            </w:r>
          </w:p>
        </w:tc>
        <w:tc>
          <w:tcPr>
            <w:tcW w:w="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(1.8)</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45.9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6"/>
              </w:rPr>
              <w:t>181.1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6"/>
              </w:rPr>
              <w:t>114.6</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2"/>
                <w:szCs w:val="12"/>
                <w:color w:val="auto"/>
              </w:rPr>
              <w:t>Payment processing services Costs</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04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19.2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11.6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70.2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Hosting and amortization costs within technology and development expenses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Adjusted to:</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Exclude printing and mailing costs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5"/>
              </w:rPr>
              <w:t>(18.2)</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5"/>
              </w:rPr>
              <w:t>(15.8)</w:t>
            </w:r>
          </w:p>
        </w:tc>
        <w:tc>
          <w:tcPr>
            <w:tcW w:w="0" w:type="dxa"/>
            <w:vAlign w:val="bottom"/>
          </w:tcPr>
          <w:p>
            <w:pPr>
              <w:spacing w:after="0"/>
              <w:rPr>
                <w:sz w:val="1"/>
                <w:szCs w:val="1"/>
                <w:color w:val="auto"/>
              </w:rPr>
            </w:pPr>
          </w:p>
        </w:tc>
      </w:tr>
      <w:tr>
        <w:trPr>
          <w:trHeight w:val="144"/>
        </w:trPr>
        <w:tc>
          <w:tcPr>
            <w:tcW w:w="5040" w:type="dxa"/>
            <w:vAlign w:val="bottom"/>
          </w:tcPr>
          <w:p>
            <w:pPr>
              <w:ind w:left="240"/>
              <w:spacing w:after="0"/>
              <w:rPr>
                <w:sz w:val="20"/>
                <w:szCs w:val="20"/>
                <w:color w:val="auto"/>
              </w:rPr>
            </w:pPr>
            <w:r>
              <w:rPr>
                <w:rFonts w:ascii="Arial" w:cs="Arial" w:eastAsia="Arial" w:hAnsi="Arial"/>
                <w:sz w:val="12"/>
                <w:szCs w:val="12"/>
                <w:color w:val="auto"/>
              </w:rPr>
              <w:t>Offset marketing fees against related costs</w:t>
            </w:r>
          </w:p>
        </w:tc>
        <w:tc>
          <w:tcPr>
            <w:tcW w:w="6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(0.6)</w:t>
            </w:r>
          </w:p>
        </w:tc>
        <w:tc>
          <w:tcPr>
            <w:tcW w:w="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(0.1)</w:t>
            </w:r>
          </w:p>
        </w:tc>
        <w:tc>
          <w:tcPr>
            <w:tcW w:w="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2"/>
                <w:szCs w:val="12"/>
                <w:color w:val="auto"/>
              </w:rPr>
              <w:t>(1.8)</w:t>
            </w: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Costs of revenue less ancillary services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15.2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9.3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55.9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35.1</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2"/>
                <w:szCs w:val="12"/>
                <w:color w:val="auto"/>
              </w:rPr>
              <w:t>Gross Profit</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04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30.7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20.2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w w:val="86"/>
              </w:rPr>
              <w:t>125.3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79.5</w:t>
            </w: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59.7%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60.7%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62.3%</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60.3%</w:t>
            </w:r>
          </w:p>
        </w:tc>
        <w:tc>
          <w:tcPr>
            <w:tcW w:w="0" w:type="dxa"/>
            <w:vAlign w:val="bottom"/>
          </w:tcPr>
          <w:p>
            <w:pPr>
              <w:spacing w:after="0"/>
              <w:rPr>
                <w:sz w:val="1"/>
                <w:szCs w:val="1"/>
                <w:color w:val="auto"/>
              </w:rPr>
            </w:pPr>
          </w:p>
        </w:tc>
      </w:tr>
      <w:tr>
        <w:trPr>
          <w:trHeight w:val="27"/>
        </w:trPr>
        <w:tc>
          <w:tcPr>
            <w:tcW w:w="5040" w:type="dxa"/>
            <w:vAlign w:val="bottom"/>
            <w:vMerge w:val="restart"/>
          </w:tcPr>
          <w:p>
            <w:pPr>
              <w:spacing w:after="0"/>
              <w:rPr>
                <w:sz w:val="20"/>
                <w:szCs w:val="20"/>
                <w:color w:val="auto"/>
              </w:rPr>
            </w:pPr>
            <w:r>
              <w:rPr>
                <w:rFonts w:ascii="Arial" w:cs="Arial" w:eastAsia="Arial" w:hAnsi="Arial"/>
                <w:sz w:val="12"/>
                <w:szCs w:val="12"/>
                <w:color w:val="auto"/>
              </w:rPr>
              <w:t>Adjusted Gross Profit</w:t>
            </w: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504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30.7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20.2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w w:val="86"/>
              </w:rPr>
              <w:t>125.3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79.5</w:t>
            </w: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Adjusted Gross Margin</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66.9%</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68.5%</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69.1%</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tcPr>
          <w:p>
            <w:pPr>
              <w:spacing w:after="0"/>
              <w:rPr>
                <w:sz w:val="20"/>
                <w:szCs w:val="20"/>
                <w:color w:val="auto"/>
              </w:rPr>
            </w:pPr>
          </w:p>
        </w:tc>
        <w:tc>
          <w:tcPr>
            <w:tcW w:w="1220" w:type="dxa"/>
            <w:vAlign w:val="bottom"/>
            <w:gridSpan w:val="6"/>
          </w:tcPr>
          <w:p>
            <w:pPr>
              <w:jc w:val="center"/>
              <w:ind w:right="280"/>
              <w:spacing w:after="0"/>
              <w:rPr>
                <w:sz w:val="20"/>
                <w:szCs w:val="20"/>
                <w:color w:val="auto"/>
              </w:rPr>
            </w:pPr>
            <w:r>
              <w:rPr>
                <w:rFonts w:ascii="Arial" w:cs="Arial" w:eastAsia="Arial" w:hAnsi="Arial"/>
                <w:sz w:val="10"/>
                <w:szCs w:val="10"/>
                <w:b w:val="1"/>
                <w:bCs w:val="1"/>
                <w:color w:val="auto"/>
                <w:w w:val="86"/>
              </w:rPr>
              <w:t>Three Months Ended</w:t>
            </w:r>
          </w:p>
        </w:tc>
        <w:tc>
          <w:tcPr>
            <w:tcW w:w="60" w:type="dxa"/>
            <w:vAlign w:val="bottom"/>
          </w:tcPr>
          <w:p>
            <w:pPr>
              <w:spacing w:after="0"/>
              <w:rPr>
                <w:sz w:val="20"/>
                <w:szCs w:val="20"/>
                <w:color w:val="auto"/>
              </w:rPr>
            </w:pPr>
          </w:p>
        </w:tc>
        <w:tc>
          <w:tcPr>
            <w:tcW w:w="102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113"/>
        </w:trPr>
        <w:tc>
          <w:tcPr>
            <w:tcW w:w="5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5"/>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60" w:type="dxa"/>
            <w:vAlign w:val="bottom"/>
          </w:tcPr>
          <w:p>
            <w:pPr>
              <w:spacing w:after="0"/>
              <w:rPr>
                <w:sz w:val="9"/>
                <w:szCs w:val="9"/>
                <w:color w:val="auto"/>
              </w:rPr>
            </w:pPr>
          </w:p>
        </w:tc>
        <w:tc>
          <w:tcPr>
            <w:tcW w:w="1020" w:type="dxa"/>
            <w:vAlign w:val="bottom"/>
            <w:gridSpan w:val="5"/>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0" w:type="dxa"/>
            <w:vAlign w:val="bottom"/>
          </w:tcPr>
          <w:p>
            <w:pPr>
              <w:spacing w:after="0"/>
              <w:rPr>
                <w:sz w:val="1"/>
                <w:szCs w:val="1"/>
                <w:color w:val="auto"/>
              </w:rPr>
            </w:pPr>
          </w:p>
        </w:tc>
      </w:tr>
      <w:tr>
        <w:trPr>
          <w:trHeight w:val="88"/>
        </w:trPr>
        <w:tc>
          <w:tcPr>
            <w:tcW w:w="504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w w:val="80"/>
              </w:rPr>
              <w:t>2021</w:t>
            </w:r>
          </w:p>
        </w:tc>
        <w:tc>
          <w:tcPr>
            <w:tcW w:w="2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1"/>
              <w:spacing w:after="0" w:line="88" w:lineRule="exact"/>
              <w:rPr>
                <w:sz w:val="20"/>
                <w:szCs w:val="20"/>
                <w:color w:val="auto"/>
              </w:rPr>
            </w:pPr>
            <w:r>
              <w:rPr>
                <w:rFonts w:ascii="Arial" w:cs="Arial" w:eastAsia="Arial" w:hAnsi="Arial"/>
                <w:sz w:val="10"/>
                <w:szCs w:val="10"/>
                <w:b w:val="1"/>
                <w:bCs w:val="1"/>
                <w:color w:val="auto"/>
                <w:w w:val="80"/>
              </w:rPr>
              <w:t>2020</w:t>
            </w:r>
          </w:p>
        </w:tc>
        <w:tc>
          <w:tcPr>
            <w:tcW w:w="2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w w:val="80"/>
              </w:rPr>
              <w:t>2021</w:t>
            </w:r>
          </w:p>
        </w:tc>
        <w:tc>
          <w:tcPr>
            <w:tcW w:w="26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1"/>
              <w:spacing w:after="0" w:line="88" w:lineRule="exact"/>
              <w:rPr>
                <w:sz w:val="20"/>
                <w:szCs w:val="20"/>
                <w:color w:val="auto"/>
              </w:rPr>
            </w:pPr>
            <w:r>
              <w:rPr>
                <w:rFonts w:ascii="Arial" w:cs="Arial" w:eastAsia="Arial" w:hAnsi="Arial"/>
                <w:sz w:val="10"/>
                <w:szCs w:val="10"/>
                <w:b w:val="1"/>
                <w:bCs w:val="1"/>
                <w:color w:val="auto"/>
                <w:w w:val="89"/>
              </w:rPr>
              <w:t>2020</w:t>
            </w:r>
          </w:p>
        </w:tc>
        <w:tc>
          <w:tcPr>
            <w:tcW w:w="1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2"/>
              </w:rPr>
              <w:t>(11.2)</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2"/>
              </w:rPr>
              <w:t>(28.0)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2"/>
              </w:rPr>
              <w:t>(11.1)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Interest expense</w:t>
            </w:r>
          </w:p>
        </w:tc>
        <w:tc>
          <w:tcPr>
            <w:tcW w:w="6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0.2</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0.7</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2.0</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0.6</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2.0</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6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1.8</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9.0</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EBITDA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5"/>
              </w:rPr>
              <w:t>(15.0)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Stock-based compensation expense</w:t>
            </w:r>
          </w:p>
        </w:tc>
        <w:tc>
          <w:tcPr>
            <w:tcW w:w="6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3.4</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18.9</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contingent consideration</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0.8</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2.3</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Change in fair value of preferred stock warrant liability</w:t>
            </w:r>
          </w:p>
        </w:tc>
        <w:tc>
          <w:tcPr>
            <w:tcW w:w="60" w:type="dxa"/>
            <w:vAlign w:val="bottom"/>
          </w:tcPr>
          <w:p>
            <w:pPr>
              <w:spacing w:after="0"/>
              <w:rPr>
                <w:sz w:val="12"/>
                <w:szCs w:val="12"/>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0.5</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10.8</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(0.1)</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Indirect taxes related to intercompany activity</w:t>
            </w:r>
          </w:p>
        </w:tc>
        <w:tc>
          <w:tcPr>
            <w:tcW w:w="6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0.9</w:t>
            </w:r>
          </w:p>
        </w:tc>
        <w:tc>
          <w:tcPr>
            <w:tcW w:w="60" w:type="dxa"/>
            <w:vAlign w:val="bottom"/>
          </w:tcPr>
          <w:p>
            <w:pPr>
              <w:spacing w:after="0"/>
              <w:rPr>
                <w:sz w:val="12"/>
                <w:szCs w:val="12"/>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0.9</w:t>
            </w:r>
          </w:p>
        </w:tc>
        <w:tc>
          <w:tcPr>
            <w:tcW w:w="6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Acquisition related transaction costs</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0.6</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0.1</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0.7</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Acquisition related employee retention costs</w:t>
            </w:r>
          </w:p>
        </w:tc>
        <w:tc>
          <w:tcPr>
            <w:tcW w:w="60" w:type="dxa"/>
            <w:vAlign w:val="bottom"/>
          </w:tcPr>
          <w:p>
            <w:pPr>
              <w:spacing w:after="0"/>
              <w:rPr>
                <w:sz w:val="12"/>
                <w:szCs w:val="12"/>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1.0</w:t>
            </w:r>
          </w:p>
        </w:tc>
        <w:tc>
          <w:tcPr>
            <w:tcW w:w="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4.2</w:t>
            </w:r>
          </w:p>
        </w:tc>
        <w:tc>
          <w:tcPr>
            <w:tcW w:w="6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Adjusted EBITDA</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22.7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Preliminary Reconciliation of Non-GAAP Financial Measures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(Historical &amp; Guidance)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(Amounts in millions)</w:t>
      </w:r>
    </w:p>
    <w:p>
      <w:pPr>
        <w:spacing w:after="0" w:line="150"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gridSpan w:val="5"/>
          </w:tcPr>
          <w:p>
            <w:pPr>
              <w:jc w:val="center"/>
              <w:ind w:right="140"/>
              <w:spacing w:after="0"/>
              <w:rPr>
                <w:sz w:val="20"/>
                <w:szCs w:val="20"/>
                <w:color w:val="auto"/>
              </w:rPr>
            </w:pPr>
            <w:r>
              <w:rPr>
                <w:rFonts w:ascii="Arial" w:cs="Arial" w:eastAsia="Arial" w:hAnsi="Arial"/>
                <w:sz w:val="10"/>
                <w:szCs w:val="10"/>
                <w:b w:val="1"/>
                <w:bCs w:val="1"/>
                <w:color w:val="auto"/>
                <w:w w:val="88"/>
              </w:rPr>
              <w:t>Three Months Ended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88"/>
              </w:rPr>
              <w:t>Three Months Ended</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5"/>
          </w:tcPr>
          <w:p>
            <w:pPr>
              <w:jc w:val="center"/>
              <w:ind w:right="120"/>
              <w:spacing w:after="0" w:line="114" w:lineRule="exact"/>
              <w:rPr>
                <w:sz w:val="20"/>
                <w:szCs w:val="20"/>
                <w:color w:val="auto"/>
              </w:rPr>
            </w:pPr>
            <w:r>
              <w:rPr>
                <w:rFonts w:ascii="Arial" w:cs="Arial" w:eastAsia="Arial" w:hAnsi="Arial"/>
                <w:sz w:val="10"/>
                <w:szCs w:val="10"/>
                <w:b w:val="1"/>
                <w:bCs w:val="1"/>
                <w:color w:val="auto"/>
                <w:w w:val="86"/>
              </w:rPr>
              <w:t>December 31, 2021</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December 31, 2020</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3"/>
          </w:tcPr>
          <w:p>
            <w:pPr>
              <w:jc w:val="center"/>
              <w:ind w:right="300"/>
              <w:spacing w:after="0" w:line="74" w:lineRule="exact"/>
              <w:rPr>
                <w:sz w:val="20"/>
                <w:szCs w:val="20"/>
                <w:color w:val="auto"/>
              </w:rPr>
            </w:pPr>
            <w:r>
              <w:rPr>
                <w:rFonts w:ascii="Arial" w:cs="Arial" w:eastAsia="Arial" w:hAnsi="Arial"/>
                <w:sz w:val="8"/>
                <w:szCs w:val="8"/>
                <w:b w:val="1"/>
                <w:bCs w:val="1"/>
                <w:color w:val="auto"/>
              </w:rPr>
              <w:t>Platform &amp;</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Platform &amp;</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66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Transaction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3"/>
              </w:rPr>
              <w:t>Usage-</w:t>
            </w:r>
          </w:p>
        </w:tc>
        <w:tc>
          <w:tcPr>
            <w:tcW w:w="6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Revenue</w:t>
            </w:r>
          </w:p>
        </w:tc>
        <w:tc>
          <w:tcPr>
            <w:tcW w:w="6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Transaction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83"/>
              </w:rPr>
              <w:t>Usage-</w:t>
            </w:r>
          </w:p>
        </w:tc>
        <w:tc>
          <w:tcPr>
            <w:tcW w:w="5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Revenue</w:t>
            </w:r>
          </w:p>
        </w:tc>
        <w:tc>
          <w:tcPr>
            <w:tcW w:w="0" w:type="dxa"/>
            <w:vAlign w:val="bottom"/>
          </w:tcPr>
          <w:p>
            <w:pPr>
              <w:spacing w:after="0"/>
              <w:rPr>
                <w:sz w:val="1"/>
                <w:szCs w:val="1"/>
                <w:color w:val="auto"/>
              </w:rPr>
            </w:pPr>
          </w:p>
        </w:tc>
      </w:tr>
      <w:tr>
        <w:trPr>
          <w:trHeight w:val="133"/>
        </w:trPr>
        <w:tc>
          <w:tcPr>
            <w:tcW w:w="30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6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38.3</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center"/>
              <w:ind w:left="122"/>
              <w:spacing w:after="0" w:line="133" w:lineRule="exact"/>
              <w:rPr>
                <w:sz w:val="20"/>
                <w:szCs w:val="20"/>
                <w:color w:val="auto"/>
              </w:rPr>
            </w:pPr>
            <w:r>
              <w:rPr>
                <w:rFonts w:ascii="Arial" w:cs="Arial" w:eastAsia="Arial" w:hAnsi="Arial"/>
                <w:sz w:val="12"/>
                <w:szCs w:val="12"/>
                <w:color w:val="auto"/>
                <w:w w:val="85"/>
              </w:rPr>
              <w:t>13.1</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51.4</w:t>
            </w: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center"/>
              <w:ind w:left="60"/>
              <w:spacing w:after="0" w:line="133" w:lineRule="exact"/>
              <w:rPr>
                <w:sz w:val="20"/>
                <w:szCs w:val="20"/>
                <w:color w:val="auto"/>
              </w:rPr>
            </w:pPr>
            <w:r>
              <w:rPr>
                <w:rFonts w:ascii="Arial" w:cs="Arial" w:eastAsia="Arial" w:hAnsi="Arial"/>
                <w:sz w:val="12"/>
                <w:szCs w:val="12"/>
                <w:color w:val="auto"/>
                <w:w w:val="85"/>
              </w:rPr>
              <w:t>22.5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10.7</w:t>
            </w: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33.2</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and mailing</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(4.9)</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12"/>
              <w:spacing w:after="0"/>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(3.7)</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4"/>
        </w:trPr>
        <w:tc>
          <w:tcPr>
            <w:tcW w:w="30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160" w:type="dxa"/>
            <w:vAlign w:val="bottom"/>
          </w:tcPr>
          <w:p>
            <w:pPr>
              <w:spacing w:after="0"/>
              <w:rPr>
                <w:sz w:val="12"/>
                <w:szCs w:val="12"/>
                <w:color w:val="auto"/>
              </w:rPr>
            </w:pPr>
          </w:p>
        </w:tc>
        <w:tc>
          <w:tcPr>
            <w:tcW w:w="500" w:type="dxa"/>
            <w:vAlign w:val="bottom"/>
            <w:gridSpan w:val="2"/>
          </w:tcPr>
          <w:p>
            <w:pPr>
              <w:jc w:val="right"/>
              <w:ind w:right="72"/>
              <w:spacing w:after="0"/>
              <w:rPr>
                <w:sz w:val="20"/>
                <w:szCs w:val="20"/>
                <w:color w:val="auto"/>
              </w:rPr>
            </w:pPr>
            <w:r>
              <w:rPr>
                <w:rFonts w:ascii="Arial" w:cs="Arial" w:eastAsia="Arial" w:hAnsi="Arial"/>
                <w:sz w:val="12"/>
                <w:szCs w:val="12"/>
                <w:color w:val="auto"/>
              </w:rPr>
              <w:t>(0.6)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(0.6)</w:t>
            </w:r>
          </w:p>
        </w:tc>
        <w:tc>
          <w:tcPr>
            <w:tcW w:w="160" w:type="dxa"/>
            <w:vAlign w:val="bottom"/>
          </w:tcPr>
          <w:p>
            <w:pPr>
              <w:spacing w:after="0"/>
              <w:rPr>
                <w:sz w:val="12"/>
                <w:szCs w:val="12"/>
                <w:color w:val="auto"/>
              </w:rPr>
            </w:pPr>
          </w:p>
        </w:tc>
        <w:tc>
          <w:tcPr>
            <w:tcW w:w="500" w:type="dxa"/>
            <w:vAlign w:val="bottom"/>
            <w:gridSpan w:val="2"/>
          </w:tcPr>
          <w:p>
            <w:pPr>
              <w:jc w:val="right"/>
              <w:ind w:right="72"/>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37.7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8.2</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45.9</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22.4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29.4</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2"/>
                <w:szCs w:val="12"/>
                <w:color w:val="auto"/>
              </w:rPr>
              <w:t>Percentage of Revenue</w:t>
            </w: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2"/>
                <w:szCs w:val="12"/>
                <w:color w:val="auto"/>
              </w:rPr>
              <w:t>74.5%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25.5%</w:t>
            </w:r>
          </w:p>
        </w:tc>
        <w:tc>
          <w:tcPr>
            <w:tcW w:w="8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3"/>
                <w:szCs w:val="13"/>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2"/>
                <w:szCs w:val="12"/>
                <w:color w:val="auto"/>
              </w:rPr>
              <w:t>67.7%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32.3%</w:t>
            </w:r>
          </w:p>
        </w:tc>
        <w:tc>
          <w:tcPr>
            <w:tcW w:w="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Percentage of Revenue less Ancillary Services</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82.1%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75.9%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24.1%</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87"/>
              </w:rPr>
              <w:t>Year Ended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87"/>
              </w:rPr>
              <w:t>Year Ended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5"/>
          </w:tcPr>
          <w:p>
            <w:pPr>
              <w:jc w:val="center"/>
              <w:ind w:right="120"/>
              <w:spacing w:after="0" w:line="114" w:lineRule="exact"/>
              <w:rPr>
                <w:sz w:val="20"/>
                <w:szCs w:val="20"/>
                <w:color w:val="auto"/>
              </w:rPr>
            </w:pPr>
            <w:r>
              <w:rPr>
                <w:rFonts w:ascii="Arial" w:cs="Arial" w:eastAsia="Arial" w:hAnsi="Arial"/>
                <w:sz w:val="10"/>
                <w:szCs w:val="10"/>
                <w:b w:val="1"/>
                <w:bCs w:val="1"/>
                <w:color w:val="auto"/>
                <w:w w:val="86"/>
              </w:rPr>
              <w:t>December 31, 2021</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5"/>
          </w:tcPr>
          <w:p>
            <w:pPr>
              <w:jc w:val="center"/>
              <w:ind w:right="120"/>
              <w:spacing w:after="0" w:line="114" w:lineRule="exact"/>
              <w:rPr>
                <w:sz w:val="20"/>
                <w:szCs w:val="20"/>
                <w:color w:val="auto"/>
              </w:rPr>
            </w:pPr>
            <w:r>
              <w:rPr>
                <w:rFonts w:ascii="Arial" w:cs="Arial" w:eastAsia="Arial" w:hAnsi="Arial"/>
                <w:sz w:val="10"/>
                <w:szCs w:val="10"/>
                <w:b w:val="1"/>
                <w:bCs w:val="1"/>
                <w:color w:val="auto"/>
                <w:w w:val="84"/>
              </w:rPr>
              <w:t>December 31, 2020</w:t>
            </w: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3"/>
          </w:tcPr>
          <w:p>
            <w:pPr>
              <w:jc w:val="center"/>
              <w:ind w:right="300"/>
              <w:spacing w:after="0" w:line="74" w:lineRule="exact"/>
              <w:rPr>
                <w:sz w:val="20"/>
                <w:szCs w:val="20"/>
                <w:color w:val="auto"/>
              </w:rPr>
            </w:pPr>
            <w:r>
              <w:rPr>
                <w:rFonts w:ascii="Arial" w:cs="Arial" w:eastAsia="Arial" w:hAnsi="Arial"/>
                <w:sz w:val="8"/>
                <w:szCs w:val="8"/>
                <w:b w:val="1"/>
                <w:bCs w:val="1"/>
                <w:color w:val="auto"/>
              </w:rPr>
              <w:t>Platform &amp;</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Platform &amp;</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66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Transaction</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360"/>
              <w:spacing w:after="0" w:line="114" w:lineRule="exact"/>
              <w:rPr>
                <w:sz w:val="20"/>
                <w:szCs w:val="20"/>
                <w:color w:val="auto"/>
              </w:rPr>
            </w:pPr>
            <w:r>
              <w:rPr>
                <w:rFonts w:ascii="Arial" w:cs="Arial" w:eastAsia="Arial" w:hAnsi="Arial"/>
                <w:sz w:val="10"/>
                <w:szCs w:val="10"/>
                <w:b w:val="1"/>
                <w:bCs w:val="1"/>
                <w:color w:val="auto"/>
                <w:w w:val="83"/>
              </w:rPr>
              <w:t>Usage-</w:t>
            </w:r>
          </w:p>
        </w:tc>
        <w:tc>
          <w:tcPr>
            <w:tcW w:w="6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Revenue</w:t>
            </w:r>
          </w:p>
        </w:tc>
        <w:tc>
          <w:tcPr>
            <w:tcW w:w="66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Transaction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83"/>
              </w:rPr>
              <w:t>Usage-</w:t>
            </w:r>
          </w:p>
        </w:tc>
        <w:tc>
          <w:tcPr>
            <w:tcW w:w="5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Revenue</w:t>
            </w:r>
          </w:p>
        </w:tc>
        <w:tc>
          <w:tcPr>
            <w:tcW w:w="0" w:type="dxa"/>
            <w:vAlign w:val="bottom"/>
          </w:tcPr>
          <w:p>
            <w:pPr>
              <w:spacing w:after="0"/>
              <w:rPr>
                <w:sz w:val="1"/>
                <w:szCs w:val="1"/>
                <w:color w:val="auto"/>
              </w:rPr>
            </w:pPr>
          </w:p>
        </w:tc>
      </w:tr>
      <w:tr>
        <w:trPr>
          <w:trHeight w:val="133"/>
        </w:trPr>
        <w:tc>
          <w:tcPr>
            <w:tcW w:w="30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16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148.0</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center"/>
              <w:ind w:left="122"/>
              <w:spacing w:after="0" w:line="133" w:lineRule="exact"/>
              <w:rPr>
                <w:sz w:val="20"/>
                <w:szCs w:val="20"/>
                <w:color w:val="auto"/>
              </w:rPr>
            </w:pPr>
            <w:r>
              <w:rPr>
                <w:rFonts w:ascii="Arial" w:cs="Arial" w:eastAsia="Arial" w:hAnsi="Arial"/>
                <w:sz w:val="12"/>
                <w:szCs w:val="12"/>
                <w:color w:val="auto"/>
                <w:w w:val="85"/>
              </w:rPr>
              <w:t>53.2</w:t>
            </w:r>
          </w:p>
        </w:tc>
        <w:tc>
          <w:tcPr>
            <w:tcW w:w="3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$ 201.1</w:t>
            </w: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center"/>
              <w:ind w:left="60"/>
              <w:spacing w:after="0" w:line="133" w:lineRule="exact"/>
              <w:rPr>
                <w:sz w:val="20"/>
                <w:szCs w:val="20"/>
                <w:color w:val="auto"/>
              </w:rPr>
            </w:pPr>
            <w:r>
              <w:rPr>
                <w:rFonts w:ascii="Arial" w:cs="Arial" w:eastAsia="Arial" w:hAnsi="Arial"/>
                <w:sz w:val="12"/>
                <w:szCs w:val="12"/>
                <w:color w:val="auto"/>
                <w:w w:val="85"/>
              </w:rPr>
              <w:t>89.6</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42.2</w:t>
            </w:r>
          </w:p>
        </w:tc>
        <w:tc>
          <w:tcPr>
            <w:tcW w:w="3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$ 131.8</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and mailing</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(18.2)</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95"/>
              </w:rPr>
              <w:t>(18.2)</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12"/>
              <w:spacing w:after="0"/>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(15.8)</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5"/>
              </w:rPr>
              <w:t>(15.8)</w:t>
            </w:r>
          </w:p>
        </w:tc>
        <w:tc>
          <w:tcPr>
            <w:tcW w:w="0" w:type="dxa"/>
            <w:vAlign w:val="bottom"/>
          </w:tcPr>
          <w:p>
            <w:pPr>
              <w:spacing w:after="0"/>
              <w:rPr>
                <w:sz w:val="1"/>
                <w:szCs w:val="1"/>
                <w:color w:val="auto"/>
              </w:rPr>
            </w:pPr>
          </w:p>
        </w:tc>
      </w:tr>
      <w:tr>
        <w:trPr>
          <w:trHeight w:val="144"/>
        </w:trPr>
        <w:tc>
          <w:tcPr>
            <w:tcW w:w="30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160" w:type="dxa"/>
            <w:vAlign w:val="bottom"/>
          </w:tcPr>
          <w:p>
            <w:pPr>
              <w:spacing w:after="0"/>
              <w:rPr>
                <w:sz w:val="12"/>
                <w:szCs w:val="12"/>
                <w:color w:val="auto"/>
              </w:rPr>
            </w:pPr>
          </w:p>
        </w:tc>
        <w:tc>
          <w:tcPr>
            <w:tcW w:w="500" w:type="dxa"/>
            <w:vAlign w:val="bottom"/>
            <w:gridSpan w:val="2"/>
          </w:tcPr>
          <w:p>
            <w:pPr>
              <w:jc w:val="right"/>
              <w:ind w:right="72"/>
              <w:spacing w:after="0"/>
              <w:rPr>
                <w:sz w:val="20"/>
                <w:szCs w:val="20"/>
                <w:color w:val="auto"/>
              </w:rPr>
            </w:pPr>
            <w:r>
              <w:rPr>
                <w:rFonts w:ascii="Arial" w:cs="Arial" w:eastAsia="Arial" w:hAnsi="Arial"/>
                <w:sz w:val="12"/>
                <w:szCs w:val="12"/>
                <w:color w:val="auto"/>
              </w:rPr>
              <w:t>(1.8)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color w:val="auto"/>
              </w:rPr>
              <w:t>(1.8)</w:t>
            </w:r>
          </w:p>
        </w:tc>
        <w:tc>
          <w:tcPr>
            <w:tcW w:w="160" w:type="dxa"/>
            <w:vAlign w:val="bottom"/>
          </w:tcPr>
          <w:p>
            <w:pPr>
              <w:spacing w:after="0"/>
              <w:rPr>
                <w:sz w:val="12"/>
                <w:szCs w:val="12"/>
                <w:color w:val="auto"/>
              </w:rPr>
            </w:pPr>
          </w:p>
        </w:tc>
        <w:tc>
          <w:tcPr>
            <w:tcW w:w="500" w:type="dxa"/>
            <w:vAlign w:val="bottom"/>
            <w:gridSpan w:val="2"/>
          </w:tcPr>
          <w:p>
            <w:pPr>
              <w:jc w:val="right"/>
              <w:ind w:right="72"/>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16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146.2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34.9</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84"/>
              </w:rPr>
              <w:t>$ 181.1</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2"/>
                <w:szCs w:val="12"/>
                <w:color w:val="auto"/>
              </w:rPr>
              <w:t>88.2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w w:val="8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26.4</w:t>
            </w: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84"/>
              </w:rPr>
              <w:t>$ 114.6</w:t>
            </w:r>
          </w:p>
        </w:tc>
        <w:tc>
          <w:tcPr>
            <w:tcW w:w="0" w:type="dxa"/>
            <w:vAlign w:val="bottom"/>
          </w:tcPr>
          <w:p>
            <w:pPr>
              <w:spacing w:after="0"/>
              <w:rPr>
                <w:sz w:val="1"/>
                <w:szCs w:val="1"/>
                <w:color w:val="auto"/>
              </w:rPr>
            </w:pPr>
          </w:p>
        </w:tc>
      </w:tr>
      <w:tr>
        <w:trPr>
          <w:trHeight w:val="27"/>
        </w:trPr>
        <w:tc>
          <w:tcPr>
            <w:tcW w:w="3060" w:type="dxa"/>
            <w:vAlign w:val="bottom"/>
            <w:vMerge w:val="restart"/>
          </w:tcPr>
          <w:p>
            <w:pPr>
              <w:spacing w:after="0"/>
              <w:rPr>
                <w:sz w:val="20"/>
                <w:szCs w:val="20"/>
                <w:color w:val="auto"/>
              </w:rPr>
            </w:pPr>
            <w:r>
              <w:rPr>
                <w:rFonts w:ascii="Arial" w:cs="Arial" w:eastAsia="Arial" w:hAnsi="Arial"/>
                <w:sz w:val="12"/>
                <w:szCs w:val="12"/>
                <w:color w:val="auto"/>
              </w:rPr>
              <w:t>Percentage of Revenue</w:t>
            </w: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0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2"/>
                <w:szCs w:val="12"/>
                <w:color w:val="auto"/>
              </w:rPr>
              <w:t>73.6%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26.4%</w:t>
            </w:r>
          </w:p>
        </w:tc>
        <w:tc>
          <w:tcPr>
            <w:tcW w:w="8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3"/>
                <w:szCs w:val="13"/>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2"/>
                <w:szCs w:val="12"/>
                <w:color w:val="auto"/>
              </w:rPr>
              <w:t>68.0%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32.0%</w:t>
            </w:r>
          </w:p>
        </w:tc>
        <w:tc>
          <w:tcPr>
            <w:tcW w:w="8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Percentage of Revenue less Ancillary Services</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80.7%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19.3%</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77.0%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23.0%</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Guidance</w:t>
            </w: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3260" w:type="dxa"/>
            <w:vAlign w:val="bottom"/>
          </w:tcPr>
          <w:p>
            <w:pPr>
              <w:spacing w:after="0"/>
              <w:rPr>
                <w:sz w:val="7"/>
                <w:szCs w:val="7"/>
                <w:color w:val="auto"/>
              </w:rPr>
            </w:pPr>
          </w:p>
        </w:tc>
        <w:tc>
          <w:tcPr>
            <w:tcW w:w="2000" w:type="dxa"/>
            <w:vAlign w:val="bottom"/>
            <w:gridSpan w:val="6"/>
          </w:tcPr>
          <w:p>
            <w:pPr>
              <w:jc w:val="right"/>
              <w:ind w:right="400"/>
              <w:spacing w:after="0" w:line="88" w:lineRule="exact"/>
              <w:rPr>
                <w:sz w:val="20"/>
                <w:szCs w:val="20"/>
                <w:color w:val="auto"/>
              </w:rPr>
            </w:pPr>
            <w:r>
              <w:rPr>
                <w:rFonts w:ascii="Arial" w:cs="Arial" w:eastAsia="Arial" w:hAnsi="Arial"/>
                <w:sz w:val="10"/>
                <w:szCs w:val="10"/>
                <w:b w:val="1"/>
                <w:bCs w:val="1"/>
                <w:color w:val="auto"/>
                <w:w w:val="91"/>
              </w:rPr>
              <w:t>Three Months Ended March 31, 2022</w:t>
            </w:r>
          </w:p>
        </w:tc>
        <w:tc>
          <w:tcPr>
            <w:tcW w:w="60" w:type="dxa"/>
            <w:vAlign w:val="bottom"/>
          </w:tcPr>
          <w:p>
            <w:pPr>
              <w:spacing w:after="0"/>
              <w:rPr>
                <w:sz w:val="7"/>
                <w:szCs w:val="7"/>
                <w:color w:val="auto"/>
              </w:rPr>
            </w:pPr>
          </w:p>
        </w:tc>
        <w:tc>
          <w:tcPr>
            <w:tcW w:w="1360" w:type="dxa"/>
            <w:vAlign w:val="bottom"/>
            <w:gridSpan w:val="4"/>
          </w:tcPr>
          <w:p>
            <w:pPr>
              <w:jc w:val="right"/>
              <w:ind w:right="2"/>
              <w:spacing w:after="0" w:line="88" w:lineRule="exact"/>
              <w:rPr>
                <w:sz w:val="20"/>
                <w:szCs w:val="20"/>
                <w:color w:val="auto"/>
              </w:rPr>
            </w:pPr>
            <w:r>
              <w:rPr>
                <w:rFonts w:ascii="Arial" w:cs="Arial" w:eastAsia="Arial" w:hAnsi="Arial"/>
                <w:sz w:val="10"/>
                <w:szCs w:val="10"/>
                <w:b w:val="1"/>
                <w:bCs w:val="1"/>
                <w:color w:val="auto"/>
                <w:w w:val="86"/>
              </w:rPr>
              <w:t>Year Ended December 31, 2022</w:t>
            </w:r>
          </w:p>
        </w:tc>
        <w:tc>
          <w:tcPr>
            <w:tcW w:w="80" w:type="dxa"/>
            <w:vAlign w:val="bottom"/>
          </w:tcPr>
          <w:p>
            <w:pPr>
              <w:spacing w:after="0"/>
              <w:rPr>
                <w:sz w:val="7"/>
                <w:szCs w:val="7"/>
                <w:color w:val="auto"/>
              </w:rPr>
            </w:pPr>
          </w:p>
        </w:tc>
      </w:tr>
      <w:tr>
        <w:trPr>
          <w:trHeight w:val="88"/>
        </w:trPr>
        <w:tc>
          <w:tcPr>
            <w:tcW w:w="3260" w:type="dxa"/>
            <w:vAlign w:val="bottom"/>
          </w:tcPr>
          <w:p>
            <w:pPr>
              <w:spacing w:after="0"/>
              <w:rPr>
                <w:sz w:val="7"/>
                <w:szCs w:val="7"/>
                <w:color w:val="auto"/>
              </w:rPr>
            </w:pPr>
          </w:p>
        </w:tc>
        <w:tc>
          <w:tcPr>
            <w:tcW w:w="4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Low</w:t>
            </w:r>
          </w:p>
        </w:tc>
        <w:tc>
          <w:tcPr>
            <w:tcW w:w="2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ind w:right="164"/>
              <w:spacing w:after="0" w:line="88" w:lineRule="exact"/>
              <w:rPr>
                <w:sz w:val="20"/>
                <w:szCs w:val="20"/>
                <w:color w:val="auto"/>
              </w:rPr>
            </w:pPr>
            <w:r>
              <w:rPr>
                <w:rFonts w:ascii="Arial" w:cs="Arial" w:eastAsia="Arial" w:hAnsi="Arial"/>
                <w:sz w:val="10"/>
                <w:szCs w:val="10"/>
                <w:b w:val="1"/>
                <w:bCs w:val="1"/>
                <w:color w:val="auto"/>
              </w:rPr>
              <w:t>High</w:t>
            </w:r>
          </w:p>
        </w:tc>
        <w:tc>
          <w:tcPr>
            <w:tcW w:w="3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gridSpan w:val="2"/>
          </w:tcPr>
          <w:p>
            <w:pPr>
              <w:jc w:val="right"/>
              <w:ind w:right="540"/>
              <w:spacing w:after="0" w:line="88" w:lineRule="exact"/>
              <w:rPr>
                <w:sz w:val="20"/>
                <w:szCs w:val="20"/>
                <w:color w:val="auto"/>
              </w:rPr>
            </w:pPr>
            <w:r>
              <w:rPr>
                <w:rFonts w:ascii="Arial" w:cs="Arial" w:eastAsia="Arial" w:hAnsi="Arial"/>
                <w:sz w:val="10"/>
                <w:szCs w:val="10"/>
                <w:b w:val="1"/>
                <w:bCs w:val="1"/>
                <w:color w:val="auto"/>
              </w:rPr>
              <w:t>Low</w:t>
            </w:r>
          </w:p>
        </w:tc>
        <w:tc>
          <w:tcPr>
            <w:tcW w:w="1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102"/>
              <w:spacing w:after="0" w:line="88" w:lineRule="exact"/>
              <w:rPr>
                <w:sz w:val="20"/>
                <w:szCs w:val="20"/>
                <w:color w:val="auto"/>
              </w:rPr>
            </w:pPr>
            <w:r>
              <w:rPr>
                <w:rFonts w:ascii="Arial" w:cs="Arial" w:eastAsia="Arial" w:hAnsi="Arial"/>
                <w:sz w:val="10"/>
                <w:szCs w:val="10"/>
                <w:b w:val="1"/>
                <w:bCs w:val="1"/>
                <w:color w:val="auto"/>
              </w:rPr>
              <w:t>High</w:t>
            </w:r>
          </w:p>
        </w:tc>
        <w:tc>
          <w:tcPr>
            <w:tcW w:w="80" w:type="dxa"/>
            <w:vAlign w:val="bottom"/>
          </w:tcPr>
          <w:p>
            <w:pPr>
              <w:spacing w:after="0"/>
              <w:rPr>
                <w:sz w:val="7"/>
                <w:szCs w:val="7"/>
                <w:color w:val="auto"/>
              </w:rPr>
            </w:pPr>
          </w:p>
        </w:tc>
      </w:tr>
      <w:tr>
        <w:trPr>
          <w:trHeight w:val="133"/>
        </w:trPr>
        <w:tc>
          <w:tcPr>
            <w:tcW w:w="3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5"/>
              </w:rPr>
              <w:t>59.0</w:t>
            </w:r>
          </w:p>
        </w:tc>
        <w:tc>
          <w:tcPr>
            <w:tcW w:w="4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63.0</w:t>
            </w: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266.0</w:t>
            </w: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276.0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260" w:type="dxa"/>
            <w:vAlign w:val="bottom"/>
          </w:tcPr>
          <w:p>
            <w:pPr>
              <w:spacing w:after="0"/>
              <w:rPr>
                <w:sz w:val="20"/>
                <w:szCs w:val="20"/>
                <w:color w:val="auto"/>
              </w:rPr>
            </w:pPr>
            <w:r>
              <w:rPr>
                <w:rFonts w:ascii="Arial" w:cs="Arial" w:eastAsia="Arial" w:hAnsi="Arial"/>
                <w:sz w:val="12"/>
                <w:szCs w:val="12"/>
                <w:color w:val="auto"/>
              </w:rPr>
              <w:t>Adjusted to exclude gross up for:</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2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Pass through cost for printing and mailing</w:t>
            </w:r>
          </w:p>
        </w:tc>
        <w:tc>
          <w:tcPr>
            <w:tcW w:w="4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97"/>
              </w:rPr>
              <w:t>(3.7)</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(20.4)</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(22.0)</w:t>
            </w:r>
          </w:p>
        </w:tc>
      </w:tr>
      <w:tr>
        <w:trPr>
          <w:trHeight w:val="144"/>
        </w:trPr>
        <w:tc>
          <w:tcPr>
            <w:tcW w:w="3260" w:type="dxa"/>
            <w:vAlign w:val="bottom"/>
          </w:tcPr>
          <w:p>
            <w:pPr>
              <w:ind w:left="240"/>
              <w:spacing w:after="0"/>
              <w:rPr>
                <w:sz w:val="20"/>
                <w:szCs w:val="20"/>
                <w:color w:val="auto"/>
              </w:rPr>
            </w:pPr>
            <w:r>
              <w:rPr>
                <w:rFonts w:ascii="Arial" w:cs="Arial" w:eastAsia="Arial" w:hAnsi="Arial"/>
                <w:sz w:val="12"/>
                <w:szCs w:val="12"/>
                <w:color w:val="auto"/>
              </w:rPr>
              <w:t>Marketing fees</w:t>
            </w:r>
          </w:p>
        </w:tc>
        <w:tc>
          <w:tcPr>
            <w:tcW w:w="400" w:type="dxa"/>
            <w:vAlign w:val="bottom"/>
          </w:tcPr>
          <w:p>
            <w:pPr>
              <w:spacing w:after="0"/>
              <w:rPr>
                <w:sz w:val="12"/>
                <w:szCs w:val="12"/>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2"/>
                <w:szCs w:val="12"/>
                <w:color w:val="auto"/>
                <w:w w:val="97"/>
              </w:rPr>
              <w:t>(0.3)</w:t>
            </w:r>
          </w:p>
        </w:tc>
        <w:tc>
          <w:tcPr>
            <w:tcW w:w="14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(0.3)</w:t>
            </w:r>
          </w:p>
        </w:tc>
        <w:tc>
          <w:tcPr>
            <w:tcW w:w="60" w:type="dxa"/>
            <w:vAlign w:val="bottom"/>
          </w:tcPr>
          <w:p>
            <w:pPr>
              <w:spacing w:after="0"/>
              <w:rPr>
                <w:sz w:val="12"/>
                <w:szCs w:val="12"/>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(2.0)</w:t>
            </w:r>
          </w:p>
        </w:tc>
      </w:tr>
      <w:tr>
        <w:trPr>
          <w:trHeight w:val="20"/>
        </w:trPr>
        <w:tc>
          <w:tcPr>
            <w:tcW w:w="3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Revenue Less Ancillary Services</w:t>
            </w:r>
          </w:p>
        </w:tc>
        <w:tc>
          <w:tcPr>
            <w:tcW w:w="400" w:type="dxa"/>
            <w:vAlign w:val="bottom"/>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55.0</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57.0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244.0</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252.0</w:t>
            </w:r>
          </w:p>
        </w:tc>
      </w:tr>
      <w:tr>
        <w:trPr>
          <w:trHeight w:val="27"/>
        </w:trPr>
        <w:tc>
          <w:tcPr>
            <w:tcW w:w="3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9019"/>
          </w:cols>
          <w:pgMar w:left="1440" w:top="226" w:right="1440" w:bottom="1440"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2022-03-02T16:09:26Z</dcterms:created>
  <dcterms:modified xsi:type="dcterms:W3CDTF">2022-03-02T16:09:26Z</dcterms:modified>
</cp:coreProperties>
</file>