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jc w:val="center"/>
        <w:ind w:left="500" w:right="264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 240.13d-1(b), (c) and (d) and Amendments Thereto Filed Pursuant to § 240.13d-2</w:t>
      </w:r>
    </w:p>
    <w:p>
      <w:pPr>
        <w:spacing w:after="0" w:line="17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tabs>
          <w:tab w:leader="none" w:pos="26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Flywire Corporation</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Voting Common Stock, $0.0001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par value per share</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302492103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on the remainder of this cover page shall not be deemed to be “filed” for the purpose of Section 18 of the Securities</w:t>
      </w:r>
    </w:p>
    <w:p>
      <w:pPr>
        <w:spacing w:after="0" w:line="46" w:lineRule="exact"/>
        <w:rPr>
          <w:sz w:val="24"/>
          <w:szCs w:val="24"/>
          <w:color w:val="auto"/>
        </w:rPr>
      </w:pPr>
    </w:p>
    <w:p>
      <w:pPr>
        <w:ind w:right="40"/>
        <w:spacing w:after="0" w:line="260" w:lineRule="auto"/>
        <w:rPr>
          <w:sz w:val="20"/>
          <w:szCs w:val="20"/>
          <w:color w:val="auto"/>
        </w:rPr>
      </w:pPr>
      <w:r>
        <w:rPr>
          <w:rFonts w:ascii="Arial" w:cs="Arial" w:eastAsia="Arial" w:hAnsi="Arial"/>
          <w:sz w:val="18"/>
          <w:szCs w:val="18"/>
          <w:color w:val="auto"/>
        </w:rPr>
        <w:t>Exchange Act of 1934, as amended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spacing w:after="0"/>
        <w:tabs>
          <w:tab w:leader="none" w:pos="538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302492103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2 of 15</w:t>
      </w:r>
    </w:p>
    <w:p>
      <w:pPr>
        <w:spacing w:after="0" w:line="171" w:lineRule="exact"/>
        <w:rPr>
          <w:sz w:val="20"/>
          <w:szCs w:val="20"/>
          <w:color w:val="auto"/>
        </w:rPr>
      </w:pPr>
    </w:p>
    <w:p>
      <w:pPr>
        <w:ind w:left="620" w:hanging="377"/>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Bain Capital Venture Fund 2014, L.P.</w:t>
      </w:r>
    </w:p>
    <w:p>
      <w:pPr>
        <w:spacing w:after="0" w:line="36" w:lineRule="exact"/>
        <w:rPr>
          <w:sz w:val="20"/>
          <w:szCs w:val="20"/>
          <w:color w:val="auto"/>
        </w:rPr>
      </w:pPr>
    </w:p>
    <w:p>
      <w:pPr>
        <w:ind w:left="620" w:hanging="377"/>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Cayman Islands</w:t>
      </w:r>
    </w:p>
    <w:p>
      <w:pPr>
        <w:spacing w:after="0" w:line="36"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88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360" w:type="dxa"/>
            <w:vAlign w:val="bottom"/>
            <w:tcBorders>
              <w:bottom w:val="single" w:sz="8" w:color="auto"/>
            </w:tcBorders>
          </w:tcPr>
          <w:p>
            <w:pPr>
              <w:spacing w:after="0"/>
              <w:rPr>
                <w:sz w:val="21"/>
                <w:szCs w:val="21"/>
                <w:color w:val="auto"/>
              </w:rPr>
            </w:pPr>
          </w:p>
        </w:tc>
        <w:tc>
          <w:tcPr>
            <w:tcW w:w="94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 shares of Voting Common Stock</w:t>
            </w:r>
          </w:p>
        </w:tc>
        <w:tc>
          <w:tcPr>
            <w:tcW w:w="0" w:type="dxa"/>
            <w:vAlign w:val="bottom"/>
          </w:tcPr>
          <w:p>
            <w:pPr>
              <w:spacing w:after="0"/>
              <w:rPr>
                <w:sz w:val="1"/>
                <w:szCs w:val="1"/>
                <w:color w:val="auto"/>
              </w:rPr>
            </w:pPr>
          </w:p>
        </w:tc>
      </w:tr>
      <w:tr>
        <w:trPr>
          <w:trHeight w:val="236"/>
        </w:trPr>
        <w:tc>
          <w:tcPr>
            <w:tcW w:w="880" w:type="dxa"/>
            <w:vAlign w:val="bottom"/>
          </w:tcPr>
          <w:p>
            <w:pPr>
              <w:jc w:val="center"/>
              <w:spacing w:after="0"/>
              <w:rPr>
                <w:sz w:val="20"/>
                <w:szCs w:val="20"/>
                <w:color w:val="auto"/>
              </w:rPr>
            </w:pPr>
            <w:r>
              <w:rPr>
                <w:rFonts w:ascii="Arial" w:cs="Arial" w:eastAsia="Arial" w:hAnsi="Arial"/>
                <w:sz w:val="18"/>
                <w:szCs w:val="18"/>
                <w:color w:val="auto"/>
                <w:w w:val="81"/>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46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4"/>
              </w:rPr>
              <w:t>beneficially</w:t>
            </w:r>
          </w:p>
        </w:tc>
        <w:tc>
          <w:tcPr>
            <w:tcW w:w="360" w:type="dxa"/>
            <w:vAlign w:val="bottom"/>
          </w:tcPr>
          <w:p>
            <w:pPr>
              <w:spacing w:after="0"/>
              <w:rPr>
                <w:sz w:val="18"/>
                <w:szCs w:val="18"/>
                <w:color w:val="auto"/>
              </w:rPr>
            </w:pPr>
          </w:p>
        </w:tc>
        <w:tc>
          <w:tcPr>
            <w:tcW w:w="9460" w:type="dxa"/>
            <w:vAlign w:val="bottom"/>
            <w:vMerge w:val="restart"/>
          </w:tcPr>
          <w:p>
            <w:pPr>
              <w:ind w:left="160"/>
              <w:spacing w:after="0"/>
              <w:rPr>
                <w:sz w:val="20"/>
                <w:szCs w:val="20"/>
                <w:color w:val="auto"/>
              </w:rPr>
            </w:pPr>
            <w:r>
              <w:rPr>
                <w:rFonts w:ascii="Arial" w:cs="Arial" w:eastAsia="Arial" w:hAnsi="Arial"/>
                <w:sz w:val="18"/>
                <w:szCs w:val="18"/>
                <w:color w:val="auto"/>
              </w:rPr>
              <w:t>13,573,035 shares of Voting Common Stock</w:t>
            </w:r>
          </w:p>
        </w:tc>
        <w:tc>
          <w:tcPr>
            <w:tcW w:w="0" w:type="dxa"/>
            <w:vAlign w:val="bottom"/>
          </w:tcPr>
          <w:p>
            <w:pPr>
              <w:spacing w:after="0"/>
              <w:rPr>
                <w:sz w:val="1"/>
                <w:szCs w:val="1"/>
                <w:color w:val="auto"/>
              </w:rPr>
            </w:pPr>
          </w:p>
        </w:tc>
      </w:tr>
      <w:tr>
        <w:trPr>
          <w:trHeight w:val="230"/>
        </w:trPr>
        <w:tc>
          <w:tcPr>
            <w:tcW w:w="88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36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80" w:type="dxa"/>
            <w:vAlign w:val="bottom"/>
          </w:tcPr>
          <w:p>
            <w:pPr>
              <w:jc w:val="center"/>
              <w:spacing w:after="0" w:line="182" w:lineRule="exact"/>
              <w:rPr>
                <w:sz w:val="20"/>
                <w:szCs w:val="20"/>
                <w:color w:val="auto"/>
              </w:rPr>
            </w:pPr>
            <w:r>
              <w:rPr>
                <w:rFonts w:ascii="Arial" w:cs="Arial" w:eastAsia="Arial" w:hAnsi="Arial"/>
                <w:sz w:val="18"/>
                <w:szCs w:val="18"/>
                <w:color w:val="auto"/>
                <w:w w:val="81"/>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46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80" w:type="dxa"/>
            <w:vAlign w:val="bottom"/>
          </w:tcPr>
          <w:p>
            <w:pPr>
              <w:jc w:val="center"/>
              <w:spacing w:after="0"/>
              <w:rPr>
                <w:sz w:val="20"/>
                <w:szCs w:val="20"/>
                <w:color w:val="auto"/>
              </w:rPr>
            </w:pPr>
            <w:r>
              <w:rPr>
                <w:rFonts w:ascii="Arial" w:cs="Arial" w:eastAsia="Arial" w:hAnsi="Arial"/>
                <w:sz w:val="18"/>
                <w:szCs w:val="18"/>
                <w:color w:val="auto"/>
                <w:w w:val="87"/>
              </w:rPr>
              <w:t>person</w:t>
            </w:r>
          </w:p>
        </w:tc>
        <w:tc>
          <w:tcPr>
            <w:tcW w:w="360" w:type="dxa"/>
            <w:vAlign w:val="bottom"/>
          </w:tcPr>
          <w:p>
            <w:pPr>
              <w:spacing w:after="0"/>
              <w:rPr>
                <w:sz w:val="18"/>
                <w:szCs w:val="18"/>
                <w:color w:val="auto"/>
              </w:rPr>
            </w:pPr>
          </w:p>
        </w:tc>
        <w:tc>
          <w:tcPr>
            <w:tcW w:w="9460" w:type="dxa"/>
            <w:vAlign w:val="bottom"/>
          </w:tcPr>
          <w:p>
            <w:pPr>
              <w:ind w:left="160"/>
              <w:spacing w:after="0"/>
              <w:rPr>
                <w:sz w:val="20"/>
                <w:szCs w:val="20"/>
                <w:color w:val="auto"/>
              </w:rPr>
            </w:pPr>
            <w:r>
              <w:rPr>
                <w:rFonts w:ascii="Arial" w:cs="Arial" w:eastAsia="Arial" w:hAnsi="Arial"/>
                <w:sz w:val="18"/>
                <w:szCs w:val="18"/>
                <w:color w:val="auto"/>
              </w:rPr>
              <w:t>0 shares of Voting Common Stock</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8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4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13,573,035 shares of Voting Common Stock</w:t>
      </w:r>
    </w:p>
    <w:p>
      <w:pPr>
        <w:spacing w:after="0" w:line="36" w:lineRule="exact"/>
        <w:rPr>
          <w:sz w:val="20"/>
          <w:szCs w:val="20"/>
          <w:color w:val="auto"/>
        </w:rPr>
      </w:pPr>
    </w:p>
    <w:p>
      <w:pPr>
        <w:ind w:left="600" w:hanging="357"/>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13,573,035 shares of Voting Common Stock</w:t>
      </w:r>
    </w:p>
    <w:p>
      <w:pPr>
        <w:spacing w:after="0" w:line="36" w:lineRule="exact"/>
        <w:rPr>
          <w:sz w:val="20"/>
          <w:szCs w:val="20"/>
          <w:color w:val="auto"/>
        </w:rPr>
      </w:pPr>
    </w:p>
    <w:p>
      <w:pPr>
        <w:ind w:left="620" w:hanging="467"/>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6760" w:hanging="467"/>
        <w:spacing w:after="0" w:line="402"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13.8%</w:t>
      </w:r>
    </w:p>
    <w:p>
      <w:pPr>
        <w:spacing w:after="0" w:line="1" w:lineRule="exact"/>
        <w:rPr>
          <w:rFonts w:ascii="Arial" w:cs="Arial" w:eastAsia="Arial" w:hAnsi="Arial"/>
          <w:sz w:val="18"/>
          <w:szCs w:val="18"/>
          <w:color w:val="auto"/>
        </w:rPr>
      </w:pPr>
    </w:p>
    <w:p>
      <w:pPr>
        <w:ind w:left="600" w:hanging="447"/>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1020"/>
          </w:cols>
          <w:pgMar w:left="440" w:top="395" w:right="439" w:bottom="1440" w:gutter="0" w:footer="0" w:header="0"/>
        </w:sectPr>
      </w:pPr>
    </w:p>
    <w:bookmarkStart w:id="2" w:name="page3"/>
    <w:bookmarkEnd w:id="2"/>
    <w:p>
      <w:pPr>
        <w:spacing w:after="0"/>
        <w:tabs>
          <w:tab w:leader="none" w:pos="538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302492103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3 of 15</w:t>
      </w:r>
    </w:p>
    <w:p>
      <w:pPr>
        <w:spacing w:after="0" w:line="171" w:lineRule="exact"/>
        <w:rPr>
          <w:sz w:val="20"/>
          <w:szCs w:val="20"/>
          <w:color w:val="auto"/>
        </w:rPr>
      </w:pPr>
    </w:p>
    <w:p>
      <w:pPr>
        <w:ind w:left="620" w:hanging="377"/>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220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BCIP Venture Associates</w:t>
      </w:r>
    </w:p>
    <w:p>
      <w:pPr>
        <w:spacing w:after="0" w:line="36" w:lineRule="exact"/>
        <w:rPr>
          <w:sz w:val="20"/>
          <w:szCs w:val="20"/>
          <w:color w:val="auto"/>
        </w:rPr>
      </w:pPr>
    </w:p>
    <w:p>
      <w:pPr>
        <w:ind w:left="620" w:hanging="377"/>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88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360" w:type="dxa"/>
            <w:vAlign w:val="bottom"/>
            <w:tcBorders>
              <w:bottom w:val="single" w:sz="8" w:color="auto"/>
            </w:tcBorders>
          </w:tcPr>
          <w:p>
            <w:pPr>
              <w:spacing w:after="0"/>
              <w:rPr>
                <w:sz w:val="21"/>
                <w:szCs w:val="21"/>
                <w:color w:val="auto"/>
              </w:rPr>
            </w:pPr>
          </w:p>
        </w:tc>
        <w:tc>
          <w:tcPr>
            <w:tcW w:w="94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 shares of Voting Common Stock</w:t>
            </w:r>
          </w:p>
        </w:tc>
        <w:tc>
          <w:tcPr>
            <w:tcW w:w="0" w:type="dxa"/>
            <w:vAlign w:val="bottom"/>
          </w:tcPr>
          <w:p>
            <w:pPr>
              <w:spacing w:after="0"/>
              <w:rPr>
                <w:sz w:val="1"/>
                <w:szCs w:val="1"/>
                <w:color w:val="auto"/>
              </w:rPr>
            </w:pPr>
          </w:p>
        </w:tc>
      </w:tr>
      <w:tr>
        <w:trPr>
          <w:trHeight w:val="236"/>
        </w:trPr>
        <w:tc>
          <w:tcPr>
            <w:tcW w:w="880" w:type="dxa"/>
            <w:vAlign w:val="bottom"/>
          </w:tcPr>
          <w:p>
            <w:pPr>
              <w:jc w:val="center"/>
              <w:spacing w:after="0"/>
              <w:rPr>
                <w:sz w:val="20"/>
                <w:szCs w:val="20"/>
                <w:color w:val="auto"/>
              </w:rPr>
            </w:pPr>
            <w:r>
              <w:rPr>
                <w:rFonts w:ascii="Arial" w:cs="Arial" w:eastAsia="Arial" w:hAnsi="Arial"/>
                <w:sz w:val="18"/>
                <w:szCs w:val="18"/>
                <w:color w:val="auto"/>
                <w:w w:val="81"/>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46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4"/>
              </w:rPr>
              <w:t>beneficially</w:t>
            </w:r>
          </w:p>
        </w:tc>
        <w:tc>
          <w:tcPr>
            <w:tcW w:w="360" w:type="dxa"/>
            <w:vAlign w:val="bottom"/>
          </w:tcPr>
          <w:p>
            <w:pPr>
              <w:spacing w:after="0"/>
              <w:rPr>
                <w:sz w:val="18"/>
                <w:szCs w:val="18"/>
                <w:color w:val="auto"/>
              </w:rPr>
            </w:pPr>
          </w:p>
        </w:tc>
        <w:tc>
          <w:tcPr>
            <w:tcW w:w="9460" w:type="dxa"/>
            <w:vAlign w:val="bottom"/>
            <w:vMerge w:val="restart"/>
          </w:tcPr>
          <w:p>
            <w:pPr>
              <w:ind w:left="160"/>
              <w:spacing w:after="0"/>
              <w:rPr>
                <w:sz w:val="20"/>
                <w:szCs w:val="20"/>
                <w:color w:val="auto"/>
              </w:rPr>
            </w:pPr>
            <w:r>
              <w:rPr>
                <w:rFonts w:ascii="Arial" w:cs="Arial" w:eastAsia="Arial" w:hAnsi="Arial"/>
                <w:sz w:val="18"/>
                <w:szCs w:val="18"/>
                <w:color w:val="auto"/>
              </w:rPr>
              <w:t>1,383,753 shares of Voting Common Stock</w:t>
            </w:r>
          </w:p>
        </w:tc>
        <w:tc>
          <w:tcPr>
            <w:tcW w:w="0" w:type="dxa"/>
            <w:vAlign w:val="bottom"/>
          </w:tcPr>
          <w:p>
            <w:pPr>
              <w:spacing w:after="0"/>
              <w:rPr>
                <w:sz w:val="1"/>
                <w:szCs w:val="1"/>
                <w:color w:val="auto"/>
              </w:rPr>
            </w:pPr>
          </w:p>
        </w:tc>
      </w:tr>
      <w:tr>
        <w:trPr>
          <w:trHeight w:val="230"/>
        </w:trPr>
        <w:tc>
          <w:tcPr>
            <w:tcW w:w="88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36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80" w:type="dxa"/>
            <w:vAlign w:val="bottom"/>
          </w:tcPr>
          <w:p>
            <w:pPr>
              <w:jc w:val="center"/>
              <w:spacing w:after="0" w:line="182" w:lineRule="exact"/>
              <w:rPr>
                <w:sz w:val="20"/>
                <w:szCs w:val="20"/>
                <w:color w:val="auto"/>
              </w:rPr>
            </w:pPr>
            <w:r>
              <w:rPr>
                <w:rFonts w:ascii="Arial" w:cs="Arial" w:eastAsia="Arial" w:hAnsi="Arial"/>
                <w:sz w:val="18"/>
                <w:szCs w:val="18"/>
                <w:color w:val="auto"/>
                <w:w w:val="81"/>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46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80" w:type="dxa"/>
            <w:vAlign w:val="bottom"/>
          </w:tcPr>
          <w:p>
            <w:pPr>
              <w:jc w:val="center"/>
              <w:spacing w:after="0"/>
              <w:rPr>
                <w:sz w:val="20"/>
                <w:szCs w:val="20"/>
                <w:color w:val="auto"/>
              </w:rPr>
            </w:pPr>
            <w:r>
              <w:rPr>
                <w:rFonts w:ascii="Arial" w:cs="Arial" w:eastAsia="Arial" w:hAnsi="Arial"/>
                <w:sz w:val="18"/>
                <w:szCs w:val="18"/>
                <w:color w:val="auto"/>
                <w:w w:val="87"/>
              </w:rPr>
              <w:t>person</w:t>
            </w:r>
          </w:p>
        </w:tc>
        <w:tc>
          <w:tcPr>
            <w:tcW w:w="360" w:type="dxa"/>
            <w:vAlign w:val="bottom"/>
          </w:tcPr>
          <w:p>
            <w:pPr>
              <w:spacing w:after="0"/>
              <w:rPr>
                <w:sz w:val="18"/>
                <w:szCs w:val="18"/>
                <w:color w:val="auto"/>
              </w:rPr>
            </w:pPr>
          </w:p>
        </w:tc>
        <w:tc>
          <w:tcPr>
            <w:tcW w:w="9460" w:type="dxa"/>
            <w:vAlign w:val="bottom"/>
          </w:tcPr>
          <w:p>
            <w:pPr>
              <w:ind w:left="160"/>
              <w:spacing w:after="0"/>
              <w:rPr>
                <w:sz w:val="20"/>
                <w:szCs w:val="20"/>
                <w:color w:val="auto"/>
              </w:rPr>
            </w:pPr>
            <w:r>
              <w:rPr>
                <w:rFonts w:ascii="Arial" w:cs="Arial" w:eastAsia="Arial" w:hAnsi="Arial"/>
                <w:sz w:val="18"/>
                <w:szCs w:val="18"/>
                <w:color w:val="auto"/>
              </w:rPr>
              <w:t>0 shares of Voting Common Stock</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8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4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1,383,753 shares of Voting Common Stock</w:t>
      </w:r>
    </w:p>
    <w:p>
      <w:pPr>
        <w:spacing w:after="0" w:line="36" w:lineRule="exact"/>
        <w:rPr>
          <w:sz w:val="20"/>
          <w:szCs w:val="20"/>
          <w:color w:val="auto"/>
        </w:rPr>
      </w:pPr>
    </w:p>
    <w:p>
      <w:pPr>
        <w:ind w:left="600" w:hanging="357"/>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1,383,753 shares of Voting Common Stock</w:t>
      </w:r>
    </w:p>
    <w:p>
      <w:pPr>
        <w:spacing w:after="0" w:line="36" w:lineRule="exact"/>
        <w:rPr>
          <w:sz w:val="20"/>
          <w:szCs w:val="20"/>
          <w:color w:val="auto"/>
        </w:rPr>
      </w:pPr>
    </w:p>
    <w:p>
      <w:pPr>
        <w:ind w:left="620" w:hanging="467"/>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6760" w:hanging="467"/>
        <w:spacing w:after="0" w:line="402"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 1.4%</w:t>
      </w:r>
    </w:p>
    <w:p>
      <w:pPr>
        <w:spacing w:after="0" w:line="1" w:lineRule="exact"/>
        <w:rPr>
          <w:rFonts w:ascii="Arial" w:cs="Arial" w:eastAsia="Arial" w:hAnsi="Arial"/>
          <w:sz w:val="18"/>
          <w:szCs w:val="18"/>
          <w:color w:val="auto"/>
        </w:rPr>
      </w:pPr>
    </w:p>
    <w:p>
      <w:pPr>
        <w:ind w:left="600" w:hanging="447"/>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1020"/>
          </w:cols>
          <w:pgMar w:left="440" w:top="395" w:right="439" w:bottom="1440" w:gutter="0" w:footer="0" w:header="0"/>
        </w:sectPr>
      </w:pPr>
    </w:p>
    <w:bookmarkStart w:id="3" w:name="page4"/>
    <w:bookmarkEnd w:id="3"/>
    <w:p>
      <w:pPr>
        <w:spacing w:after="0"/>
        <w:tabs>
          <w:tab w:leader="none" w:pos="538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302492103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4 of 15</w:t>
      </w:r>
    </w:p>
    <w:p>
      <w:pPr>
        <w:spacing w:after="0" w:line="171" w:lineRule="exact"/>
        <w:rPr>
          <w:sz w:val="20"/>
          <w:szCs w:val="20"/>
          <w:color w:val="auto"/>
        </w:rPr>
      </w:pPr>
    </w:p>
    <w:p>
      <w:pPr>
        <w:ind w:left="620" w:hanging="377"/>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22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Bain Capital Venture Fund 2016, L.P.</w:t>
      </w:r>
    </w:p>
    <w:p>
      <w:pPr>
        <w:spacing w:after="0" w:line="36" w:lineRule="exact"/>
        <w:rPr>
          <w:sz w:val="20"/>
          <w:szCs w:val="20"/>
          <w:color w:val="auto"/>
        </w:rPr>
      </w:pPr>
    </w:p>
    <w:p>
      <w:pPr>
        <w:ind w:left="620" w:hanging="377"/>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Cayman Islands</w:t>
      </w:r>
    </w:p>
    <w:p>
      <w:pPr>
        <w:spacing w:after="0" w:line="36"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88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360" w:type="dxa"/>
            <w:vAlign w:val="bottom"/>
            <w:tcBorders>
              <w:bottom w:val="single" w:sz="8" w:color="auto"/>
            </w:tcBorders>
          </w:tcPr>
          <w:p>
            <w:pPr>
              <w:spacing w:after="0"/>
              <w:rPr>
                <w:sz w:val="21"/>
                <w:szCs w:val="21"/>
                <w:color w:val="auto"/>
              </w:rPr>
            </w:pPr>
          </w:p>
        </w:tc>
        <w:tc>
          <w:tcPr>
            <w:tcW w:w="94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 shares of Voting Common Stock</w:t>
            </w:r>
          </w:p>
        </w:tc>
        <w:tc>
          <w:tcPr>
            <w:tcW w:w="0" w:type="dxa"/>
            <w:vAlign w:val="bottom"/>
          </w:tcPr>
          <w:p>
            <w:pPr>
              <w:spacing w:after="0"/>
              <w:rPr>
                <w:sz w:val="1"/>
                <w:szCs w:val="1"/>
                <w:color w:val="auto"/>
              </w:rPr>
            </w:pPr>
          </w:p>
        </w:tc>
      </w:tr>
      <w:tr>
        <w:trPr>
          <w:trHeight w:val="236"/>
        </w:trPr>
        <w:tc>
          <w:tcPr>
            <w:tcW w:w="880" w:type="dxa"/>
            <w:vAlign w:val="bottom"/>
          </w:tcPr>
          <w:p>
            <w:pPr>
              <w:jc w:val="center"/>
              <w:spacing w:after="0"/>
              <w:rPr>
                <w:sz w:val="20"/>
                <w:szCs w:val="20"/>
                <w:color w:val="auto"/>
              </w:rPr>
            </w:pPr>
            <w:r>
              <w:rPr>
                <w:rFonts w:ascii="Arial" w:cs="Arial" w:eastAsia="Arial" w:hAnsi="Arial"/>
                <w:sz w:val="18"/>
                <w:szCs w:val="18"/>
                <w:color w:val="auto"/>
                <w:w w:val="81"/>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46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4"/>
              </w:rPr>
              <w:t>beneficially</w:t>
            </w:r>
          </w:p>
        </w:tc>
        <w:tc>
          <w:tcPr>
            <w:tcW w:w="360" w:type="dxa"/>
            <w:vAlign w:val="bottom"/>
          </w:tcPr>
          <w:p>
            <w:pPr>
              <w:spacing w:after="0"/>
              <w:rPr>
                <w:sz w:val="18"/>
                <w:szCs w:val="18"/>
                <w:color w:val="auto"/>
              </w:rPr>
            </w:pPr>
          </w:p>
        </w:tc>
        <w:tc>
          <w:tcPr>
            <w:tcW w:w="9460" w:type="dxa"/>
            <w:vAlign w:val="bottom"/>
            <w:vMerge w:val="restart"/>
          </w:tcPr>
          <w:p>
            <w:pPr>
              <w:ind w:left="160"/>
              <w:spacing w:after="0"/>
              <w:rPr>
                <w:sz w:val="20"/>
                <w:szCs w:val="20"/>
                <w:color w:val="auto"/>
              </w:rPr>
            </w:pPr>
            <w:r>
              <w:rPr>
                <w:rFonts w:ascii="Arial" w:cs="Arial" w:eastAsia="Arial" w:hAnsi="Arial"/>
                <w:sz w:val="18"/>
                <w:szCs w:val="18"/>
                <w:color w:val="auto"/>
              </w:rPr>
              <w:t>904,821 shares of Voting Common Stock</w:t>
            </w:r>
          </w:p>
        </w:tc>
        <w:tc>
          <w:tcPr>
            <w:tcW w:w="0" w:type="dxa"/>
            <w:vAlign w:val="bottom"/>
          </w:tcPr>
          <w:p>
            <w:pPr>
              <w:spacing w:after="0"/>
              <w:rPr>
                <w:sz w:val="1"/>
                <w:szCs w:val="1"/>
                <w:color w:val="auto"/>
              </w:rPr>
            </w:pPr>
          </w:p>
        </w:tc>
      </w:tr>
      <w:tr>
        <w:trPr>
          <w:trHeight w:val="230"/>
        </w:trPr>
        <w:tc>
          <w:tcPr>
            <w:tcW w:w="88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36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80" w:type="dxa"/>
            <w:vAlign w:val="bottom"/>
          </w:tcPr>
          <w:p>
            <w:pPr>
              <w:jc w:val="center"/>
              <w:spacing w:after="0" w:line="182" w:lineRule="exact"/>
              <w:rPr>
                <w:sz w:val="20"/>
                <w:szCs w:val="20"/>
                <w:color w:val="auto"/>
              </w:rPr>
            </w:pPr>
            <w:r>
              <w:rPr>
                <w:rFonts w:ascii="Arial" w:cs="Arial" w:eastAsia="Arial" w:hAnsi="Arial"/>
                <w:sz w:val="18"/>
                <w:szCs w:val="18"/>
                <w:color w:val="auto"/>
                <w:w w:val="81"/>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46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80" w:type="dxa"/>
            <w:vAlign w:val="bottom"/>
          </w:tcPr>
          <w:p>
            <w:pPr>
              <w:jc w:val="center"/>
              <w:spacing w:after="0"/>
              <w:rPr>
                <w:sz w:val="20"/>
                <w:szCs w:val="20"/>
                <w:color w:val="auto"/>
              </w:rPr>
            </w:pPr>
            <w:r>
              <w:rPr>
                <w:rFonts w:ascii="Arial" w:cs="Arial" w:eastAsia="Arial" w:hAnsi="Arial"/>
                <w:sz w:val="18"/>
                <w:szCs w:val="18"/>
                <w:color w:val="auto"/>
                <w:w w:val="87"/>
              </w:rPr>
              <w:t>person</w:t>
            </w:r>
          </w:p>
        </w:tc>
        <w:tc>
          <w:tcPr>
            <w:tcW w:w="360" w:type="dxa"/>
            <w:vAlign w:val="bottom"/>
          </w:tcPr>
          <w:p>
            <w:pPr>
              <w:spacing w:after="0"/>
              <w:rPr>
                <w:sz w:val="18"/>
                <w:szCs w:val="18"/>
                <w:color w:val="auto"/>
              </w:rPr>
            </w:pPr>
          </w:p>
        </w:tc>
        <w:tc>
          <w:tcPr>
            <w:tcW w:w="9460" w:type="dxa"/>
            <w:vAlign w:val="bottom"/>
          </w:tcPr>
          <w:p>
            <w:pPr>
              <w:ind w:left="160"/>
              <w:spacing w:after="0"/>
              <w:rPr>
                <w:sz w:val="20"/>
                <w:szCs w:val="20"/>
                <w:color w:val="auto"/>
              </w:rPr>
            </w:pPr>
            <w:r>
              <w:rPr>
                <w:rFonts w:ascii="Arial" w:cs="Arial" w:eastAsia="Arial" w:hAnsi="Arial"/>
                <w:sz w:val="18"/>
                <w:szCs w:val="18"/>
                <w:color w:val="auto"/>
              </w:rPr>
              <w:t>0 shares of Voting Common Stock</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8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4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904,821 shares of Voting Common Stock</w:t>
      </w:r>
    </w:p>
    <w:p>
      <w:pPr>
        <w:spacing w:after="0" w:line="36" w:lineRule="exact"/>
        <w:rPr>
          <w:sz w:val="20"/>
          <w:szCs w:val="20"/>
          <w:color w:val="auto"/>
        </w:rPr>
      </w:pPr>
    </w:p>
    <w:p>
      <w:pPr>
        <w:ind w:left="600" w:hanging="357"/>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904,821 shares of Voting Common Stock</w:t>
      </w:r>
    </w:p>
    <w:p>
      <w:pPr>
        <w:spacing w:after="0" w:line="36" w:lineRule="exact"/>
        <w:rPr>
          <w:sz w:val="20"/>
          <w:szCs w:val="20"/>
          <w:color w:val="auto"/>
        </w:rPr>
      </w:pPr>
    </w:p>
    <w:p>
      <w:pPr>
        <w:ind w:left="620" w:hanging="467"/>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6760" w:hanging="467"/>
        <w:spacing w:after="0" w:line="402"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(9) 0.9%</w:t>
      </w:r>
    </w:p>
    <w:p>
      <w:pPr>
        <w:spacing w:after="0" w:line="1" w:lineRule="exact"/>
        <w:rPr>
          <w:rFonts w:ascii="Arial" w:cs="Arial" w:eastAsia="Arial" w:hAnsi="Arial"/>
          <w:sz w:val="18"/>
          <w:szCs w:val="18"/>
          <w:color w:val="auto"/>
        </w:rPr>
      </w:pPr>
    </w:p>
    <w:p>
      <w:pPr>
        <w:ind w:left="600" w:hanging="447"/>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1020"/>
          </w:cols>
          <w:pgMar w:left="440" w:top="395" w:right="439" w:bottom="1440" w:gutter="0" w:footer="0" w:header="0"/>
        </w:sectPr>
      </w:pPr>
    </w:p>
    <w:bookmarkStart w:id="4" w:name="page5"/>
    <w:bookmarkEnd w:id="4"/>
    <w:p>
      <w:pPr>
        <w:spacing w:after="0"/>
        <w:tabs>
          <w:tab w:leader="none" w:pos="538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302492103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5 of 15</w:t>
      </w:r>
    </w:p>
    <w:p>
      <w:pPr>
        <w:spacing w:after="0" w:line="171" w:lineRule="exact"/>
        <w:rPr>
          <w:sz w:val="20"/>
          <w:szCs w:val="20"/>
          <w:color w:val="auto"/>
        </w:rPr>
      </w:pPr>
    </w:p>
    <w:p>
      <w:pPr>
        <w:ind w:left="620" w:hanging="377"/>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220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Bain Capital Venture Coinvestment Fund II, L.P.</w:t>
      </w:r>
    </w:p>
    <w:p>
      <w:pPr>
        <w:spacing w:after="0" w:line="36" w:lineRule="exact"/>
        <w:rPr>
          <w:sz w:val="20"/>
          <w:szCs w:val="20"/>
          <w:color w:val="auto"/>
        </w:rPr>
      </w:pPr>
    </w:p>
    <w:p>
      <w:pPr>
        <w:ind w:left="620" w:hanging="377"/>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Cayman Islands</w:t>
      </w:r>
    </w:p>
    <w:p>
      <w:pPr>
        <w:spacing w:after="0" w:line="36"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88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360" w:type="dxa"/>
            <w:vAlign w:val="bottom"/>
            <w:tcBorders>
              <w:bottom w:val="single" w:sz="8" w:color="auto"/>
            </w:tcBorders>
          </w:tcPr>
          <w:p>
            <w:pPr>
              <w:spacing w:after="0"/>
              <w:rPr>
                <w:sz w:val="21"/>
                <w:szCs w:val="21"/>
                <w:color w:val="auto"/>
              </w:rPr>
            </w:pPr>
          </w:p>
        </w:tc>
        <w:tc>
          <w:tcPr>
            <w:tcW w:w="94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 shares of Voting Common Stock</w:t>
            </w:r>
          </w:p>
        </w:tc>
        <w:tc>
          <w:tcPr>
            <w:tcW w:w="0" w:type="dxa"/>
            <w:vAlign w:val="bottom"/>
          </w:tcPr>
          <w:p>
            <w:pPr>
              <w:spacing w:after="0"/>
              <w:rPr>
                <w:sz w:val="1"/>
                <w:szCs w:val="1"/>
                <w:color w:val="auto"/>
              </w:rPr>
            </w:pPr>
          </w:p>
        </w:tc>
      </w:tr>
      <w:tr>
        <w:trPr>
          <w:trHeight w:val="236"/>
        </w:trPr>
        <w:tc>
          <w:tcPr>
            <w:tcW w:w="880" w:type="dxa"/>
            <w:vAlign w:val="bottom"/>
          </w:tcPr>
          <w:p>
            <w:pPr>
              <w:jc w:val="center"/>
              <w:spacing w:after="0"/>
              <w:rPr>
                <w:sz w:val="20"/>
                <w:szCs w:val="20"/>
                <w:color w:val="auto"/>
              </w:rPr>
            </w:pPr>
            <w:r>
              <w:rPr>
                <w:rFonts w:ascii="Arial" w:cs="Arial" w:eastAsia="Arial" w:hAnsi="Arial"/>
                <w:sz w:val="18"/>
                <w:szCs w:val="18"/>
                <w:color w:val="auto"/>
                <w:w w:val="81"/>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46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4"/>
              </w:rPr>
              <w:t>beneficially</w:t>
            </w:r>
          </w:p>
        </w:tc>
        <w:tc>
          <w:tcPr>
            <w:tcW w:w="360" w:type="dxa"/>
            <w:vAlign w:val="bottom"/>
          </w:tcPr>
          <w:p>
            <w:pPr>
              <w:spacing w:after="0"/>
              <w:rPr>
                <w:sz w:val="18"/>
                <w:szCs w:val="18"/>
                <w:color w:val="auto"/>
              </w:rPr>
            </w:pPr>
          </w:p>
        </w:tc>
        <w:tc>
          <w:tcPr>
            <w:tcW w:w="9460" w:type="dxa"/>
            <w:vAlign w:val="bottom"/>
            <w:vMerge w:val="restart"/>
          </w:tcPr>
          <w:p>
            <w:pPr>
              <w:ind w:left="160"/>
              <w:spacing w:after="0"/>
              <w:rPr>
                <w:sz w:val="20"/>
                <w:szCs w:val="20"/>
                <w:color w:val="auto"/>
              </w:rPr>
            </w:pPr>
            <w:r>
              <w:rPr>
                <w:rFonts w:ascii="Arial" w:cs="Arial" w:eastAsia="Arial" w:hAnsi="Arial"/>
                <w:sz w:val="18"/>
                <w:szCs w:val="18"/>
                <w:color w:val="auto"/>
              </w:rPr>
              <w:t>423,600 shares of Voting Common Stock</w:t>
            </w:r>
          </w:p>
        </w:tc>
        <w:tc>
          <w:tcPr>
            <w:tcW w:w="0" w:type="dxa"/>
            <w:vAlign w:val="bottom"/>
          </w:tcPr>
          <w:p>
            <w:pPr>
              <w:spacing w:after="0"/>
              <w:rPr>
                <w:sz w:val="1"/>
                <w:szCs w:val="1"/>
                <w:color w:val="auto"/>
              </w:rPr>
            </w:pPr>
          </w:p>
        </w:tc>
      </w:tr>
      <w:tr>
        <w:trPr>
          <w:trHeight w:val="230"/>
        </w:trPr>
        <w:tc>
          <w:tcPr>
            <w:tcW w:w="88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36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80" w:type="dxa"/>
            <w:vAlign w:val="bottom"/>
          </w:tcPr>
          <w:p>
            <w:pPr>
              <w:jc w:val="center"/>
              <w:spacing w:after="0" w:line="182" w:lineRule="exact"/>
              <w:rPr>
                <w:sz w:val="20"/>
                <w:szCs w:val="20"/>
                <w:color w:val="auto"/>
              </w:rPr>
            </w:pPr>
            <w:r>
              <w:rPr>
                <w:rFonts w:ascii="Arial" w:cs="Arial" w:eastAsia="Arial" w:hAnsi="Arial"/>
                <w:sz w:val="18"/>
                <w:szCs w:val="18"/>
                <w:color w:val="auto"/>
                <w:w w:val="81"/>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46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80" w:type="dxa"/>
            <w:vAlign w:val="bottom"/>
          </w:tcPr>
          <w:p>
            <w:pPr>
              <w:jc w:val="center"/>
              <w:spacing w:after="0"/>
              <w:rPr>
                <w:sz w:val="20"/>
                <w:szCs w:val="20"/>
                <w:color w:val="auto"/>
              </w:rPr>
            </w:pPr>
            <w:r>
              <w:rPr>
                <w:rFonts w:ascii="Arial" w:cs="Arial" w:eastAsia="Arial" w:hAnsi="Arial"/>
                <w:sz w:val="18"/>
                <w:szCs w:val="18"/>
                <w:color w:val="auto"/>
                <w:w w:val="87"/>
              </w:rPr>
              <w:t>person</w:t>
            </w:r>
          </w:p>
        </w:tc>
        <w:tc>
          <w:tcPr>
            <w:tcW w:w="360" w:type="dxa"/>
            <w:vAlign w:val="bottom"/>
          </w:tcPr>
          <w:p>
            <w:pPr>
              <w:spacing w:after="0"/>
              <w:rPr>
                <w:sz w:val="18"/>
                <w:szCs w:val="18"/>
                <w:color w:val="auto"/>
              </w:rPr>
            </w:pPr>
          </w:p>
        </w:tc>
        <w:tc>
          <w:tcPr>
            <w:tcW w:w="9460" w:type="dxa"/>
            <w:vAlign w:val="bottom"/>
          </w:tcPr>
          <w:p>
            <w:pPr>
              <w:ind w:left="160"/>
              <w:spacing w:after="0"/>
              <w:rPr>
                <w:sz w:val="20"/>
                <w:szCs w:val="20"/>
                <w:color w:val="auto"/>
              </w:rPr>
            </w:pPr>
            <w:r>
              <w:rPr>
                <w:rFonts w:ascii="Arial" w:cs="Arial" w:eastAsia="Arial" w:hAnsi="Arial"/>
                <w:sz w:val="18"/>
                <w:szCs w:val="18"/>
                <w:color w:val="auto"/>
              </w:rPr>
              <w:t>0 shares of Voting Common Stock</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8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4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423,600 shares of Voting Common Stock</w:t>
      </w:r>
    </w:p>
    <w:p>
      <w:pPr>
        <w:spacing w:after="0" w:line="36" w:lineRule="exact"/>
        <w:rPr>
          <w:sz w:val="20"/>
          <w:szCs w:val="20"/>
          <w:color w:val="auto"/>
        </w:rPr>
      </w:pPr>
    </w:p>
    <w:p>
      <w:pPr>
        <w:ind w:left="600" w:hanging="357"/>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423,600 shares of Voting Common Stock</w:t>
      </w:r>
    </w:p>
    <w:p>
      <w:pPr>
        <w:spacing w:after="0" w:line="36" w:lineRule="exact"/>
        <w:rPr>
          <w:sz w:val="20"/>
          <w:szCs w:val="20"/>
          <w:color w:val="auto"/>
        </w:rPr>
      </w:pPr>
    </w:p>
    <w:p>
      <w:pPr>
        <w:ind w:left="620" w:hanging="467"/>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6760" w:hanging="467"/>
        <w:spacing w:after="0" w:line="402" w:lineRule="auto"/>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 of class represented by amount in Row (9) 0.4%</w:t>
      </w:r>
    </w:p>
    <w:p>
      <w:pPr>
        <w:spacing w:after="0" w:line="1" w:lineRule="exact"/>
        <w:rPr>
          <w:rFonts w:ascii="Arial" w:cs="Arial" w:eastAsia="Arial" w:hAnsi="Arial"/>
          <w:sz w:val="18"/>
          <w:szCs w:val="18"/>
          <w:color w:val="auto"/>
        </w:rPr>
      </w:pPr>
    </w:p>
    <w:p>
      <w:pPr>
        <w:ind w:left="600" w:hanging="447"/>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1020"/>
          </w:cols>
          <w:pgMar w:left="440" w:top="395" w:right="439" w:bottom="1440" w:gutter="0" w:footer="0" w:header="0"/>
        </w:sectPr>
      </w:pPr>
    </w:p>
    <w:bookmarkStart w:id="5" w:name="page6"/>
    <w:bookmarkEnd w:id="5"/>
    <w:p>
      <w:pPr>
        <w:spacing w:after="0"/>
        <w:tabs>
          <w:tab w:leader="none" w:pos="538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302492103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6 of 15</w:t>
      </w:r>
    </w:p>
    <w:p>
      <w:pPr>
        <w:spacing w:after="0" w:line="171" w:lineRule="exact"/>
        <w:rPr>
          <w:sz w:val="20"/>
          <w:szCs w:val="20"/>
          <w:color w:val="auto"/>
        </w:rPr>
      </w:pPr>
    </w:p>
    <w:p>
      <w:pPr>
        <w:ind w:left="620" w:hanging="377"/>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220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BCIP Venture Associates II, LP</w:t>
      </w:r>
    </w:p>
    <w:p>
      <w:pPr>
        <w:spacing w:after="0" w:line="36" w:lineRule="exact"/>
        <w:rPr>
          <w:sz w:val="20"/>
          <w:szCs w:val="20"/>
          <w:color w:val="auto"/>
        </w:rPr>
      </w:pPr>
    </w:p>
    <w:p>
      <w:pPr>
        <w:ind w:left="620" w:hanging="377"/>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88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360" w:type="dxa"/>
            <w:vAlign w:val="bottom"/>
            <w:tcBorders>
              <w:bottom w:val="single" w:sz="8" w:color="auto"/>
            </w:tcBorders>
          </w:tcPr>
          <w:p>
            <w:pPr>
              <w:spacing w:after="0"/>
              <w:rPr>
                <w:sz w:val="21"/>
                <w:szCs w:val="21"/>
                <w:color w:val="auto"/>
              </w:rPr>
            </w:pPr>
          </w:p>
        </w:tc>
        <w:tc>
          <w:tcPr>
            <w:tcW w:w="94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 shares of Voting Common Stock</w:t>
            </w:r>
          </w:p>
        </w:tc>
        <w:tc>
          <w:tcPr>
            <w:tcW w:w="0" w:type="dxa"/>
            <w:vAlign w:val="bottom"/>
          </w:tcPr>
          <w:p>
            <w:pPr>
              <w:spacing w:after="0"/>
              <w:rPr>
                <w:sz w:val="1"/>
                <w:szCs w:val="1"/>
                <w:color w:val="auto"/>
              </w:rPr>
            </w:pPr>
          </w:p>
        </w:tc>
      </w:tr>
      <w:tr>
        <w:trPr>
          <w:trHeight w:val="236"/>
        </w:trPr>
        <w:tc>
          <w:tcPr>
            <w:tcW w:w="880" w:type="dxa"/>
            <w:vAlign w:val="bottom"/>
          </w:tcPr>
          <w:p>
            <w:pPr>
              <w:jc w:val="center"/>
              <w:spacing w:after="0"/>
              <w:rPr>
                <w:sz w:val="20"/>
                <w:szCs w:val="20"/>
                <w:color w:val="auto"/>
              </w:rPr>
            </w:pPr>
            <w:r>
              <w:rPr>
                <w:rFonts w:ascii="Arial" w:cs="Arial" w:eastAsia="Arial" w:hAnsi="Arial"/>
                <w:sz w:val="18"/>
                <w:szCs w:val="18"/>
                <w:color w:val="auto"/>
                <w:w w:val="81"/>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46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4"/>
              </w:rPr>
              <w:t>beneficially</w:t>
            </w:r>
          </w:p>
        </w:tc>
        <w:tc>
          <w:tcPr>
            <w:tcW w:w="360" w:type="dxa"/>
            <w:vAlign w:val="bottom"/>
          </w:tcPr>
          <w:p>
            <w:pPr>
              <w:spacing w:after="0"/>
              <w:rPr>
                <w:sz w:val="18"/>
                <w:szCs w:val="18"/>
                <w:color w:val="auto"/>
              </w:rPr>
            </w:pPr>
          </w:p>
        </w:tc>
        <w:tc>
          <w:tcPr>
            <w:tcW w:w="9460" w:type="dxa"/>
            <w:vAlign w:val="bottom"/>
            <w:vMerge w:val="restart"/>
          </w:tcPr>
          <w:p>
            <w:pPr>
              <w:ind w:left="160"/>
              <w:spacing w:after="0"/>
              <w:rPr>
                <w:sz w:val="20"/>
                <w:szCs w:val="20"/>
                <w:color w:val="auto"/>
              </w:rPr>
            </w:pPr>
            <w:r>
              <w:rPr>
                <w:rFonts w:ascii="Arial" w:cs="Arial" w:eastAsia="Arial" w:hAnsi="Arial"/>
                <w:sz w:val="18"/>
                <w:szCs w:val="18"/>
                <w:color w:val="auto"/>
              </w:rPr>
              <w:t>134,475 shares of Voting Common Stock</w:t>
            </w:r>
          </w:p>
        </w:tc>
        <w:tc>
          <w:tcPr>
            <w:tcW w:w="0" w:type="dxa"/>
            <w:vAlign w:val="bottom"/>
          </w:tcPr>
          <w:p>
            <w:pPr>
              <w:spacing w:after="0"/>
              <w:rPr>
                <w:sz w:val="1"/>
                <w:szCs w:val="1"/>
                <w:color w:val="auto"/>
              </w:rPr>
            </w:pPr>
          </w:p>
        </w:tc>
      </w:tr>
      <w:tr>
        <w:trPr>
          <w:trHeight w:val="230"/>
        </w:trPr>
        <w:tc>
          <w:tcPr>
            <w:tcW w:w="88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36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80" w:type="dxa"/>
            <w:vAlign w:val="bottom"/>
          </w:tcPr>
          <w:p>
            <w:pPr>
              <w:jc w:val="center"/>
              <w:spacing w:after="0" w:line="182" w:lineRule="exact"/>
              <w:rPr>
                <w:sz w:val="20"/>
                <w:szCs w:val="20"/>
                <w:color w:val="auto"/>
              </w:rPr>
            </w:pPr>
            <w:r>
              <w:rPr>
                <w:rFonts w:ascii="Arial" w:cs="Arial" w:eastAsia="Arial" w:hAnsi="Arial"/>
                <w:sz w:val="18"/>
                <w:szCs w:val="18"/>
                <w:color w:val="auto"/>
                <w:w w:val="81"/>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46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80" w:type="dxa"/>
            <w:vAlign w:val="bottom"/>
          </w:tcPr>
          <w:p>
            <w:pPr>
              <w:jc w:val="center"/>
              <w:spacing w:after="0"/>
              <w:rPr>
                <w:sz w:val="20"/>
                <w:szCs w:val="20"/>
                <w:color w:val="auto"/>
              </w:rPr>
            </w:pPr>
            <w:r>
              <w:rPr>
                <w:rFonts w:ascii="Arial" w:cs="Arial" w:eastAsia="Arial" w:hAnsi="Arial"/>
                <w:sz w:val="18"/>
                <w:szCs w:val="18"/>
                <w:color w:val="auto"/>
                <w:w w:val="87"/>
              </w:rPr>
              <w:t>person</w:t>
            </w:r>
          </w:p>
        </w:tc>
        <w:tc>
          <w:tcPr>
            <w:tcW w:w="360" w:type="dxa"/>
            <w:vAlign w:val="bottom"/>
          </w:tcPr>
          <w:p>
            <w:pPr>
              <w:spacing w:after="0"/>
              <w:rPr>
                <w:sz w:val="18"/>
                <w:szCs w:val="18"/>
                <w:color w:val="auto"/>
              </w:rPr>
            </w:pPr>
          </w:p>
        </w:tc>
        <w:tc>
          <w:tcPr>
            <w:tcW w:w="9460" w:type="dxa"/>
            <w:vAlign w:val="bottom"/>
          </w:tcPr>
          <w:p>
            <w:pPr>
              <w:ind w:left="160"/>
              <w:spacing w:after="0"/>
              <w:rPr>
                <w:sz w:val="20"/>
                <w:szCs w:val="20"/>
                <w:color w:val="auto"/>
              </w:rPr>
            </w:pPr>
            <w:r>
              <w:rPr>
                <w:rFonts w:ascii="Arial" w:cs="Arial" w:eastAsia="Arial" w:hAnsi="Arial"/>
                <w:sz w:val="18"/>
                <w:szCs w:val="18"/>
                <w:color w:val="auto"/>
              </w:rPr>
              <w:t>0 shares of Voting Common Stock</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8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4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134,475 shares of Voting Common Stock</w:t>
      </w:r>
    </w:p>
    <w:p>
      <w:pPr>
        <w:spacing w:after="0" w:line="36" w:lineRule="exact"/>
        <w:rPr>
          <w:sz w:val="20"/>
          <w:szCs w:val="20"/>
          <w:color w:val="auto"/>
        </w:rPr>
      </w:pPr>
    </w:p>
    <w:p>
      <w:pPr>
        <w:ind w:left="600" w:hanging="357"/>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134,475 shares of Voting Common Stock</w:t>
      </w:r>
    </w:p>
    <w:p>
      <w:pPr>
        <w:spacing w:after="0" w:line="36" w:lineRule="exact"/>
        <w:rPr>
          <w:sz w:val="20"/>
          <w:szCs w:val="20"/>
          <w:color w:val="auto"/>
        </w:rPr>
      </w:pPr>
    </w:p>
    <w:p>
      <w:pPr>
        <w:ind w:left="620" w:hanging="467"/>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6760" w:hanging="467"/>
        <w:spacing w:after="0" w:line="402"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Percent of class represented by amount in Row (9) 0.1%</w:t>
      </w:r>
    </w:p>
    <w:p>
      <w:pPr>
        <w:spacing w:after="0" w:line="1" w:lineRule="exact"/>
        <w:rPr>
          <w:rFonts w:ascii="Arial" w:cs="Arial" w:eastAsia="Arial" w:hAnsi="Arial"/>
          <w:sz w:val="18"/>
          <w:szCs w:val="18"/>
          <w:color w:val="auto"/>
        </w:rPr>
      </w:pPr>
    </w:p>
    <w:p>
      <w:pPr>
        <w:ind w:left="600" w:hanging="447"/>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1020"/>
          </w:cols>
          <w:pgMar w:left="440" w:top="395" w:right="439" w:bottom="1440" w:gutter="0" w:footer="0" w:header="0"/>
        </w:sectPr>
      </w:pPr>
    </w:p>
    <w:bookmarkStart w:id="6" w:name="page7"/>
    <w:bookmarkEnd w:id="6"/>
    <w:p>
      <w:pPr>
        <w:spacing w:after="0"/>
        <w:tabs>
          <w:tab w:leader="none" w:pos="538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302492103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7 of 15</w:t>
      </w:r>
    </w:p>
    <w:p>
      <w:pPr>
        <w:spacing w:after="0" w:line="171" w:lineRule="exact"/>
        <w:rPr>
          <w:sz w:val="20"/>
          <w:szCs w:val="20"/>
          <w:color w:val="auto"/>
        </w:rPr>
      </w:pPr>
    </w:p>
    <w:p>
      <w:pPr>
        <w:ind w:left="620" w:hanging="377"/>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220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BCIP Venture Associates-B</w:t>
      </w:r>
    </w:p>
    <w:p>
      <w:pPr>
        <w:spacing w:after="0" w:line="36" w:lineRule="exact"/>
        <w:rPr>
          <w:sz w:val="20"/>
          <w:szCs w:val="20"/>
          <w:color w:val="auto"/>
        </w:rPr>
      </w:pPr>
    </w:p>
    <w:p>
      <w:pPr>
        <w:ind w:left="620" w:hanging="377"/>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88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360" w:type="dxa"/>
            <w:vAlign w:val="bottom"/>
            <w:tcBorders>
              <w:bottom w:val="single" w:sz="8" w:color="auto"/>
            </w:tcBorders>
          </w:tcPr>
          <w:p>
            <w:pPr>
              <w:spacing w:after="0"/>
              <w:rPr>
                <w:sz w:val="21"/>
                <w:szCs w:val="21"/>
                <w:color w:val="auto"/>
              </w:rPr>
            </w:pPr>
          </w:p>
        </w:tc>
        <w:tc>
          <w:tcPr>
            <w:tcW w:w="94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 shares of Voting Common Stock</w:t>
            </w:r>
          </w:p>
        </w:tc>
        <w:tc>
          <w:tcPr>
            <w:tcW w:w="0" w:type="dxa"/>
            <w:vAlign w:val="bottom"/>
          </w:tcPr>
          <w:p>
            <w:pPr>
              <w:spacing w:after="0"/>
              <w:rPr>
                <w:sz w:val="1"/>
                <w:szCs w:val="1"/>
                <w:color w:val="auto"/>
              </w:rPr>
            </w:pPr>
          </w:p>
        </w:tc>
      </w:tr>
      <w:tr>
        <w:trPr>
          <w:trHeight w:val="236"/>
        </w:trPr>
        <w:tc>
          <w:tcPr>
            <w:tcW w:w="880" w:type="dxa"/>
            <w:vAlign w:val="bottom"/>
          </w:tcPr>
          <w:p>
            <w:pPr>
              <w:jc w:val="center"/>
              <w:spacing w:after="0"/>
              <w:rPr>
                <w:sz w:val="20"/>
                <w:szCs w:val="20"/>
                <w:color w:val="auto"/>
              </w:rPr>
            </w:pPr>
            <w:r>
              <w:rPr>
                <w:rFonts w:ascii="Arial" w:cs="Arial" w:eastAsia="Arial" w:hAnsi="Arial"/>
                <w:sz w:val="18"/>
                <w:szCs w:val="18"/>
                <w:color w:val="auto"/>
                <w:w w:val="81"/>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46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4"/>
              </w:rPr>
              <w:t>beneficially</w:t>
            </w:r>
          </w:p>
        </w:tc>
        <w:tc>
          <w:tcPr>
            <w:tcW w:w="360" w:type="dxa"/>
            <w:vAlign w:val="bottom"/>
          </w:tcPr>
          <w:p>
            <w:pPr>
              <w:spacing w:after="0"/>
              <w:rPr>
                <w:sz w:val="18"/>
                <w:szCs w:val="18"/>
                <w:color w:val="auto"/>
              </w:rPr>
            </w:pPr>
          </w:p>
        </w:tc>
        <w:tc>
          <w:tcPr>
            <w:tcW w:w="9460" w:type="dxa"/>
            <w:vAlign w:val="bottom"/>
            <w:vMerge w:val="restart"/>
          </w:tcPr>
          <w:p>
            <w:pPr>
              <w:ind w:left="160"/>
              <w:spacing w:after="0"/>
              <w:rPr>
                <w:sz w:val="20"/>
                <w:szCs w:val="20"/>
                <w:color w:val="auto"/>
              </w:rPr>
            </w:pPr>
            <w:r>
              <w:rPr>
                <w:rFonts w:ascii="Arial" w:cs="Arial" w:eastAsia="Arial" w:hAnsi="Arial"/>
                <w:sz w:val="18"/>
                <w:szCs w:val="18"/>
                <w:color w:val="auto"/>
              </w:rPr>
              <w:t>93,096 shares of Voting Common Stock</w:t>
            </w:r>
          </w:p>
        </w:tc>
        <w:tc>
          <w:tcPr>
            <w:tcW w:w="0" w:type="dxa"/>
            <w:vAlign w:val="bottom"/>
          </w:tcPr>
          <w:p>
            <w:pPr>
              <w:spacing w:after="0"/>
              <w:rPr>
                <w:sz w:val="1"/>
                <w:szCs w:val="1"/>
                <w:color w:val="auto"/>
              </w:rPr>
            </w:pPr>
          </w:p>
        </w:tc>
      </w:tr>
      <w:tr>
        <w:trPr>
          <w:trHeight w:val="230"/>
        </w:trPr>
        <w:tc>
          <w:tcPr>
            <w:tcW w:w="88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36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80" w:type="dxa"/>
            <w:vAlign w:val="bottom"/>
          </w:tcPr>
          <w:p>
            <w:pPr>
              <w:jc w:val="center"/>
              <w:spacing w:after="0" w:line="182" w:lineRule="exact"/>
              <w:rPr>
                <w:sz w:val="20"/>
                <w:szCs w:val="20"/>
                <w:color w:val="auto"/>
              </w:rPr>
            </w:pPr>
            <w:r>
              <w:rPr>
                <w:rFonts w:ascii="Arial" w:cs="Arial" w:eastAsia="Arial" w:hAnsi="Arial"/>
                <w:sz w:val="18"/>
                <w:szCs w:val="18"/>
                <w:color w:val="auto"/>
                <w:w w:val="81"/>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46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80" w:type="dxa"/>
            <w:vAlign w:val="bottom"/>
          </w:tcPr>
          <w:p>
            <w:pPr>
              <w:jc w:val="center"/>
              <w:spacing w:after="0"/>
              <w:rPr>
                <w:sz w:val="20"/>
                <w:szCs w:val="20"/>
                <w:color w:val="auto"/>
              </w:rPr>
            </w:pPr>
            <w:r>
              <w:rPr>
                <w:rFonts w:ascii="Arial" w:cs="Arial" w:eastAsia="Arial" w:hAnsi="Arial"/>
                <w:sz w:val="18"/>
                <w:szCs w:val="18"/>
                <w:color w:val="auto"/>
                <w:w w:val="87"/>
              </w:rPr>
              <w:t>person</w:t>
            </w:r>
          </w:p>
        </w:tc>
        <w:tc>
          <w:tcPr>
            <w:tcW w:w="360" w:type="dxa"/>
            <w:vAlign w:val="bottom"/>
          </w:tcPr>
          <w:p>
            <w:pPr>
              <w:spacing w:after="0"/>
              <w:rPr>
                <w:sz w:val="18"/>
                <w:szCs w:val="18"/>
                <w:color w:val="auto"/>
              </w:rPr>
            </w:pPr>
          </w:p>
        </w:tc>
        <w:tc>
          <w:tcPr>
            <w:tcW w:w="9460" w:type="dxa"/>
            <w:vAlign w:val="bottom"/>
          </w:tcPr>
          <w:p>
            <w:pPr>
              <w:ind w:left="160"/>
              <w:spacing w:after="0"/>
              <w:rPr>
                <w:sz w:val="20"/>
                <w:szCs w:val="20"/>
                <w:color w:val="auto"/>
              </w:rPr>
            </w:pPr>
            <w:r>
              <w:rPr>
                <w:rFonts w:ascii="Arial" w:cs="Arial" w:eastAsia="Arial" w:hAnsi="Arial"/>
                <w:sz w:val="18"/>
                <w:szCs w:val="18"/>
                <w:color w:val="auto"/>
              </w:rPr>
              <w:t>0 shares of Voting Common Stock</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8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4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93,096 shares of Voting Common Stock</w:t>
      </w:r>
    </w:p>
    <w:p>
      <w:pPr>
        <w:spacing w:after="0" w:line="36" w:lineRule="exact"/>
        <w:rPr>
          <w:sz w:val="20"/>
          <w:szCs w:val="20"/>
          <w:color w:val="auto"/>
        </w:rPr>
      </w:pPr>
    </w:p>
    <w:p>
      <w:pPr>
        <w:ind w:left="600" w:hanging="357"/>
        <w:spacing w:after="0"/>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93,096 shares of Voting Common Stock</w:t>
      </w:r>
    </w:p>
    <w:p>
      <w:pPr>
        <w:spacing w:after="0" w:line="36" w:lineRule="exact"/>
        <w:rPr>
          <w:sz w:val="20"/>
          <w:szCs w:val="20"/>
          <w:color w:val="auto"/>
        </w:rPr>
      </w:pPr>
    </w:p>
    <w:p>
      <w:pPr>
        <w:ind w:left="620" w:hanging="467"/>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6760" w:hanging="467"/>
        <w:spacing w:after="0" w:line="402" w:lineRule="auto"/>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Percent of class represented by amount in Row (9) Less than 0.1%</w:t>
      </w:r>
    </w:p>
    <w:p>
      <w:pPr>
        <w:spacing w:after="0" w:line="1" w:lineRule="exact"/>
        <w:rPr>
          <w:rFonts w:ascii="Arial" w:cs="Arial" w:eastAsia="Arial" w:hAnsi="Arial"/>
          <w:sz w:val="18"/>
          <w:szCs w:val="18"/>
          <w:color w:val="auto"/>
        </w:rPr>
      </w:pPr>
    </w:p>
    <w:p>
      <w:pPr>
        <w:ind w:left="600" w:hanging="447"/>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1020"/>
          </w:cols>
          <w:pgMar w:left="440" w:top="395" w:right="439" w:bottom="1440" w:gutter="0" w:footer="0" w:header="0"/>
        </w:sectPr>
      </w:pPr>
    </w:p>
    <w:bookmarkStart w:id="7" w:name="page8"/>
    <w:bookmarkEnd w:id="7"/>
    <w:p>
      <w:pPr>
        <w:spacing w:after="0"/>
        <w:tabs>
          <w:tab w:leader="none" w:pos="538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302492103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8 of 15</w:t>
      </w:r>
    </w:p>
    <w:p>
      <w:pPr>
        <w:spacing w:after="0" w:line="171" w:lineRule="exact"/>
        <w:rPr>
          <w:sz w:val="20"/>
          <w:szCs w:val="20"/>
          <w:color w:val="auto"/>
        </w:rPr>
      </w:pPr>
    </w:p>
    <w:p>
      <w:pPr>
        <w:ind w:left="620" w:hanging="377"/>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220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BCV 2019-MD Coinvestment II, L.P.</w:t>
      </w:r>
    </w:p>
    <w:p>
      <w:pPr>
        <w:spacing w:after="0" w:line="36" w:lineRule="exact"/>
        <w:rPr>
          <w:sz w:val="20"/>
          <w:szCs w:val="20"/>
          <w:color w:val="auto"/>
        </w:rPr>
      </w:pPr>
    </w:p>
    <w:p>
      <w:pPr>
        <w:ind w:left="620" w:hanging="377"/>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Cayman Islands</w:t>
      </w:r>
    </w:p>
    <w:p>
      <w:pPr>
        <w:spacing w:after="0" w:line="36"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88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360" w:type="dxa"/>
            <w:vAlign w:val="bottom"/>
            <w:tcBorders>
              <w:bottom w:val="single" w:sz="8" w:color="auto"/>
            </w:tcBorders>
          </w:tcPr>
          <w:p>
            <w:pPr>
              <w:spacing w:after="0"/>
              <w:rPr>
                <w:sz w:val="21"/>
                <w:szCs w:val="21"/>
                <w:color w:val="auto"/>
              </w:rPr>
            </w:pPr>
          </w:p>
        </w:tc>
        <w:tc>
          <w:tcPr>
            <w:tcW w:w="94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 shares of Voting Common Stock</w:t>
            </w:r>
          </w:p>
        </w:tc>
        <w:tc>
          <w:tcPr>
            <w:tcW w:w="0" w:type="dxa"/>
            <w:vAlign w:val="bottom"/>
          </w:tcPr>
          <w:p>
            <w:pPr>
              <w:spacing w:after="0"/>
              <w:rPr>
                <w:sz w:val="1"/>
                <w:szCs w:val="1"/>
                <w:color w:val="auto"/>
              </w:rPr>
            </w:pPr>
          </w:p>
        </w:tc>
      </w:tr>
      <w:tr>
        <w:trPr>
          <w:trHeight w:val="236"/>
        </w:trPr>
        <w:tc>
          <w:tcPr>
            <w:tcW w:w="880" w:type="dxa"/>
            <w:vAlign w:val="bottom"/>
          </w:tcPr>
          <w:p>
            <w:pPr>
              <w:jc w:val="center"/>
              <w:spacing w:after="0"/>
              <w:rPr>
                <w:sz w:val="20"/>
                <w:szCs w:val="20"/>
                <w:color w:val="auto"/>
              </w:rPr>
            </w:pPr>
            <w:r>
              <w:rPr>
                <w:rFonts w:ascii="Arial" w:cs="Arial" w:eastAsia="Arial" w:hAnsi="Arial"/>
                <w:sz w:val="18"/>
                <w:szCs w:val="18"/>
                <w:color w:val="auto"/>
                <w:w w:val="81"/>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46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4"/>
              </w:rPr>
              <w:t>beneficially</w:t>
            </w:r>
          </w:p>
        </w:tc>
        <w:tc>
          <w:tcPr>
            <w:tcW w:w="360" w:type="dxa"/>
            <w:vAlign w:val="bottom"/>
          </w:tcPr>
          <w:p>
            <w:pPr>
              <w:spacing w:after="0"/>
              <w:rPr>
                <w:sz w:val="18"/>
                <w:szCs w:val="18"/>
                <w:color w:val="auto"/>
              </w:rPr>
            </w:pPr>
          </w:p>
        </w:tc>
        <w:tc>
          <w:tcPr>
            <w:tcW w:w="9460" w:type="dxa"/>
            <w:vAlign w:val="bottom"/>
            <w:vMerge w:val="restart"/>
          </w:tcPr>
          <w:p>
            <w:pPr>
              <w:ind w:left="160"/>
              <w:spacing w:after="0"/>
              <w:rPr>
                <w:sz w:val="20"/>
                <w:szCs w:val="20"/>
                <w:color w:val="auto"/>
              </w:rPr>
            </w:pPr>
            <w:r>
              <w:rPr>
                <w:rFonts w:ascii="Arial" w:cs="Arial" w:eastAsia="Arial" w:hAnsi="Arial"/>
                <w:sz w:val="18"/>
                <w:szCs w:val="18"/>
                <w:color w:val="auto"/>
              </w:rPr>
              <w:t>16,944 shares of Voting Common Stock</w:t>
            </w:r>
          </w:p>
        </w:tc>
        <w:tc>
          <w:tcPr>
            <w:tcW w:w="0" w:type="dxa"/>
            <w:vAlign w:val="bottom"/>
          </w:tcPr>
          <w:p>
            <w:pPr>
              <w:spacing w:after="0"/>
              <w:rPr>
                <w:sz w:val="1"/>
                <w:szCs w:val="1"/>
                <w:color w:val="auto"/>
              </w:rPr>
            </w:pPr>
          </w:p>
        </w:tc>
      </w:tr>
      <w:tr>
        <w:trPr>
          <w:trHeight w:val="230"/>
        </w:trPr>
        <w:tc>
          <w:tcPr>
            <w:tcW w:w="88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36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80" w:type="dxa"/>
            <w:vAlign w:val="bottom"/>
          </w:tcPr>
          <w:p>
            <w:pPr>
              <w:jc w:val="center"/>
              <w:spacing w:after="0" w:line="182" w:lineRule="exact"/>
              <w:rPr>
                <w:sz w:val="20"/>
                <w:szCs w:val="20"/>
                <w:color w:val="auto"/>
              </w:rPr>
            </w:pPr>
            <w:r>
              <w:rPr>
                <w:rFonts w:ascii="Arial" w:cs="Arial" w:eastAsia="Arial" w:hAnsi="Arial"/>
                <w:sz w:val="18"/>
                <w:szCs w:val="18"/>
                <w:color w:val="auto"/>
                <w:w w:val="81"/>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46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80" w:type="dxa"/>
            <w:vAlign w:val="bottom"/>
          </w:tcPr>
          <w:p>
            <w:pPr>
              <w:jc w:val="center"/>
              <w:spacing w:after="0"/>
              <w:rPr>
                <w:sz w:val="20"/>
                <w:szCs w:val="20"/>
                <w:color w:val="auto"/>
              </w:rPr>
            </w:pPr>
            <w:r>
              <w:rPr>
                <w:rFonts w:ascii="Arial" w:cs="Arial" w:eastAsia="Arial" w:hAnsi="Arial"/>
                <w:sz w:val="18"/>
                <w:szCs w:val="18"/>
                <w:color w:val="auto"/>
                <w:w w:val="87"/>
              </w:rPr>
              <w:t>person</w:t>
            </w:r>
          </w:p>
        </w:tc>
        <w:tc>
          <w:tcPr>
            <w:tcW w:w="360" w:type="dxa"/>
            <w:vAlign w:val="bottom"/>
          </w:tcPr>
          <w:p>
            <w:pPr>
              <w:spacing w:after="0"/>
              <w:rPr>
                <w:sz w:val="18"/>
                <w:szCs w:val="18"/>
                <w:color w:val="auto"/>
              </w:rPr>
            </w:pPr>
          </w:p>
        </w:tc>
        <w:tc>
          <w:tcPr>
            <w:tcW w:w="9460" w:type="dxa"/>
            <w:vAlign w:val="bottom"/>
          </w:tcPr>
          <w:p>
            <w:pPr>
              <w:ind w:left="160"/>
              <w:spacing w:after="0"/>
              <w:rPr>
                <w:sz w:val="20"/>
                <w:szCs w:val="20"/>
                <w:color w:val="auto"/>
              </w:rPr>
            </w:pPr>
            <w:r>
              <w:rPr>
                <w:rFonts w:ascii="Arial" w:cs="Arial" w:eastAsia="Arial" w:hAnsi="Arial"/>
                <w:sz w:val="18"/>
                <w:szCs w:val="18"/>
                <w:color w:val="auto"/>
              </w:rPr>
              <w:t>0 shares of Voting Common Stock</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8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4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16,944 shares of Voting Common Stock</w:t>
      </w:r>
    </w:p>
    <w:p>
      <w:pPr>
        <w:spacing w:after="0" w:line="36" w:lineRule="exact"/>
        <w:rPr>
          <w:sz w:val="20"/>
          <w:szCs w:val="20"/>
          <w:color w:val="auto"/>
        </w:rPr>
      </w:pPr>
    </w:p>
    <w:p>
      <w:pPr>
        <w:ind w:left="600" w:hanging="357"/>
        <w:spacing w:after="0"/>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16,944 shares of Voting Common Stock</w:t>
      </w:r>
    </w:p>
    <w:p>
      <w:pPr>
        <w:spacing w:after="0" w:line="36" w:lineRule="exact"/>
        <w:rPr>
          <w:sz w:val="20"/>
          <w:szCs w:val="20"/>
          <w:color w:val="auto"/>
        </w:rPr>
      </w:pPr>
    </w:p>
    <w:p>
      <w:pPr>
        <w:ind w:left="620" w:hanging="467"/>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6760" w:hanging="467"/>
        <w:spacing w:after="0" w:line="402" w:lineRule="auto"/>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Percent of class represented by amount in Row (9) Less than 0.1%</w:t>
      </w:r>
    </w:p>
    <w:p>
      <w:pPr>
        <w:spacing w:after="0" w:line="1" w:lineRule="exact"/>
        <w:rPr>
          <w:rFonts w:ascii="Arial" w:cs="Arial" w:eastAsia="Arial" w:hAnsi="Arial"/>
          <w:sz w:val="18"/>
          <w:szCs w:val="18"/>
          <w:color w:val="auto"/>
        </w:rPr>
      </w:pPr>
    </w:p>
    <w:p>
      <w:pPr>
        <w:ind w:left="600" w:hanging="447"/>
        <w:spacing w:after="0"/>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1020"/>
          </w:cols>
          <w:pgMar w:left="440" w:top="395" w:right="439" w:bottom="1440" w:gutter="0" w:footer="0" w:header="0"/>
        </w:sectPr>
      </w:pPr>
    </w:p>
    <w:bookmarkStart w:id="8" w:name="page9"/>
    <w:bookmarkEnd w:id="8"/>
    <w:p>
      <w:pPr>
        <w:spacing w:after="0"/>
        <w:tabs>
          <w:tab w:leader="none" w:pos="538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302492103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9 of 15</w:t>
      </w:r>
    </w:p>
    <w:p>
      <w:pPr>
        <w:spacing w:after="0" w:line="171" w:lineRule="exact"/>
        <w:rPr>
          <w:sz w:val="20"/>
          <w:szCs w:val="20"/>
          <w:color w:val="auto"/>
        </w:rPr>
      </w:pPr>
    </w:p>
    <w:p>
      <w:pPr>
        <w:ind w:left="620" w:hanging="377"/>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220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BCIP Venture Associates II-B, LP</w:t>
      </w:r>
    </w:p>
    <w:p>
      <w:pPr>
        <w:spacing w:after="0" w:line="36" w:lineRule="exact"/>
        <w:rPr>
          <w:sz w:val="20"/>
          <w:szCs w:val="20"/>
          <w:color w:val="auto"/>
        </w:rPr>
      </w:pPr>
    </w:p>
    <w:p>
      <w:pPr>
        <w:ind w:left="620" w:hanging="377"/>
        <w:spacing w:after="0"/>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88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360" w:type="dxa"/>
            <w:vAlign w:val="bottom"/>
            <w:tcBorders>
              <w:bottom w:val="single" w:sz="8" w:color="auto"/>
            </w:tcBorders>
          </w:tcPr>
          <w:p>
            <w:pPr>
              <w:spacing w:after="0"/>
              <w:rPr>
                <w:sz w:val="21"/>
                <w:szCs w:val="21"/>
                <w:color w:val="auto"/>
              </w:rPr>
            </w:pPr>
          </w:p>
        </w:tc>
        <w:tc>
          <w:tcPr>
            <w:tcW w:w="94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 shares of Voting Common Stock</w:t>
            </w:r>
          </w:p>
        </w:tc>
        <w:tc>
          <w:tcPr>
            <w:tcW w:w="0" w:type="dxa"/>
            <w:vAlign w:val="bottom"/>
          </w:tcPr>
          <w:p>
            <w:pPr>
              <w:spacing w:after="0"/>
              <w:rPr>
                <w:sz w:val="1"/>
                <w:szCs w:val="1"/>
                <w:color w:val="auto"/>
              </w:rPr>
            </w:pPr>
          </w:p>
        </w:tc>
      </w:tr>
      <w:tr>
        <w:trPr>
          <w:trHeight w:val="236"/>
        </w:trPr>
        <w:tc>
          <w:tcPr>
            <w:tcW w:w="880" w:type="dxa"/>
            <w:vAlign w:val="bottom"/>
          </w:tcPr>
          <w:p>
            <w:pPr>
              <w:jc w:val="center"/>
              <w:spacing w:after="0"/>
              <w:rPr>
                <w:sz w:val="20"/>
                <w:szCs w:val="20"/>
                <w:color w:val="auto"/>
              </w:rPr>
            </w:pPr>
            <w:r>
              <w:rPr>
                <w:rFonts w:ascii="Arial" w:cs="Arial" w:eastAsia="Arial" w:hAnsi="Arial"/>
                <w:sz w:val="18"/>
                <w:szCs w:val="18"/>
                <w:color w:val="auto"/>
                <w:w w:val="81"/>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46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4"/>
              </w:rPr>
              <w:t>beneficially</w:t>
            </w:r>
          </w:p>
        </w:tc>
        <w:tc>
          <w:tcPr>
            <w:tcW w:w="360" w:type="dxa"/>
            <w:vAlign w:val="bottom"/>
          </w:tcPr>
          <w:p>
            <w:pPr>
              <w:spacing w:after="0"/>
              <w:rPr>
                <w:sz w:val="18"/>
                <w:szCs w:val="18"/>
                <w:color w:val="auto"/>
              </w:rPr>
            </w:pPr>
          </w:p>
        </w:tc>
        <w:tc>
          <w:tcPr>
            <w:tcW w:w="9460" w:type="dxa"/>
            <w:vAlign w:val="bottom"/>
            <w:vMerge w:val="restart"/>
          </w:tcPr>
          <w:p>
            <w:pPr>
              <w:ind w:left="160"/>
              <w:spacing w:after="0"/>
              <w:rPr>
                <w:sz w:val="20"/>
                <w:szCs w:val="20"/>
                <w:color w:val="auto"/>
              </w:rPr>
            </w:pPr>
            <w:r>
              <w:rPr>
                <w:rFonts w:ascii="Arial" w:cs="Arial" w:eastAsia="Arial" w:hAnsi="Arial"/>
                <w:sz w:val="18"/>
                <w:szCs w:val="18"/>
                <w:color w:val="auto"/>
              </w:rPr>
              <w:t>10,140 shares of Voting Common Stock</w:t>
            </w:r>
          </w:p>
        </w:tc>
        <w:tc>
          <w:tcPr>
            <w:tcW w:w="0" w:type="dxa"/>
            <w:vAlign w:val="bottom"/>
          </w:tcPr>
          <w:p>
            <w:pPr>
              <w:spacing w:after="0"/>
              <w:rPr>
                <w:sz w:val="1"/>
                <w:szCs w:val="1"/>
                <w:color w:val="auto"/>
              </w:rPr>
            </w:pPr>
          </w:p>
        </w:tc>
      </w:tr>
      <w:tr>
        <w:trPr>
          <w:trHeight w:val="230"/>
        </w:trPr>
        <w:tc>
          <w:tcPr>
            <w:tcW w:w="88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36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80" w:type="dxa"/>
            <w:vAlign w:val="bottom"/>
          </w:tcPr>
          <w:p>
            <w:pPr>
              <w:jc w:val="center"/>
              <w:spacing w:after="0" w:line="182" w:lineRule="exact"/>
              <w:rPr>
                <w:sz w:val="20"/>
                <w:szCs w:val="20"/>
                <w:color w:val="auto"/>
              </w:rPr>
            </w:pPr>
            <w:r>
              <w:rPr>
                <w:rFonts w:ascii="Arial" w:cs="Arial" w:eastAsia="Arial" w:hAnsi="Arial"/>
                <w:sz w:val="18"/>
                <w:szCs w:val="18"/>
                <w:color w:val="auto"/>
                <w:w w:val="81"/>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46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80" w:type="dxa"/>
            <w:vAlign w:val="bottom"/>
          </w:tcPr>
          <w:p>
            <w:pPr>
              <w:jc w:val="center"/>
              <w:spacing w:after="0"/>
              <w:rPr>
                <w:sz w:val="20"/>
                <w:szCs w:val="20"/>
                <w:color w:val="auto"/>
              </w:rPr>
            </w:pPr>
            <w:r>
              <w:rPr>
                <w:rFonts w:ascii="Arial" w:cs="Arial" w:eastAsia="Arial" w:hAnsi="Arial"/>
                <w:sz w:val="18"/>
                <w:szCs w:val="18"/>
                <w:color w:val="auto"/>
                <w:w w:val="87"/>
              </w:rPr>
              <w:t>person</w:t>
            </w:r>
          </w:p>
        </w:tc>
        <w:tc>
          <w:tcPr>
            <w:tcW w:w="360" w:type="dxa"/>
            <w:vAlign w:val="bottom"/>
          </w:tcPr>
          <w:p>
            <w:pPr>
              <w:spacing w:after="0"/>
              <w:rPr>
                <w:sz w:val="18"/>
                <w:szCs w:val="18"/>
                <w:color w:val="auto"/>
              </w:rPr>
            </w:pPr>
          </w:p>
        </w:tc>
        <w:tc>
          <w:tcPr>
            <w:tcW w:w="9460" w:type="dxa"/>
            <w:vAlign w:val="bottom"/>
          </w:tcPr>
          <w:p>
            <w:pPr>
              <w:ind w:left="160"/>
              <w:spacing w:after="0"/>
              <w:rPr>
                <w:sz w:val="20"/>
                <w:szCs w:val="20"/>
                <w:color w:val="auto"/>
              </w:rPr>
            </w:pPr>
            <w:r>
              <w:rPr>
                <w:rFonts w:ascii="Arial" w:cs="Arial" w:eastAsia="Arial" w:hAnsi="Arial"/>
                <w:sz w:val="18"/>
                <w:szCs w:val="18"/>
                <w:color w:val="auto"/>
              </w:rPr>
              <w:t>0 shares of Voting Common Stock</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8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4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10,140 shares of Voting Common Stock</w:t>
      </w:r>
    </w:p>
    <w:p>
      <w:pPr>
        <w:spacing w:after="0" w:line="36" w:lineRule="exact"/>
        <w:rPr>
          <w:sz w:val="20"/>
          <w:szCs w:val="20"/>
          <w:color w:val="auto"/>
        </w:rPr>
      </w:pPr>
    </w:p>
    <w:p>
      <w:pPr>
        <w:ind w:left="600" w:hanging="357"/>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10,140 shares of Voting Common Stock</w:t>
      </w:r>
    </w:p>
    <w:p>
      <w:pPr>
        <w:spacing w:after="0" w:line="36" w:lineRule="exact"/>
        <w:rPr>
          <w:sz w:val="20"/>
          <w:szCs w:val="20"/>
          <w:color w:val="auto"/>
        </w:rPr>
      </w:pPr>
    </w:p>
    <w:p>
      <w:pPr>
        <w:ind w:left="620" w:hanging="467"/>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6760" w:hanging="467"/>
        <w:spacing w:after="0" w:line="402" w:lineRule="auto"/>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Percent of class represented by amount in Row (9) Less than 0.1%</w:t>
      </w:r>
    </w:p>
    <w:p>
      <w:pPr>
        <w:spacing w:after="0" w:line="1" w:lineRule="exact"/>
        <w:rPr>
          <w:rFonts w:ascii="Arial" w:cs="Arial" w:eastAsia="Arial" w:hAnsi="Arial"/>
          <w:sz w:val="18"/>
          <w:szCs w:val="18"/>
          <w:color w:val="auto"/>
        </w:rPr>
      </w:pPr>
    </w:p>
    <w:p>
      <w:pPr>
        <w:ind w:left="600" w:hanging="447"/>
        <w:spacing w:after="0"/>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1020"/>
          </w:cols>
          <w:pgMar w:left="440" w:top="395" w:right="439" w:bottom="1440" w:gutter="0" w:footer="0" w:header="0"/>
        </w:sectPr>
      </w:pPr>
    </w:p>
    <w:bookmarkStart w:id="9" w:name="page10"/>
    <w:bookmarkEnd w:id="9"/>
    <w:p>
      <w:pPr>
        <w:spacing w:after="0"/>
        <w:tabs>
          <w:tab w:leader="none" w:pos="5380" w:val="left"/>
          <w:tab w:leader="none" w:pos="10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302492103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10 of 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issuer to which this filing on Schedule 13G relates is Flywire Corporation (the “Issuer”).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principal executive offices of the Issuer are located at 141 Tremont Street #10, Boston, Massachusetts 02111.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This Schedule 13G is being filed jointly by Bain Capital Venture Fund 2014, L.P., a Cayman Islands exempted limited partnership (“BCV Fund 2014”), BCIP Venture Associates, a Delaware limited partnership (“BCIP Venture”), Bain Capital Venture Fund 2016, L.P., a Cayman Islands exempted limited partnership (“BCV Fund 2016”), Bain Capital Venture Coinvestment Fund II, L.P., a Cayman Islands exempted limited partnership (“BCV Coinvest Fund II”), BCIP Venture Associates II, LP, a Delaware limited partnership (“BCIP Venture II”), BCIP Venture Associates-B, a Delaware limited partnership (“BCIP Venture-B”), BCV 2019-MD Coinvestment II, L.P., a Cayman Islands exempted limited partnership (“BCV 2019-MD Coinvest II”), and BCIP Venture Associates II-B, LP, a Delaware limited partnership (“BCIP Venture II-B” and, together with BCV Fund 2014, BCIP Venture, BCV Fund 2016, BCV Coinvest Fund II, BCIP Venture II, BCIP Venture-B and BCV 2019-MD Coinvest II, the “Reporting Persons”).</w:t>
      </w:r>
    </w:p>
    <w:p>
      <w:pPr>
        <w:spacing w:after="0" w:line="166"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Bain Capital Venture Investors, LLC, a Delaware limited liability company (“BCVI”), is the (i) general partner of Bain Capital Venture Partners 2014, L.P., a Cayman Islands exempted limited partnership (“BCV Partners 2014”), which is the general partner of BCV Fund 2014, (ii) general partner of Bain Capital Venture Partners 2016, L.P., a Cayman Islands exempted limited partnership (“BCV Partners 2016”), which is the general partner of BCV Fund 2016 and (iii) the manager of Bain Capital Venture Coinvestment II Investors, LLC, a Cayman Islands limited liability company (“BCV Coinvest II Investors”), which is the general partner of each of BCV Coinvest Fund II and BCV 2019-MD Coinvest II.</w:t>
      </w:r>
    </w:p>
    <w:p>
      <w:pPr>
        <w:spacing w:after="0" w:line="17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Boylston Coinvestors, LLC, a Delaware limited liability company (“Boylston”), is the (i) managing partner of each of BCIP Venture and BCIP Venture-B and (ii) general partner of each of BCIP Venture II and BCIP Venture II-B.</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governance, investment strategy and decision-making process with respect to the investments held by the Reporting Persons is directed by the Executive Committee of BCVI, which consists of Enrique Salem and Ajay Agarwal.</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a result, each of BCVI and Messrs. Salem and Agarwal may be deemed to share voting and dispositive power with respect to the securities held by the Reporting Persons.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Reporting Persons have entered into a Joint Filing Agreement, dated February 14, 2022, pursuant to which the Reporting Persons have agreed to file this Schedule 13G jointly in accordance with the provisions of Rule 13d-1(k)(1) promulgated under the 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principal business address of each of the Reporting Persons, BCVI, BCV Partners 2014, BCV Partners 2016, BCV Coinvest II Investors, Boylston and Messrs. Salem and Agarwal is 200 Clarendon Street, Boston, Massachusetts 02116.</w:t>
      </w:r>
    </w:p>
    <w:p>
      <w:pPr>
        <w:sectPr>
          <w:pgSz w:w="11900" w:h="16838" w:orient="portrait"/>
          <w:cols w:equalWidth="0" w:num="1">
            <w:col w:w="11020"/>
          </w:cols>
          <w:pgMar w:left="440" w:top="395" w:right="439" w:bottom="1440" w:gutter="0" w:footer="0" w:header="0"/>
        </w:sectPr>
      </w:pPr>
    </w:p>
    <w:bookmarkStart w:id="10" w:name="page11"/>
    <w:bookmarkEnd w:id="10"/>
    <w:p>
      <w:pPr>
        <w:spacing w:after="0"/>
        <w:tabs>
          <w:tab w:leader="none" w:pos="5380" w:val="left"/>
          <w:tab w:leader="none" w:pos="10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302492103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11 of 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121"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BCV Fund 2014, BCV Fund 2016, BCV Coinvest Fund II, BCV 2019-MD Coinvest II, BCV Partners 2014, BCV Partners 2016 and BCV Coinvest II Investors are each organized under the laws of the Cayman Islands. BCVI, Boylston, BCIP Venture, BCIP Venture-B, BCIP Venture II and BCIP Venture II-B are each organized under the laws of the State of Delaware. Messrs. Salem and Agarwal are citizens of the United States.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12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class of securities of the Issuer to which this Schedule 13G relates is Voting Common Stock, $0.0001 par value per share (“Voting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CUSIP number of the Voting Common Stock is 302492103.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 240.13d-1(b), or 240.13d-2(b) or (c), check whether the person filing is a</w:t>
      </w:r>
    </w:p>
    <w:p>
      <w:pPr>
        <w:spacing w:after="0" w:line="223" w:lineRule="exact"/>
        <w:rPr>
          <w:sz w:val="20"/>
          <w:szCs w:val="20"/>
          <w:color w:val="auto"/>
        </w:rPr>
      </w:pPr>
    </w:p>
    <w:p>
      <w:pPr>
        <w:ind w:left="560" w:hanging="341"/>
        <w:spacing w:after="0" w:line="207" w:lineRule="exact"/>
        <w:tabs>
          <w:tab w:leader="none" w:pos="560" w:val="left"/>
        </w:tabs>
        <w:numPr>
          <w:ilvl w:val="0"/>
          <w:numId w:val="5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57" w:lineRule="exact"/>
        <w:rPr>
          <w:rFonts w:ascii="Arial" w:cs="Arial" w:eastAsia="Arial" w:hAnsi="Arial"/>
          <w:sz w:val="18"/>
          <w:szCs w:val="18"/>
          <w:color w:val="auto"/>
        </w:rPr>
      </w:pPr>
    </w:p>
    <w:p>
      <w:pPr>
        <w:ind w:left="560" w:hanging="341"/>
        <w:spacing w:after="0" w:line="207" w:lineRule="exact"/>
        <w:tabs>
          <w:tab w:leader="none" w:pos="560" w:val="left"/>
        </w:tabs>
        <w:numPr>
          <w:ilvl w:val="0"/>
          <w:numId w:val="5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9" w:lineRule="exact"/>
        <w:rPr>
          <w:rFonts w:ascii="Arial" w:cs="Arial" w:eastAsia="Arial" w:hAnsi="Arial"/>
          <w:sz w:val="18"/>
          <w:szCs w:val="18"/>
          <w:color w:val="auto"/>
        </w:rPr>
      </w:pPr>
    </w:p>
    <w:p>
      <w:pPr>
        <w:ind w:left="560" w:hanging="341"/>
        <w:spacing w:after="0" w:line="207" w:lineRule="exact"/>
        <w:tabs>
          <w:tab w:leader="none" w:pos="560" w:val="left"/>
        </w:tabs>
        <w:numPr>
          <w:ilvl w:val="0"/>
          <w:numId w:val="5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9" w:lineRule="exact"/>
        <w:rPr>
          <w:rFonts w:ascii="Arial" w:cs="Arial" w:eastAsia="Arial" w:hAnsi="Arial"/>
          <w:sz w:val="18"/>
          <w:szCs w:val="18"/>
          <w:color w:val="auto"/>
        </w:rPr>
      </w:pPr>
    </w:p>
    <w:p>
      <w:pPr>
        <w:ind w:left="560" w:hanging="341"/>
        <w:spacing w:after="0" w:line="207" w:lineRule="exact"/>
        <w:tabs>
          <w:tab w:leader="none" w:pos="560" w:val="left"/>
        </w:tabs>
        <w:numPr>
          <w:ilvl w:val="0"/>
          <w:numId w:val="5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9" w:lineRule="exact"/>
        <w:rPr>
          <w:rFonts w:ascii="Arial" w:cs="Arial" w:eastAsia="Arial" w:hAnsi="Arial"/>
          <w:sz w:val="18"/>
          <w:szCs w:val="18"/>
          <w:color w:val="auto"/>
        </w:rPr>
      </w:pPr>
    </w:p>
    <w:p>
      <w:pPr>
        <w:ind w:left="560" w:hanging="341"/>
        <w:spacing w:after="0" w:line="207" w:lineRule="exact"/>
        <w:tabs>
          <w:tab w:leader="none" w:pos="560" w:val="left"/>
        </w:tabs>
        <w:numPr>
          <w:ilvl w:val="0"/>
          <w:numId w:val="5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9" w:lineRule="exact"/>
        <w:rPr>
          <w:rFonts w:ascii="Arial" w:cs="Arial" w:eastAsia="Arial" w:hAnsi="Arial"/>
          <w:sz w:val="18"/>
          <w:szCs w:val="18"/>
          <w:color w:val="auto"/>
        </w:rPr>
      </w:pPr>
    </w:p>
    <w:p>
      <w:pPr>
        <w:ind w:left="560" w:hanging="341"/>
        <w:spacing w:after="0" w:line="207" w:lineRule="exact"/>
        <w:tabs>
          <w:tab w:leader="none" w:pos="560" w:val="left"/>
        </w:tabs>
        <w:numPr>
          <w:ilvl w:val="0"/>
          <w:numId w:val="5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9" w:lineRule="exact"/>
        <w:rPr>
          <w:rFonts w:ascii="Arial" w:cs="Arial" w:eastAsia="Arial" w:hAnsi="Arial"/>
          <w:sz w:val="18"/>
          <w:szCs w:val="18"/>
          <w:color w:val="auto"/>
        </w:rPr>
      </w:pPr>
    </w:p>
    <w:p>
      <w:pPr>
        <w:ind w:left="560" w:hanging="341"/>
        <w:spacing w:after="0" w:line="207" w:lineRule="exact"/>
        <w:tabs>
          <w:tab w:leader="none" w:pos="560" w:val="left"/>
        </w:tabs>
        <w:numPr>
          <w:ilvl w:val="0"/>
          <w:numId w:val="5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9" w:lineRule="exact"/>
        <w:rPr>
          <w:rFonts w:ascii="Arial" w:cs="Arial" w:eastAsia="Arial" w:hAnsi="Arial"/>
          <w:sz w:val="18"/>
          <w:szCs w:val="18"/>
          <w:color w:val="auto"/>
        </w:rPr>
      </w:pPr>
    </w:p>
    <w:p>
      <w:pPr>
        <w:ind w:left="560" w:hanging="341"/>
        <w:spacing w:after="0" w:line="207" w:lineRule="exact"/>
        <w:tabs>
          <w:tab w:leader="none" w:pos="560" w:val="left"/>
        </w:tabs>
        <w:numPr>
          <w:ilvl w:val="0"/>
          <w:numId w:val="5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860" w:right="340" w:hanging="641"/>
        <w:spacing w:after="0" w:line="215" w:lineRule="exact"/>
        <w:tabs>
          <w:tab w:leader="none" w:pos="563" w:val="left"/>
        </w:tabs>
        <w:numPr>
          <w:ilvl w:val="0"/>
          <w:numId w:val="5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(15 U.S.C. 80a-3);</w:t>
      </w:r>
    </w:p>
    <w:p>
      <w:pPr>
        <w:ind w:left="560" w:hanging="341"/>
        <w:spacing w:after="0" w:line="207" w:lineRule="exact"/>
        <w:tabs>
          <w:tab w:leader="none" w:pos="560" w:val="left"/>
        </w:tabs>
        <w:numPr>
          <w:ilvl w:val="0"/>
          <w:numId w:val="5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10" w:lineRule="exact"/>
        <w:rPr>
          <w:rFonts w:ascii="Arial" w:cs="Arial" w:eastAsia="Arial" w:hAnsi="Arial"/>
          <w:sz w:val="18"/>
          <w:szCs w:val="18"/>
          <w:color w:val="auto"/>
        </w:rPr>
      </w:pPr>
    </w:p>
    <w:p>
      <w:pPr>
        <w:ind w:left="560" w:hanging="341"/>
        <w:spacing w:after="0" w:line="207" w:lineRule="exact"/>
        <w:tabs>
          <w:tab w:leader="none" w:pos="560" w:val="left"/>
        </w:tabs>
        <w:numPr>
          <w:ilvl w:val="0"/>
          <w:numId w:val="5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If filing as a non-U.S. institution in accordance with § 240.13d-1(b)(1)(ii)(J), please specify the type of institution.</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Amount beneficially owned:</w:t>
      </w:r>
    </w:p>
    <w:p>
      <w:pPr>
        <w:spacing w:after="0" w:line="121"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As of the close of business on December 31, 2021, (i) BCV Fund 2014 held 13,573,035 shares of Voting Common Stock, representing approximately 13.8% of the outstanding shares of Voting Common Stock, (ii) BCIP Venture held 1,383,753 shares of Voting Common Stock, representing approximately 1.4% of the outstanding shares of Voting Common Stock, (iii) BCV Fund 2016 held 904,821 shares of Voting Common Stock, representing approximately 0.9% of the outstanding shares of Voting Common Stock, (iv) BCV Coinvest Fund II held 423,600 shares of Voting Common Stock, representing approximately 0.4% of the outstanding shares of Voting Common Stock, (v) BCIP Venture II held 134,475 shares of Voting Common Stock, representing approximately 0.1% of the outstanding shares of Voting Common Stock, (vi) BCIP</w:t>
      </w:r>
    </w:p>
    <w:p>
      <w:pPr>
        <w:sectPr>
          <w:pgSz w:w="11900" w:h="16838" w:orient="portrait"/>
          <w:cols w:equalWidth="0" w:num="1">
            <w:col w:w="11020"/>
          </w:cols>
          <w:pgMar w:left="440" w:top="395" w:right="439" w:bottom="1440" w:gutter="0" w:footer="0" w:header="0"/>
        </w:sectPr>
      </w:pPr>
    </w:p>
    <w:bookmarkStart w:id="11" w:name="page12"/>
    <w:bookmarkEnd w:id="11"/>
    <w:p>
      <w:pPr>
        <w:ind w:left="4"/>
        <w:spacing w:after="0"/>
        <w:tabs>
          <w:tab w:leader="none" w:pos="5384" w:val="left"/>
          <w:tab w:leader="none" w:pos="100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302492103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12 of 15</w:t>
      </w:r>
    </w:p>
    <w:p>
      <w:pPr>
        <w:spacing w:after="0" w:line="158" w:lineRule="exact"/>
        <w:rPr>
          <w:sz w:val="20"/>
          <w:szCs w:val="20"/>
          <w:color w:val="auto"/>
        </w:rPr>
      </w:pPr>
    </w:p>
    <w:p>
      <w:pPr>
        <w:ind w:left="4" w:right="100"/>
        <w:spacing w:after="0" w:line="311" w:lineRule="auto"/>
        <w:rPr>
          <w:sz w:val="20"/>
          <w:szCs w:val="20"/>
          <w:color w:val="auto"/>
        </w:rPr>
      </w:pPr>
      <w:r>
        <w:rPr>
          <w:rFonts w:ascii="Arial" w:cs="Arial" w:eastAsia="Arial" w:hAnsi="Arial"/>
          <w:sz w:val="16"/>
          <w:szCs w:val="16"/>
          <w:color w:val="auto"/>
        </w:rPr>
        <w:t>Venture-B held 93,096 shares of Voting Common Stock, representing less than 0.1% of the outstanding shares of Voting Common Stock, (vii) BCV 2019-MD Coinvest II held 16,944 shares of Voting Common Stock, representing less than 0.1% of the outstanding shares of Voting Common Stock and (viii) BCIP Venture II-B held 10,140 shares of Voting Common Stock, representing less than 0.1% of the outstanding shares of Voting Common Stock.</w:t>
      </w:r>
    </w:p>
    <w:p>
      <w:pPr>
        <w:spacing w:after="0" w:line="149" w:lineRule="exact"/>
        <w:rPr>
          <w:sz w:val="20"/>
          <w:szCs w:val="20"/>
          <w:color w:val="auto"/>
        </w:rPr>
      </w:pPr>
    </w:p>
    <w:p>
      <w:pPr>
        <w:ind w:left="4" w:right="300"/>
        <w:spacing w:after="0" w:line="263" w:lineRule="auto"/>
        <w:rPr>
          <w:sz w:val="20"/>
          <w:szCs w:val="20"/>
          <w:color w:val="auto"/>
        </w:rPr>
      </w:pPr>
      <w:r>
        <w:rPr>
          <w:rFonts w:ascii="Arial" w:cs="Arial" w:eastAsia="Arial" w:hAnsi="Arial"/>
          <w:sz w:val="18"/>
          <w:szCs w:val="18"/>
          <w:color w:val="auto"/>
        </w:rPr>
        <w:t>As a result of the foregoing and the relationships described in Item 2(a) of this Schedule 13G, the Reporting Persons may be deemed to collectively beneficially own an aggregate of 16,539,864 shares of Voting Common Stock, representing approximately 16.8% of the outstanding shares of Voting Common Stock.</w:t>
      </w:r>
    </w:p>
    <w:p>
      <w:pPr>
        <w:spacing w:after="0" w:line="184" w:lineRule="exact"/>
        <w:rPr>
          <w:sz w:val="20"/>
          <w:szCs w:val="20"/>
          <w:color w:val="auto"/>
        </w:rPr>
      </w:pPr>
    </w:p>
    <w:p>
      <w:pPr>
        <w:ind w:left="4" w:right="420"/>
        <w:spacing w:after="0" w:line="263" w:lineRule="auto"/>
        <w:rPr>
          <w:sz w:val="20"/>
          <w:szCs w:val="20"/>
          <w:color w:val="auto"/>
        </w:rPr>
      </w:pPr>
      <w:r>
        <w:rPr>
          <w:rFonts w:ascii="Arial" w:cs="Arial" w:eastAsia="Arial" w:hAnsi="Arial"/>
          <w:sz w:val="18"/>
          <w:szCs w:val="18"/>
          <w:color w:val="auto"/>
        </w:rPr>
        <w:t>The percentage of the outstanding shares of Common Stock held by the Reporting Persons is based on 98,693,094 shares of Voting Common Stock issued and outstanding, as reported by the Issuer in its Quarterly Report on Form 10-Q filed with the Securities and Exchange Commission on November 12, 2021.</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 Percent of class: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Item 4(a) hereof.</w:t>
      </w:r>
    </w:p>
    <w:p>
      <w:pPr>
        <w:spacing w:after="0" w:line="32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(c) Number of shares as to which the person has:</w:t>
            </w: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(i) Sole power to vote or to direct the vote:</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0</w:t>
            </w:r>
          </w:p>
        </w:tc>
        <w:tc>
          <w:tcPr>
            <w:tcW w:w="43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(ii) Shared power to vote or direct the vote:</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760" w:type="dxa"/>
            <w:vAlign w:val="bottom"/>
            <w:vMerge w:val="restart"/>
          </w:tcPr>
          <w:p>
            <w:pPr>
              <w:spacing w:after="0"/>
              <w:rPr>
                <w:sz w:val="10"/>
                <w:szCs w:val="10"/>
                <w:color w:val="auto"/>
              </w:rPr>
            </w:pPr>
          </w:p>
        </w:tc>
        <w:tc>
          <w:tcPr>
            <w:tcW w:w="43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BCV Fund 2014</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13,573,035</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BCIP Venture</w:t>
            </w:r>
          </w:p>
        </w:tc>
        <w:tc>
          <w:tcPr>
            <w:tcW w:w="3180" w:type="dxa"/>
            <w:vAlign w:val="bottom"/>
          </w:tcPr>
          <w:p>
            <w:pPr>
              <w:jc w:val="right"/>
              <w:spacing w:after="0"/>
              <w:rPr>
                <w:sz w:val="20"/>
                <w:szCs w:val="20"/>
                <w:color w:val="auto"/>
              </w:rPr>
            </w:pPr>
            <w:r>
              <w:rPr>
                <w:rFonts w:ascii="Arial" w:cs="Arial" w:eastAsia="Arial" w:hAnsi="Arial"/>
                <w:sz w:val="18"/>
                <w:szCs w:val="18"/>
                <w:color w:val="auto"/>
              </w:rPr>
              <w:t>1,383,753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BCV Fund 2016</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904,821</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BCV Coinvest Fund II</w:t>
            </w:r>
          </w:p>
        </w:tc>
        <w:tc>
          <w:tcPr>
            <w:tcW w:w="3180" w:type="dxa"/>
            <w:vAlign w:val="bottom"/>
          </w:tcPr>
          <w:p>
            <w:pPr>
              <w:jc w:val="right"/>
              <w:spacing w:after="0"/>
              <w:rPr>
                <w:sz w:val="20"/>
                <w:szCs w:val="20"/>
                <w:color w:val="auto"/>
              </w:rPr>
            </w:pPr>
            <w:r>
              <w:rPr>
                <w:rFonts w:ascii="Arial" w:cs="Arial" w:eastAsia="Arial" w:hAnsi="Arial"/>
                <w:sz w:val="18"/>
                <w:szCs w:val="18"/>
                <w:color w:val="auto"/>
              </w:rPr>
              <w:t>423,600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BCIP Venture II</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134,475</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BCIP Venture-B</w:t>
            </w:r>
          </w:p>
        </w:tc>
        <w:tc>
          <w:tcPr>
            <w:tcW w:w="3180" w:type="dxa"/>
            <w:vAlign w:val="bottom"/>
          </w:tcPr>
          <w:p>
            <w:pPr>
              <w:jc w:val="right"/>
              <w:spacing w:after="0"/>
              <w:rPr>
                <w:sz w:val="20"/>
                <w:szCs w:val="20"/>
                <w:color w:val="auto"/>
              </w:rPr>
            </w:pPr>
            <w:r>
              <w:rPr>
                <w:rFonts w:ascii="Arial" w:cs="Arial" w:eastAsia="Arial" w:hAnsi="Arial"/>
                <w:sz w:val="18"/>
                <w:szCs w:val="18"/>
                <w:color w:val="auto"/>
              </w:rPr>
              <w:t>93,096</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BCV 2019-MD Coinvest II</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16,944</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BCIP Venture II-B</w:t>
            </w:r>
          </w:p>
        </w:tc>
        <w:tc>
          <w:tcPr>
            <w:tcW w:w="3180" w:type="dxa"/>
            <w:vAlign w:val="bottom"/>
          </w:tcPr>
          <w:p>
            <w:pPr>
              <w:jc w:val="right"/>
              <w:spacing w:after="0"/>
              <w:rPr>
                <w:sz w:val="20"/>
                <w:szCs w:val="20"/>
                <w:color w:val="auto"/>
              </w:rPr>
            </w:pPr>
            <w:r>
              <w:rPr>
                <w:rFonts w:ascii="Arial" w:cs="Arial" w:eastAsia="Arial" w:hAnsi="Arial"/>
                <w:sz w:val="18"/>
                <w:szCs w:val="18"/>
                <w:color w:val="auto"/>
              </w:rPr>
              <w:t>10,140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4" w:hanging="324"/>
        <w:spacing w:after="0"/>
        <w:tabs>
          <w:tab w:leader="none" w:pos="3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17"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45"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BCV Fund 2014</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13,573,035</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BCIP Venture</w:t>
            </w:r>
          </w:p>
        </w:tc>
        <w:tc>
          <w:tcPr>
            <w:tcW w:w="3180" w:type="dxa"/>
            <w:vAlign w:val="bottom"/>
          </w:tcPr>
          <w:p>
            <w:pPr>
              <w:jc w:val="right"/>
              <w:spacing w:after="0"/>
              <w:rPr>
                <w:sz w:val="20"/>
                <w:szCs w:val="20"/>
                <w:color w:val="auto"/>
              </w:rPr>
            </w:pPr>
            <w:r>
              <w:rPr>
                <w:rFonts w:ascii="Arial" w:cs="Arial" w:eastAsia="Arial" w:hAnsi="Arial"/>
                <w:sz w:val="18"/>
                <w:szCs w:val="18"/>
                <w:color w:val="auto"/>
              </w:rPr>
              <w:t>1,383,753</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BCV Fund 2016</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904,821</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BCV Coinvest Fund II</w:t>
            </w:r>
          </w:p>
        </w:tc>
        <w:tc>
          <w:tcPr>
            <w:tcW w:w="3180" w:type="dxa"/>
            <w:vAlign w:val="bottom"/>
          </w:tcPr>
          <w:p>
            <w:pPr>
              <w:jc w:val="right"/>
              <w:spacing w:after="0"/>
              <w:rPr>
                <w:sz w:val="20"/>
                <w:szCs w:val="20"/>
                <w:color w:val="auto"/>
              </w:rPr>
            </w:pPr>
            <w:r>
              <w:rPr>
                <w:rFonts w:ascii="Arial" w:cs="Arial" w:eastAsia="Arial" w:hAnsi="Arial"/>
                <w:sz w:val="18"/>
                <w:szCs w:val="18"/>
                <w:color w:val="auto"/>
              </w:rPr>
              <w:t>423,600</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BCIP Venture II</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134,475</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BCIP Venture-B</w:t>
            </w:r>
          </w:p>
        </w:tc>
        <w:tc>
          <w:tcPr>
            <w:tcW w:w="3180" w:type="dxa"/>
            <w:vAlign w:val="bottom"/>
          </w:tcPr>
          <w:p>
            <w:pPr>
              <w:jc w:val="right"/>
              <w:spacing w:after="0"/>
              <w:rPr>
                <w:sz w:val="20"/>
                <w:szCs w:val="20"/>
                <w:color w:val="auto"/>
              </w:rPr>
            </w:pPr>
            <w:r>
              <w:rPr>
                <w:rFonts w:ascii="Arial" w:cs="Arial" w:eastAsia="Arial" w:hAnsi="Arial"/>
                <w:sz w:val="18"/>
                <w:szCs w:val="18"/>
                <w:color w:val="auto"/>
              </w:rPr>
              <w:t>93,096</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BCV 2019-MD Coinvest II</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16,944</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BCIP Venture II-B</w:t>
            </w:r>
          </w:p>
        </w:tc>
        <w:tc>
          <w:tcPr>
            <w:tcW w:w="3180" w:type="dxa"/>
            <w:vAlign w:val="bottom"/>
          </w:tcPr>
          <w:p>
            <w:pPr>
              <w:jc w:val="right"/>
              <w:spacing w:after="0"/>
              <w:rPr>
                <w:sz w:val="20"/>
                <w:szCs w:val="20"/>
                <w:color w:val="auto"/>
              </w:rPr>
            </w:pPr>
            <w:r>
              <w:rPr>
                <w:rFonts w:ascii="Arial" w:cs="Arial" w:eastAsia="Arial" w:hAnsi="Arial"/>
                <w:sz w:val="18"/>
                <w:szCs w:val="18"/>
                <w:color w:val="auto"/>
              </w:rPr>
              <w:t>10,140</w:t>
            </w:r>
          </w:p>
        </w:tc>
      </w:tr>
    </w:tbl>
    <w:p>
      <w:pPr>
        <w:sectPr>
          <w:pgSz w:w="11900" w:h="16838" w:orient="portrait"/>
          <w:cols w:equalWidth="0" w:num="1">
            <w:col w:w="11024"/>
          </w:cols>
          <w:pgMar w:left="436" w:top="395" w:right="439" w:bottom="1440" w:gutter="0" w:footer="0" w:header="0"/>
        </w:sectPr>
      </w:pPr>
    </w:p>
    <w:bookmarkStart w:id="12" w:name="page13"/>
    <w:bookmarkEnd w:id="12"/>
    <w:p>
      <w:pPr>
        <w:spacing w:after="0"/>
        <w:tabs>
          <w:tab w:leader="none" w:pos="5380" w:val="left"/>
          <w:tab w:leader="none" w:pos="10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302492103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13 of 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right="5300"/>
        <w:spacing w:after="0" w:line="407" w:lineRule="auto"/>
        <w:rPr>
          <w:sz w:val="20"/>
          <w:szCs w:val="20"/>
          <w:color w:val="auto"/>
        </w:rPr>
      </w:pPr>
      <w:r>
        <w:rPr>
          <w:rFonts w:ascii="Arial" w:cs="Arial" w:eastAsia="Arial" w:hAnsi="Arial"/>
          <w:sz w:val="18"/>
          <w:szCs w:val="18"/>
          <w:b w:val="1"/>
          <w:bCs w:val="1"/>
          <w:color w:val="auto"/>
        </w:rPr>
        <w:t xml:space="preserve">Item 6. Ownership of More than Five Percent on Behalf of Another Person </w:t>
      </w:r>
      <w:r>
        <w:rPr>
          <w:rFonts w:ascii="Arial" w:cs="Arial" w:eastAsia="Arial" w:hAnsi="Arial"/>
          <w:sz w:val="18"/>
          <w:szCs w:val="18"/>
          <w:color w:val="auto"/>
        </w:rPr>
        <w:t>Not applicable.</w:t>
      </w:r>
    </w:p>
    <w:p>
      <w:pPr>
        <w:spacing w:after="0" w:line="16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395" w:right="439" w:bottom="1440" w:gutter="0" w:footer="0" w:header="0"/>
        </w:sectPr>
      </w:pPr>
    </w:p>
    <w:bookmarkStart w:id="13" w:name="page14"/>
    <w:bookmarkEnd w:id="13"/>
    <w:p>
      <w:pPr>
        <w:spacing w:after="0"/>
        <w:tabs>
          <w:tab w:leader="none" w:pos="5380" w:val="left"/>
          <w:tab w:leader="none" w:pos="10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302492103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14 of 15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in this statement is true, complete and correct.</w:t>
      </w:r>
    </w:p>
    <w:p>
      <w:pPr>
        <w:spacing w:after="0" w:line="193" w:lineRule="exact"/>
        <w:rPr>
          <w:sz w:val="20"/>
          <w:szCs w:val="20"/>
          <w:color w:val="auto"/>
        </w:rPr>
      </w:pPr>
    </w:p>
    <w:p>
      <w:pPr>
        <w:spacing w:after="0"/>
        <w:tabs>
          <w:tab w:leader="none" w:pos="5300" w:val="left"/>
        </w:tabs>
        <w:rPr>
          <w:sz w:val="20"/>
          <w:szCs w:val="20"/>
          <w:color w:val="auto"/>
        </w:rPr>
      </w:pPr>
      <w:r>
        <w:rPr>
          <w:rFonts w:ascii="Arial" w:cs="Arial" w:eastAsia="Arial" w:hAnsi="Arial"/>
          <w:sz w:val="18"/>
          <w:szCs w:val="18"/>
          <w:color w:val="auto"/>
        </w:rPr>
        <w:t>Dated: February 14, 2022</w:t>
      </w:r>
      <w:r>
        <w:rPr>
          <w:sz w:val="20"/>
          <w:szCs w:val="20"/>
          <w:color w:val="auto"/>
        </w:rPr>
        <w:tab/>
      </w:r>
      <w:r>
        <w:rPr>
          <w:rFonts w:ascii="Arial" w:cs="Arial" w:eastAsia="Arial" w:hAnsi="Arial"/>
          <w:sz w:val="16"/>
          <w:szCs w:val="16"/>
          <w:b w:val="1"/>
          <w:bCs w:val="1"/>
          <w:color w:val="auto"/>
        </w:rPr>
        <w:t>Bain Capital Venture Fund 2014, L.P.</w:t>
      </w:r>
    </w:p>
    <w:p>
      <w:pPr>
        <w:spacing w:after="0" w:line="229"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Partners 2014, L.P.,</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Investors, LLC,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14605</wp:posOffset>
            </wp:positionV>
            <wp:extent cx="33432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Matthew C. Harris</w:t>
      </w:r>
    </w:p>
    <w:p>
      <w:pPr>
        <w:spacing w:after="0" w:line="23"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BCIP Venture Associates</w:t>
      </w:r>
    </w:p>
    <w:p>
      <w:pPr>
        <w:spacing w:after="0" w:line="229"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Boylston Coinvestors, LLC,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managing partner</w:t>
      </w:r>
    </w:p>
    <w:p>
      <w:pPr>
        <w:spacing w:after="0" w:line="211"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14605</wp:posOffset>
            </wp:positionV>
            <wp:extent cx="33432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Matthew C. Harris</w:t>
      </w:r>
    </w:p>
    <w:p>
      <w:pPr>
        <w:spacing w:after="0" w:line="23"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Bain Capital Venture Fund 2016, L.P.</w:t>
      </w:r>
    </w:p>
    <w:p>
      <w:pPr>
        <w:spacing w:after="0" w:line="229"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Partners 2016, L.P.,</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Investors, LLC,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14605</wp:posOffset>
            </wp:positionV>
            <wp:extent cx="33432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Matthew C. Harris</w:t>
      </w:r>
    </w:p>
    <w:p>
      <w:pPr>
        <w:spacing w:after="0" w:line="23"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Bain Capital Venture Coinvestment Fund II, L.P.</w:t>
      </w:r>
    </w:p>
    <w:p>
      <w:pPr>
        <w:spacing w:after="0" w:line="229"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Coinvestment II Investors, LLC,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Investors, LLC,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14605</wp:posOffset>
            </wp:positionV>
            <wp:extent cx="33432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Matthew C. Harris</w:t>
      </w:r>
    </w:p>
    <w:p>
      <w:pPr>
        <w:spacing w:after="0" w:line="23"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Title:</w:t>
        <w:tab/>
        <w:t>Managing Director</w:t>
      </w:r>
    </w:p>
    <w:p>
      <w:pPr>
        <w:sectPr>
          <w:pgSz w:w="11900" w:h="16838" w:orient="portrait"/>
          <w:cols w:equalWidth="0" w:num="1">
            <w:col w:w="11020"/>
          </w:cols>
          <w:pgMar w:left="440" w:top="395" w:right="439" w:bottom="1440" w:gutter="0" w:footer="0" w:header="0"/>
        </w:sectPr>
      </w:pPr>
    </w:p>
    <w:bookmarkStart w:id="14" w:name="page15"/>
    <w:bookmarkEnd w:id="14"/>
    <w:p>
      <w:pPr>
        <w:spacing w:after="0"/>
        <w:tabs>
          <w:tab w:leader="none" w:pos="5380" w:val="left"/>
          <w:tab w:leader="none" w:pos="10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302492103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15 of 15</w:t>
      </w:r>
    </w:p>
    <w:p>
      <w:pPr>
        <w:sectPr>
          <w:pgSz w:w="11900" w:h="16838" w:orient="portrait"/>
          <w:cols w:equalWidth="0" w:num="1">
            <w:col w:w="11020"/>
          </w:cols>
          <w:pgMar w:left="440" w:top="395" w:right="439" w:bottom="1440" w:gutter="0" w:footer="0" w:header="0"/>
        </w:sectPr>
      </w:pPr>
    </w:p>
    <w:p>
      <w:pPr>
        <w:spacing w:after="0" w:line="370"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BCIP Venture Associates II, LP</w:t>
      </w:r>
    </w:p>
    <w:p>
      <w:pPr>
        <w:spacing w:after="0" w:line="229"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Boylston Coinvestors, LLC,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14605</wp:posOffset>
            </wp:positionV>
            <wp:extent cx="33432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Matthew C. Harris</w:t>
      </w:r>
    </w:p>
    <w:p>
      <w:pPr>
        <w:spacing w:after="0" w:line="23"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BCIP Venture Associates-B</w:t>
      </w:r>
    </w:p>
    <w:p>
      <w:pPr>
        <w:spacing w:after="0" w:line="229"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Boylston Coinvestors, LLC,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managing partner</w:t>
      </w:r>
    </w:p>
    <w:p>
      <w:pPr>
        <w:spacing w:after="0" w:line="211"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14605</wp:posOffset>
            </wp:positionV>
            <wp:extent cx="33432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Matthew C. Harris</w:t>
      </w:r>
    </w:p>
    <w:p>
      <w:pPr>
        <w:spacing w:after="0" w:line="23"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BCV 2019-MD Coinvestment II, L.P.</w:t>
      </w:r>
    </w:p>
    <w:p>
      <w:pPr>
        <w:spacing w:after="0" w:line="229"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Coinvestment II Investors, LLC,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Investors, LLC,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14605</wp:posOffset>
            </wp:positionV>
            <wp:extent cx="33432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Matthew C. Harris</w:t>
      </w:r>
    </w:p>
    <w:p>
      <w:pPr>
        <w:spacing w:after="0" w:line="23"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BCIP Venture Associates II-B, LP</w:t>
      </w:r>
    </w:p>
    <w:p>
      <w:pPr>
        <w:spacing w:after="0" w:line="229"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Boylston Coinvestors, LLC,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14605</wp:posOffset>
            </wp:positionV>
            <wp:extent cx="33432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Matthew C. Harris</w:t>
      </w:r>
    </w:p>
    <w:p>
      <w:pPr>
        <w:spacing w:after="0" w:line="23"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Title:</w:t>
        <w:tab/>
        <w:t>Authorized Signatory</w:t>
      </w:r>
    </w:p>
    <w:p>
      <w:pPr>
        <w:sectPr>
          <w:pgSz w:w="11900" w:h="16838" w:orient="portrait"/>
          <w:cols w:equalWidth="0" w:num="1">
            <w:col w:w="11020"/>
          </w:cols>
          <w:pgMar w:left="440" w:top="395" w:right="439" w:bottom="144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REGARDING THE JOINT FILING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agree as follows:</w:t>
      </w:r>
    </w:p>
    <w:p>
      <w:pPr>
        <w:spacing w:after="0" w:line="131" w:lineRule="exact"/>
        <w:rPr>
          <w:sz w:val="20"/>
          <w:szCs w:val="20"/>
          <w:color w:val="auto"/>
        </w:rPr>
      </w:pPr>
    </w:p>
    <w:p>
      <w:pPr>
        <w:ind w:left="960" w:right="40" w:hanging="532"/>
        <w:spacing w:after="0" w:line="277"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them is individually eligible to use the Schedule 13G to which this Exhibit is attached, and such Schedule 13G is filed on behalf of each of them; and</w:t>
      </w:r>
    </w:p>
    <w:p>
      <w:pPr>
        <w:spacing w:after="0" w:line="75" w:lineRule="exact"/>
        <w:rPr>
          <w:rFonts w:ascii="Arial" w:cs="Arial" w:eastAsia="Arial" w:hAnsi="Arial"/>
          <w:sz w:val="18"/>
          <w:szCs w:val="18"/>
          <w:color w:val="auto"/>
        </w:rPr>
      </w:pPr>
    </w:p>
    <w:p>
      <w:pPr>
        <w:ind w:left="960" w:right="60" w:hanging="532"/>
        <w:spacing w:after="0" w:line="259"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210" w:lineRule="exact"/>
        <w:rPr>
          <w:sz w:val="20"/>
          <w:szCs w:val="20"/>
          <w:color w:val="auto"/>
        </w:rPr>
      </w:pPr>
    </w:p>
    <w:p>
      <w:pPr>
        <w:spacing w:after="0"/>
        <w:tabs>
          <w:tab w:leader="none" w:pos="5300" w:val="left"/>
        </w:tabs>
        <w:rPr>
          <w:sz w:val="20"/>
          <w:szCs w:val="20"/>
          <w:color w:val="auto"/>
        </w:rPr>
      </w:pPr>
      <w:r>
        <w:rPr>
          <w:rFonts w:ascii="Arial" w:cs="Arial" w:eastAsia="Arial" w:hAnsi="Arial"/>
          <w:sz w:val="18"/>
          <w:szCs w:val="18"/>
          <w:color w:val="auto"/>
        </w:rPr>
        <w:t>Dated: February 14, 2022</w:t>
      </w:r>
      <w:r>
        <w:rPr>
          <w:sz w:val="20"/>
          <w:szCs w:val="20"/>
          <w:color w:val="auto"/>
        </w:rPr>
        <w:tab/>
      </w:r>
      <w:r>
        <w:rPr>
          <w:rFonts w:ascii="Arial" w:cs="Arial" w:eastAsia="Arial" w:hAnsi="Arial"/>
          <w:sz w:val="16"/>
          <w:szCs w:val="16"/>
          <w:b w:val="1"/>
          <w:bCs w:val="1"/>
          <w:color w:val="auto"/>
        </w:rPr>
        <w:t>Bain Capital Venture Fund 2014, L.P.</w:t>
      </w:r>
    </w:p>
    <w:p>
      <w:pPr>
        <w:spacing w:after="0" w:line="229"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Partners 2014, L.P.,</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Investors, LLC,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14605</wp:posOffset>
            </wp:positionV>
            <wp:extent cx="33432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Matthew C. Harris</w:t>
      </w:r>
    </w:p>
    <w:p>
      <w:pPr>
        <w:spacing w:after="0" w:line="23"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BCIP Venture Associates</w:t>
      </w:r>
    </w:p>
    <w:p>
      <w:pPr>
        <w:spacing w:after="0" w:line="229"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Boylston Coinvestors, LLC,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managing partner</w:t>
      </w:r>
    </w:p>
    <w:p>
      <w:pPr>
        <w:spacing w:after="0" w:line="211"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14605</wp:posOffset>
            </wp:positionV>
            <wp:extent cx="33432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Matthew C. Harris</w:t>
      </w:r>
    </w:p>
    <w:p>
      <w:pPr>
        <w:spacing w:after="0" w:line="23"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Bain Capital Venture Fund 2016, L.P.</w:t>
      </w:r>
    </w:p>
    <w:p>
      <w:pPr>
        <w:spacing w:after="0" w:line="229"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Partners 2016, L.P.,</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Investors, LLC,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14605</wp:posOffset>
            </wp:positionV>
            <wp:extent cx="33432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Matthew C. Harris</w:t>
      </w:r>
    </w:p>
    <w:p>
      <w:pPr>
        <w:spacing w:after="0" w:line="23"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Bain Capital Venture Coinvestment Fund II, L.P.</w:t>
      </w:r>
    </w:p>
    <w:p>
      <w:pPr>
        <w:spacing w:after="0" w:line="229"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Coinvestment II Investors, LLC,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general partner</w:t>
      </w:r>
    </w:p>
    <w:p>
      <w:pPr>
        <w:sectPr>
          <w:pgSz w:w="11900" w:h="16838" w:orient="portrait"/>
          <w:cols w:equalWidth="0" w:num="1">
            <w:col w:w="11020"/>
          </w:cols>
          <w:pgMar w:left="440" w:top="270" w:right="439" w:bottom="1440" w:gutter="0" w:footer="0" w:header="0"/>
        </w:sectPr>
      </w:pPr>
    </w:p>
    <w:bookmarkStart w:id="16" w:name="page17"/>
    <w:bookmarkEnd w:id="16"/>
    <w:p>
      <w:pPr>
        <w:ind w:left="4320"/>
        <w:spacing w:after="0"/>
        <w:tabs>
          <w:tab w:leader="none" w:pos="4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w:t>
      </w:r>
      <w:r>
        <w:rPr>
          <w:sz w:val="20"/>
          <w:szCs w:val="20"/>
          <w:color w:val="auto"/>
        </w:rPr>
        <w:tab/>
      </w:r>
      <w:r>
        <w:rPr>
          <w:rFonts w:ascii="Arial" w:cs="Arial" w:eastAsia="Arial" w:hAnsi="Arial"/>
          <w:sz w:val="16"/>
          <w:szCs w:val="16"/>
          <w:color w:val="auto"/>
        </w:rPr>
        <w:t>Bain Capital Venture Investors, LLC,</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4320"/>
        <w:spacing w:after="0"/>
        <w:tabs>
          <w:tab w:leader="none" w:pos="4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14605</wp:posOffset>
            </wp:positionV>
            <wp:extent cx="33432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4740"/>
        <w:spacing w:after="0"/>
        <w:tabs>
          <w:tab w:leader="none" w:pos="5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Matthew C. Harris</w:t>
      </w:r>
    </w:p>
    <w:p>
      <w:pPr>
        <w:spacing w:after="0" w:line="23" w:lineRule="exact"/>
        <w:rPr>
          <w:sz w:val="20"/>
          <w:szCs w:val="20"/>
          <w:color w:val="auto"/>
        </w:rPr>
      </w:pPr>
    </w:p>
    <w:p>
      <w:pPr>
        <w:ind w:left="4740"/>
        <w:spacing w:after="0"/>
        <w:tabs>
          <w:tab w:leader="none" w:pos="538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BCIP Venture Associates II, LP</w:t>
      </w:r>
    </w:p>
    <w:p>
      <w:pPr>
        <w:spacing w:after="0" w:line="229" w:lineRule="exact"/>
        <w:rPr>
          <w:sz w:val="20"/>
          <w:szCs w:val="20"/>
          <w:color w:val="auto"/>
        </w:rPr>
      </w:pPr>
    </w:p>
    <w:p>
      <w:pPr>
        <w:ind w:left="4320"/>
        <w:spacing w:after="0"/>
        <w:tabs>
          <w:tab w:leader="none" w:pos="4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Boylston Coinvestors, LLC,</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320"/>
        <w:spacing w:after="0"/>
        <w:tabs>
          <w:tab w:leader="none" w:pos="4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14605</wp:posOffset>
            </wp:positionV>
            <wp:extent cx="33432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4740"/>
        <w:spacing w:after="0"/>
        <w:tabs>
          <w:tab w:leader="none" w:pos="5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Matthew C. Harris</w:t>
      </w:r>
    </w:p>
    <w:p>
      <w:pPr>
        <w:spacing w:after="0" w:line="23" w:lineRule="exact"/>
        <w:rPr>
          <w:sz w:val="20"/>
          <w:szCs w:val="20"/>
          <w:color w:val="auto"/>
        </w:rPr>
      </w:pPr>
    </w:p>
    <w:p>
      <w:pPr>
        <w:ind w:left="4740"/>
        <w:spacing w:after="0"/>
        <w:tabs>
          <w:tab w:leader="none" w:pos="53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BCIP Venture Associates-B</w:t>
      </w:r>
    </w:p>
    <w:p>
      <w:pPr>
        <w:spacing w:after="0" w:line="229" w:lineRule="exact"/>
        <w:rPr>
          <w:sz w:val="20"/>
          <w:szCs w:val="20"/>
          <w:color w:val="auto"/>
        </w:rPr>
      </w:pPr>
    </w:p>
    <w:p>
      <w:pPr>
        <w:ind w:left="4320"/>
        <w:spacing w:after="0"/>
        <w:tabs>
          <w:tab w:leader="none" w:pos="4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Boylston Coinvestors, LLC,</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its managing partner</w:t>
      </w:r>
    </w:p>
    <w:p>
      <w:pPr>
        <w:spacing w:after="0" w:line="211" w:lineRule="exact"/>
        <w:rPr>
          <w:sz w:val="20"/>
          <w:szCs w:val="20"/>
          <w:color w:val="auto"/>
        </w:rPr>
      </w:pPr>
    </w:p>
    <w:p>
      <w:pPr>
        <w:ind w:left="4320"/>
        <w:spacing w:after="0"/>
        <w:tabs>
          <w:tab w:leader="none" w:pos="4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14605</wp:posOffset>
            </wp:positionV>
            <wp:extent cx="33432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4740"/>
        <w:spacing w:after="0"/>
        <w:tabs>
          <w:tab w:leader="none" w:pos="5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Matthew C. Harris</w:t>
      </w:r>
    </w:p>
    <w:p>
      <w:pPr>
        <w:spacing w:after="0" w:line="23" w:lineRule="exact"/>
        <w:rPr>
          <w:sz w:val="20"/>
          <w:szCs w:val="20"/>
          <w:color w:val="auto"/>
        </w:rPr>
      </w:pPr>
    </w:p>
    <w:p>
      <w:pPr>
        <w:ind w:left="4740"/>
        <w:spacing w:after="0"/>
        <w:tabs>
          <w:tab w:leader="none" w:pos="53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BCV 2019-MD Coinvestment II, L.P.</w:t>
      </w:r>
    </w:p>
    <w:p>
      <w:pPr>
        <w:spacing w:after="0" w:line="229" w:lineRule="exact"/>
        <w:rPr>
          <w:sz w:val="20"/>
          <w:szCs w:val="20"/>
          <w:color w:val="auto"/>
        </w:rPr>
      </w:pPr>
    </w:p>
    <w:p>
      <w:pPr>
        <w:ind w:left="4320"/>
        <w:spacing w:after="0"/>
        <w:tabs>
          <w:tab w:leader="none" w:pos="4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Coinvestment II Investors, LLC,</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320"/>
        <w:spacing w:after="0"/>
        <w:tabs>
          <w:tab w:leader="none" w:pos="4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Investors, LLC,</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4320"/>
        <w:spacing w:after="0"/>
        <w:tabs>
          <w:tab w:leader="none" w:pos="4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14605</wp:posOffset>
            </wp:positionV>
            <wp:extent cx="33432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ind w:left="4740"/>
        <w:spacing w:after="0"/>
        <w:tabs>
          <w:tab w:leader="none" w:pos="5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Matthew C. Harris</w:t>
      </w:r>
    </w:p>
    <w:p>
      <w:pPr>
        <w:spacing w:after="0" w:line="23" w:lineRule="exact"/>
        <w:rPr>
          <w:sz w:val="20"/>
          <w:szCs w:val="20"/>
          <w:color w:val="auto"/>
        </w:rPr>
      </w:pPr>
    </w:p>
    <w:p>
      <w:pPr>
        <w:ind w:left="4740"/>
        <w:spacing w:after="0"/>
        <w:tabs>
          <w:tab w:leader="none" w:pos="538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BCIP Venture Associates II-B, LP</w:t>
      </w:r>
    </w:p>
    <w:p>
      <w:pPr>
        <w:spacing w:after="0" w:line="229" w:lineRule="exact"/>
        <w:rPr>
          <w:sz w:val="20"/>
          <w:szCs w:val="20"/>
          <w:color w:val="auto"/>
        </w:rPr>
      </w:pPr>
    </w:p>
    <w:p>
      <w:pPr>
        <w:ind w:left="4320"/>
        <w:spacing w:after="0"/>
        <w:tabs>
          <w:tab w:leader="none" w:pos="4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Boylston Coinvestors, LLC,</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320"/>
        <w:spacing w:after="0"/>
        <w:tabs>
          <w:tab w:leader="none" w:pos="4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14605</wp:posOffset>
            </wp:positionV>
            <wp:extent cx="33432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4740"/>
        <w:spacing w:after="0"/>
        <w:tabs>
          <w:tab w:leader="none" w:pos="5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Matthew C. Harris</w:t>
      </w:r>
    </w:p>
    <w:p>
      <w:pPr>
        <w:spacing w:after="0" w:line="23" w:lineRule="exact"/>
        <w:rPr>
          <w:sz w:val="20"/>
          <w:szCs w:val="20"/>
          <w:color w:val="auto"/>
        </w:rPr>
      </w:pPr>
    </w:p>
    <w:p>
      <w:pPr>
        <w:ind w:left="4740"/>
        <w:spacing w:after="0"/>
        <w:tabs>
          <w:tab w:leader="none" w:pos="5380" w:val="left"/>
        </w:tabs>
        <w:rPr>
          <w:sz w:val="20"/>
          <w:szCs w:val="20"/>
          <w:color w:val="auto"/>
        </w:rPr>
      </w:pPr>
      <w:r>
        <w:rPr>
          <w:rFonts w:ascii="Arial" w:cs="Arial" w:eastAsia="Arial" w:hAnsi="Arial"/>
          <w:sz w:val="18"/>
          <w:szCs w:val="18"/>
          <w:color w:val="auto"/>
        </w:rPr>
        <w:t>Title:</w:t>
        <w:tab/>
        <w:t>Authorized Signatory</w:t>
      </w:r>
    </w:p>
    <w:sectPr>
      <w:pgSz w:w="11900" w:h="16838" w:orient="portrait"/>
      <w:cols w:equalWidth="0" w:num="1">
        <w:col w:w="9019"/>
      </w:cols>
      <w:pgMar w:left="1440" w:top="4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lvl w:ilvl="1">
      <w:lvlJc w:val="left"/>
      <w:lvlText w:val="☒"/>
      <w:numFmt w:val="bullet"/>
      <w:start w:val="1"/>
    </w:lvl>
  </w:abstractNum>
  <w:abstractNum w:abstractNumId="2">
    <w:nsid w:val="2CA88611"/>
    <w:multiLevelType w:val="hybridMultilevel"/>
    <w:lvl w:ilvl="0">
      <w:lvlJc w:val="left"/>
      <w:lvlText w:val="1"/>
      <w:numFmt w:val="bullet"/>
      <w:start w:val="1"/>
    </w:lvl>
  </w:abstractNum>
  <w:abstractNum w:abstractNumId="3">
    <w:nsid w:val="836C40E"/>
    <w:multiLevelType w:val="hybridMultilevel"/>
    <w:lvl w:ilvl="0">
      <w:lvlJc w:val="left"/>
      <w:lvlText w:val="2"/>
      <w:numFmt w:val="bullet"/>
      <w:start w:val="1"/>
    </w:lvl>
  </w:abstractNum>
  <w:abstractNum w:abstractNumId="4">
    <w:nsid w:val="2901D82"/>
    <w:multiLevelType w:val="hybridMultilevel"/>
    <w:lvl w:ilvl="0">
      <w:lvlJc w:val="left"/>
      <w:lvlText w:val="3"/>
      <w:numFmt w:val="bullet"/>
      <w:start w:val="1"/>
    </w:lvl>
  </w:abstractNum>
  <w:abstractNum w:abstractNumId="5">
    <w:nsid w:val="3A95F874"/>
    <w:multiLevelType w:val="hybridMultilevel"/>
    <w:lvl w:ilvl="0">
      <w:lvlJc w:val="left"/>
      <w:lvlText w:val="4"/>
      <w:numFmt w:val="bullet"/>
      <w:start w:val="1"/>
    </w:lvl>
  </w:abstractNum>
  <w:abstractNum w:abstractNumId="6">
    <w:nsid w:val="8138641"/>
    <w:multiLevelType w:val="hybridMultilevel"/>
    <w:lvl w:ilvl="0">
      <w:lvlJc w:val="left"/>
      <w:lvlText w:val="9"/>
      <w:numFmt w:val="bullet"/>
      <w:start w:val="1"/>
    </w:lvl>
  </w:abstractNum>
  <w:abstractNum w:abstractNumId="7">
    <w:nsid w:val="1E7FF521"/>
    <w:multiLevelType w:val="hybridMultilevel"/>
    <w:lvl w:ilvl="0">
      <w:lvlJc w:val="left"/>
      <w:lvlText w:val="%1"/>
      <w:numFmt w:val="decimal"/>
      <w:start w:val="10"/>
    </w:lvl>
  </w:abstractNum>
  <w:abstractNum w:abstractNumId="8">
    <w:nsid w:val="7C3DBD3D"/>
    <w:multiLevelType w:val="hybridMultilevel"/>
    <w:lvl w:ilvl="0">
      <w:lvlJc w:val="left"/>
      <w:lvlText w:val="1"/>
      <w:numFmt w:val="bullet"/>
      <w:start w:val="1"/>
    </w:lvl>
  </w:abstractNum>
  <w:abstractNum w:abstractNumId="9">
    <w:nsid w:val="737B8DDC"/>
    <w:multiLevelType w:val="hybridMultilevel"/>
    <w:lvl w:ilvl="0">
      <w:lvlJc w:val="left"/>
      <w:lvlText w:val="2"/>
      <w:numFmt w:val="bullet"/>
      <w:start w:val="1"/>
    </w:lvl>
  </w:abstractNum>
  <w:abstractNum w:abstractNumId="10">
    <w:nsid w:val="6CEAF087"/>
    <w:multiLevelType w:val="hybridMultilevel"/>
    <w:lvl w:ilvl="0">
      <w:lvlJc w:val="left"/>
      <w:lvlText w:val="3"/>
      <w:numFmt w:val="bullet"/>
      <w:start w:val="1"/>
    </w:lvl>
  </w:abstractNum>
  <w:abstractNum w:abstractNumId="11">
    <w:nsid w:val="22221A70"/>
    <w:multiLevelType w:val="hybridMultilevel"/>
    <w:lvl w:ilvl="0">
      <w:lvlJc w:val="left"/>
      <w:lvlText w:val="4"/>
      <w:numFmt w:val="bullet"/>
      <w:start w:val="1"/>
    </w:lvl>
  </w:abstractNum>
  <w:abstractNum w:abstractNumId="12">
    <w:nsid w:val="4516DDE9"/>
    <w:multiLevelType w:val="hybridMultilevel"/>
    <w:lvl w:ilvl="0">
      <w:lvlJc w:val="left"/>
      <w:lvlText w:val="9"/>
      <w:numFmt w:val="bullet"/>
      <w:start w:val="1"/>
    </w:lvl>
  </w:abstractNum>
  <w:abstractNum w:abstractNumId="13">
    <w:nsid w:val="3006C83E"/>
    <w:multiLevelType w:val="hybridMultilevel"/>
    <w:lvl w:ilvl="0">
      <w:lvlJc w:val="left"/>
      <w:lvlText w:val="%1"/>
      <w:numFmt w:val="decimal"/>
      <w:start w:val="10"/>
    </w:lvl>
  </w:abstractNum>
  <w:abstractNum w:abstractNumId="14">
    <w:nsid w:val="614FD4A1"/>
    <w:multiLevelType w:val="hybridMultilevel"/>
    <w:lvl w:ilvl="0">
      <w:lvlJc w:val="left"/>
      <w:lvlText w:val="1"/>
      <w:numFmt w:val="bullet"/>
      <w:start w:val="1"/>
    </w:lvl>
  </w:abstractNum>
  <w:abstractNum w:abstractNumId="15">
    <w:nsid w:val="419AC241"/>
    <w:multiLevelType w:val="hybridMultilevel"/>
    <w:lvl w:ilvl="0">
      <w:lvlJc w:val="left"/>
      <w:lvlText w:val="2"/>
      <w:numFmt w:val="bullet"/>
      <w:start w:val="1"/>
    </w:lvl>
  </w:abstractNum>
  <w:abstractNum w:abstractNumId="16">
    <w:nsid w:val="5577F8E1"/>
    <w:multiLevelType w:val="hybridMultilevel"/>
    <w:lvl w:ilvl="0">
      <w:lvlJc w:val="left"/>
      <w:lvlText w:val="3"/>
      <w:numFmt w:val="bullet"/>
      <w:start w:val="1"/>
    </w:lvl>
  </w:abstractNum>
  <w:abstractNum w:abstractNumId="17">
    <w:nsid w:val="440BADFC"/>
    <w:multiLevelType w:val="hybridMultilevel"/>
    <w:lvl w:ilvl="0">
      <w:lvlJc w:val="left"/>
      <w:lvlText w:val="4"/>
      <w:numFmt w:val="bullet"/>
      <w:start w:val="1"/>
    </w:lvl>
  </w:abstractNum>
  <w:abstractNum w:abstractNumId="18">
    <w:nsid w:val="5072367"/>
    <w:multiLevelType w:val="hybridMultilevel"/>
    <w:lvl w:ilvl="0">
      <w:lvlJc w:val="left"/>
      <w:lvlText w:val="9"/>
      <w:numFmt w:val="bullet"/>
      <w:start w:val="1"/>
    </w:lvl>
  </w:abstractNum>
  <w:abstractNum w:abstractNumId="19">
    <w:nsid w:val="3804823E"/>
    <w:multiLevelType w:val="hybridMultilevel"/>
    <w:lvl w:ilvl="0">
      <w:lvlJc w:val="left"/>
      <w:lvlText w:val="%1"/>
      <w:numFmt w:val="decimal"/>
      <w:start w:val="10"/>
    </w:lvl>
  </w:abstractNum>
  <w:abstractNum w:abstractNumId="20">
    <w:nsid w:val="77465F01"/>
    <w:multiLevelType w:val="hybridMultilevel"/>
    <w:lvl w:ilvl="0">
      <w:lvlJc w:val="left"/>
      <w:lvlText w:val="1"/>
      <w:numFmt w:val="bullet"/>
      <w:start w:val="1"/>
    </w:lvl>
  </w:abstractNum>
  <w:abstractNum w:abstractNumId="21">
    <w:nsid w:val="7724C67E"/>
    <w:multiLevelType w:val="hybridMultilevel"/>
    <w:lvl w:ilvl="0">
      <w:lvlJc w:val="left"/>
      <w:lvlText w:val="2"/>
      <w:numFmt w:val="bullet"/>
      <w:start w:val="1"/>
    </w:lvl>
  </w:abstractNum>
  <w:abstractNum w:abstractNumId="22">
    <w:nsid w:val="5C482A97"/>
    <w:multiLevelType w:val="hybridMultilevel"/>
    <w:lvl w:ilvl="0">
      <w:lvlJc w:val="left"/>
      <w:lvlText w:val="3"/>
      <w:numFmt w:val="bullet"/>
      <w:start w:val="1"/>
    </w:lvl>
  </w:abstractNum>
  <w:abstractNum w:abstractNumId="23">
    <w:nsid w:val="2463B9EA"/>
    <w:multiLevelType w:val="hybridMultilevel"/>
    <w:lvl w:ilvl="0">
      <w:lvlJc w:val="left"/>
      <w:lvlText w:val="4"/>
      <w:numFmt w:val="bullet"/>
      <w:start w:val="1"/>
    </w:lvl>
  </w:abstractNum>
  <w:abstractNum w:abstractNumId="24">
    <w:nsid w:val="5E884ADC"/>
    <w:multiLevelType w:val="hybridMultilevel"/>
    <w:lvl w:ilvl="0">
      <w:lvlJc w:val="left"/>
      <w:lvlText w:val="9"/>
      <w:numFmt w:val="bullet"/>
      <w:start w:val="1"/>
    </w:lvl>
  </w:abstractNum>
  <w:abstractNum w:abstractNumId="25">
    <w:nsid w:val="51EAD36B"/>
    <w:multiLevelType w:val="hybridMultilevel"/>
    <w:lvl w:ilvl="0">
      <w:lvlJc w:val="left"/>
      <w:lvlText w:val="%1"/>
      <w:numFmt w:val="decimal"/>
      <w:start w:val="10"/>
    </w:lvl>
  </w:abstractNum>
  <w:abstractNum w:abstractNumId="26">
    <w:nsid w:val="2D517796"/>
    <w:multiLevelType w:val="hybridMultilevel"/>
    <w:lvl w:ilvl="0">
      <w:lvlJc w:val="left"/>
      <w:lvlText w:val="1"/>
      <w:numFmt w:val="bullet"/>
      <w:start w:val="1"/>
    </w:lvl>
  </w:abstractNum>
  <w:abstractNum w:abstractNumId="27">
    <w:nsid w:val="580BD78F"/>
    <w:multiLevelType w:val="hybridMultilevel"/>
    <w:lvl w:ilvl="0">
      <w:lvlJc w:val="left"/>
      <w:lvlText w:val="2"/>
      <w:numFmt w:val="bullet"/>
      <w:start w:val="1"/>
    </w:lvl>
  </w:abstractNum>
  <w:abstractNum w:abstractNumId="28">
    <w:nsid w:val="153EA438"/>
    <w:multiLevelType w:val="hybridMultilevel"/>
    <w:lvl w:ilvl="0">
      <w:lvlJc w:val="left"/>
      <w:lvlText w:val="3"/>
      <w:numFmt w:val="bullet"/>
      <w:start w:val="1"/>
    </w:lvl>
  </w:abstractNum>
  <w:abstractNum w:abstractNumId="29">
    <w:nsid w:val="3855585C"/>
    <w:multiLevelType w:val="hybridMultilevel"/>
    <w:lvl w:ilvl="0">
      <w:lvlJc w:val="left"/>
      <w:lvlText w:val="4"/>
      <w:numFmt w:val="bullet"/>
      <w:start w:val="1"/>
    </w:lvl>
  </w:abstractNum>
  <w:abstractNum w:abstractNumId="30">
    <w:nsid w:val="70A64E2A"/>
    <w:multiLevelType w:val="hybridMultilevel"/>
    <w:lvl w:ilvl="0">
      <w:lvlJc w:val="left"/>
      <w:lvlText w:val="9"/>
      <w:numFmt w:val="bullet"/>
      <w:start w:val="1"/>
    </w:lvl>
  </w:abstractNum>
  <w:abstractNum w:abstractNumId="31">
    <w:nsid w:val="6A2342EC"/>
    <w:multiLevelType w:val="hybridMultilevel"/>
    <w:lvl w:ilvl="0">
      <w:lvlJc w:val="left"/>
      <w:lvlText w:val="%1"/>
      <w:numFmt w:val="decimal"/>
      <w:start w:val="10"/>
    </w:lvl>
  </w:abstractNum>
  <w:abstractNum w:abstractNumId="32">
    <w:nsid w:val="2A487CB0"/>
    <w:multiLevelType w:val="hybridMultilevel"/>
    <w:lvl w:ilvl="0">
      <w:lvlJc w:val="left"/>
      <w:lvlText w:val="1"/>
      <w:numFmt w:val="bullet"/>
      <w:start w:val="1"/>
    </w:lvl>
  </w:abstractNum>
  <w:abstractNum w:abstractNumId="33">
    <w:nsid w:val="1D4ED43B"/>
    <w:multiLevelType w:val="hybridMultilevel"/>
    <w:lvl w:ilvl="0">
      <w:lvlJc w:val="left"/>
      <w:lvlText w:val="2"/>
      <w:numFmt w:val="bullet"/>
      <w:start w:val="1"/>
    </w:lvl>
  </w:abstractNum>
  <w:abstractNum w:abstractNumId="34">
    <w:nsid w:val="725A06FB"/>
    <w:multiLevelType w:val="hybridMultilevel"/>
    <w:lvl w:ilvl="0">
      <w:lvlJc w:val="left"/>
      <w:lvlText w:val="3"/>
      <w:numFmt w:val="bullet"/>
      <w:start w:val="1"/>
    </w:lvl>
  </w:abstractNum>
  <w:abstractNum w:abstractNumId="35">
    <w:nsid w:val="2CD89A32"/>
    <w:multiLevelType w:val="hybridMultilevel"/>
    <w:lvl w:ilvl="0">
      <w:lvlJc w:val="left"/>
      <w:lvlText w:val="4"/>
      <w:numFmt w:val="bullet"/>
      <w:start w:val="1"/>
    </w:lvl>
  </w:abstractNum>
  <w:abstractNum w:abstractNumId="36">
    <w:nsid w:val="57E4CCAF"/>
    <w:multiLevelType w:val="hybridMultilevel"/>
    <w:lvl w:ilvl="0">
      <w:lvlJc w:val="left"/>
      <w:lvlText w:val="9"/>
      <w:numFmt w:val="bullet"/>
      <w:start w:val="1"/>
    </w:lvl>
  </w:abstractNum>
  <w:abstractNum w:abstractNumId="37">
    <w:nsid w:val="7A6D8D3C"/>
    <w:multiLevelType w:val="hybridMultilevel"/>
    <w:lvl w:ilvl="0">
      <w:lvlJc w:val="left"/>
      <w:lvlText w:val="%1"/>
      <w:numFmt w:val="decimal"/>
      <w:start w:val="10"/>
    </w:lvl>
  </w:abstractNum>
  <w:abstractNum w:abstractNumId="38">
    <w:nsid w:val="4B588F54"/>
    <w:multiLevelType w:val="hybridMultilevel"/>
    <w:lvl w:ilvl="0">
      <w:lvlJc w:val="left"/>
      <w:lvlText w:val="1"/>
      <w:numFmt w:val="bullet"/>
      <w:start w:val="1"/>
    </w:lvl>
  </w:abstractNum>
  <w:abstractNum w:abstractNumId="39">
    <w:nsid w:val="542289EC"/>
    <w:multiLevelType w:val="hybridMultilevel"/>
    <w:lvl w:ilvl="0">
      <w:lvlJc w:val="left"/>
      <w:lvlText w:val="2"/>
      <w:numFmt w:val="bullet"/>
      <w:start w:val="1"/>
    </w:lvl>
  </w:abstractNum>
  <w:abstractNum w:abstractNumId="40">
    <w:nsid w:val="6DE91B18"/>
    <w:multiLevelType w:val="hybridMultilevel"/>
    <w:lvl w:ilvl="0">
      <w:lvlJc w:val="left"/>
      <w:lvlText w:val="3"/>
      <w:numFmt w:val="bullet"/>
      <w:start w:val="1"/>
    </w:lvl>
  </w:abstractNum>
  <w:abstractNum w:abstractNumId="41">
    <w:nsid w:val="38437FDB"/>
    <w:multiLevelType w:val="hybridMultilevel"/>
    <w:lvl w:ilvl="0">
      <w:lvlJc w:val="left"/>
      <w:lvlText w:val="4"/>
      <w:numFmt w:val="bullet"/>
      <w:start w:val="1"/>
    </w:lvl>
  </w:abstractNum>
  <w:abstractNum w:abstractNumId="42">
    <w:nsid w:val="7644A45C"/>
    <w:multiLevelType w:val="hybridMultilevel"/>
    <w:lvl w:ilvl="0">
      <w:lvlJc w:val="left"/>
      <w:lvlText w:val="9"/>
      <w:numFmt w:val="bullet"/>
      <w:start w:val="1"/>
    </w:lvl>
  </w:abstractNum>
  <w:abstractNum w:abstractNumId="43">
    <w:nsid w:val="32FFF902"/>
    <w:multiLevelType w:val="hybridMultilevel"/>
    <w:lvl w:ilvl="0">
      <w:lvlJc w:val="left"/>
      <w:lvlText w:val="%1"/>
      <w:numFmt w:val="decimal"/>
      <w:start w:val="10"/>
    </w:lvl>
  </w:abstractNum>
  <w:abstractNum w:abstractNumId="44">
    <w:nsid w:val="684A481A"/>
    <w:multiLevelType w:val="hybridMultilevel"/>
    <w:lvl w:ilvl="0">
      <w:lvlJc w:val="left"/>
      <w:lvlText w:val="1"/>
      <w:numFmt w:val="bullet"/>
      <w:start w:val="1"/>
    </w:lvl>
  </w:abstractNum>
  <w:abstractNum w:abstractNumId="45">
    <w:nsid w:val="579478FE"/>
    <w:multiLevelType w:val="hybridMultilevel"/>
    <w:lvl w:ilvl="0">
      <w:lvlJc w:val="left"/>
      <w:lvlText w:val="2"/>
      <w:numFmt w:val="bullet"/>
      <w:start w:val="1"/>
    </w:lvl>
  </w:abstractNum>
  <w:abstractNum w:abstractNumId="46">
    <w:nsid w:val="749ABB43"/>
    <w:multiLevelType w:val="hybridMultilevel"/>
    <w:lvl w:ilvl="0">
      <w:lvlJc w:val="left"/>
      <w:lvlText w:val="3"/>
      <w:numFmt w:val="bullet"/>
      <w:start w:val="1"/>
    </w:lvl>
  </w:abstractNum>
  <w:abstractNum w:abstractNumId="47">
    <w:nsid w:val="3DC240FB"/>
    <w:multiLevelType w:val="hybridMultilevel"/>
    <w:lvl w:ilvl="0">
      <w:lvlJc w:val="left"/>
      <w:lvlText w:val="4"/>
      <w:numFmt w:val="bullet"/>
      <w:start w:val="1"/>
    </w:lvl>
  </w:abstractNum>
  <w:abstractNum w:abstractNumId="48">
    <w:nsid w:val="1BA026FA"/>
    <w:multiLevelType w:val="hybridMultilevel"/>
    <w:lvl w:ilvl="0">
      <w:lvlJc w:val="left"/>
      <w:lvlText w:val="9"/>
      <w:numFmt w:val="bullet"/>
      <w:start w:val="1"/>
    </w:lvl>
  </w:abstractNum>
  <w:abstractNum w:abstractNumId="49">
    <w:nsid w:val="79A1DEAA"/>
    <w:multiLevelType w:val="hybridMultilevel"/>
    <w:lvl w:ilvl="0">
      <w:lvlJc w:val="left"/>
      <w:lvlText w:val="%1"/>
      <w:numFmt w:val="decimal"/>
      <w:start w:val="10"/>
    </w:lvl>
  </w:abstractNum>
  <w:abstractNum w:abstractNumId="50">
    <w:nsid w:val="75C6C33A"/>
    <w:multiLevelType w:val="hybridMultilevel"/>
    <w:lvl w:ilvl="0">
      <w:lvlJc w:val="left"/>
      <w:lvlText w:val="(%1)"/>
      <w:numFmt w:val="lowerLetter"/>
      <w:start w:val="1"/>
    </w:lvl>
  </w:abstractNum>
  <w:abstractNum w:abstractNumId="51">
    <w:nsid w:val="12E685FB"/>
    <w:multiLevelType w:val="hybridMultilevel"/>
    <w:lvl w:ilvl="0">
      <w:lvlJc w:val="left"/>
      <w:lvlText w:val="(%1)"/>
      <w:numFmt w:val="lowerRoman"/>
      <w:start w:val="3"/>
    </w:lvl>
  </w:abstractNum>
  <w:abstractNum w:abstractNumId="52">
    <w:nsid w:val="70C6A52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2022-02-14T05:50:37Z</dcterms:created>
  <dcterms:modified xsi:type="dcterms:W3CDTF">2022-02-14T05:50:37Z</dcterms:modified>
</cp:coreProperties>
</file>