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17810ddef14a.htm"/>
        <w:bookmarkStart w:id="1" w:name="ksd917810ddef14a"/>
        <w:bookmarkEnd w:id="0"/>
        <w:bookmarkEnd w:id="1"/>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ARIAL" w:hAnsi="ARIAL"/>
          <w:b/>
          <w:sz w:val="28"/>
        </w:rPr>
      </w:pPr>
      <w:r>
        <w:rPr>
          <w:rFonts w:ascii="ARIAL" w:hAnsi="ARIAL"/>
          <w:b/>
          <w:sz w:val="28"/>
        </w:rPr>
        <w:t xml:space="preserve">UNITED STATES </w:t>
      </w:r>
    </w:p>
    <w:p>
      <w:pPr>
        <w:pStyle w:val="TextBody"/>
        <w:bidi w:val="0"/>
        <w:spacing w:before="0" w:after="0"/>
        <w:jc w:val="center"/>
        <w:rPr>
          <w:rFonts w:ascii="ARIAL" w:hAnsi="ARIAL"/>
          <w:b/>
          <w:sz w:val="28"/>
        </w:rPr>
      </w:pPr>
      <w:r>
        <w:rPr>
          <w:rFonts w:ascii="ARIAL" w:hAnsi="ARIAL"/>
          <w:b/>
          <w:sz w:val="28"/>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120" w:after="0"/>
        <w:jc w:val="center"/>
        <w:rPr>
          <w:rFonts w:ascii="ARIAL" w:hAnsi="ARIAL"/>
          <w:b/>
          <w:sz w:val="32"/>
        </w:rPr>
      </w:pPr>
      <w:r>
        <w:rPr>
          <w:rFonts w:ascii="ARIAL" w:hAnsi="ARIAL"/>
          <w:b/>
          <w:sz w:val="32"/>
        </w:rPr>
        <w:t>SCHEDULE 14A</w:t>
      </w:r>
    </w:p>
    <w:p>
      <w:pPr>
        <w:pStyle w:val="TextBody"/>
        <w:bidi w:val="0"/>
        <w:spacing w:before="120" w:after="0"/>
        <w:jc w:val="center"/>
        <w:rPr>
          <w:rFonts w:ascii="ARIAL" w:hAnsi="ARIAL"/>
          <w:b/>
          <w:sz w:val="32"/>
        </w:rPr>
      </w:pPr>
      <w:r>
        <w:rPr>
          <w:rFonts w:ascii="ARIAL" w:hAnsi="ARIAL"/>
          <w:b/>
          <w:sz w:val="32"/>
        </w:rPr>
        <w:t xml:space="preserve">INFORMATION </w:t>
      </w:r>
    </w:p>
    <w:p>
      <w:pPr>
        <w:pStyle w:val="TextBody"/>
        <w:bidi w:val="0"/>
        <w:spacing w:before="0" w:after="0"/>
        <w:jc w:val="center"/>
        <w:rPr>
          <w:rFonts w:ascii="ARIAL" w:hAnsi="ARIAL"/>
          <w:b/>
          <w:sz w:val="20"/>
        </w:rPr>
      </w:pPr>
      <w:r>
        <w:rPr>
          <w:rFonts w:ascii="ARIAL" w:hAnsi="ARIAL"/>
          <w:b/>
          <w:sz w:val="20"/>
        </w:rPr>
        <w:t xml:space="preserve">Proxy Statement Pursuant to Section 14(a) of the </w:t>
      </w:r>
    </w:p>
    <w:p>
      <w:pPr>
        <w:pStyle w:val="TextBody"/>
        <w:bidi w:val="0"/>
        <w:spacing w:before="0" w:after="0"/>
        <w:jc w:val="center"/>
        <w:rPr>
          <w:rFonts w:ascii="ARIAL" w:hAnsi="ARIAL"/>
          <w:b/>
          <w:sz w:val="20"/>
        </w:rPr>
      </w:pPr>
      <w:r>
        <w:rPr>
          <w:rFonts w:ascii="ARIAL" w:hAnsi="ARIAL"/>
          <w:b/>
          <w:sz w:val="20"/>
        </w:rPr>
        <w:t xml:space="preserve">Securities Exchange Act of 1934 </w:t>
      </w:r>
    </w:p>
    <w:p>
      <w:pPr>
        <w:pStyle w:val="TextBody"/>
        <w:bidi w:val="0"/>
        <w:spacing w:before="0" w:after="0"/>
        <w:jc w:val="center"/>
        <w:rPr>
          <w:rFonts w:ascii="ARIAL" w:hAnsi="ARIAL"/>
          <w:b/>
          <w:sz w:val="20"/>
        </w:rPr>
      </w:pPr>
      <w:r>
        <w:rPr>
          <w:rFonts w:ascii="ARIAL" w:hAnsi="ARIAL"/>
          <w:b/>
          <w:sz w:val="20"/>
        </w:rPr>
        <w:t xml:space="preserve">(Amendment No.) </w:t>
      </w:r>
    </w:p>
    <w:p>
      <w:pPr>
        <w:pStyle w:val="TextBody"/>
        <w:bidi w:val="0"/>
        <w:spacing w:before="120" w:after="0"/>
        <w:jc w:val="left"/>
        <w:rPr>
          <w:rFonts w:ascii="ARIAL" w:hAnsi="ARIAL"/>
          <w:sz w:val="20"/>
        </w:rPr>
      </w:pPr>
      <w:r>
        <w:rPr>
          <w:rFonts w:ascii="ARIAL" w:hAnsi="ARIAL"/>
          <w:sz w:val="20"/>
        </w:rPr>
        <w:t xml:space="preserve">Filed by the Registrant </w:t>
      </w:r>
    </w:p>
    <w:p>
      <w:pPr>
        <w:pStyle w:val="TextBody"/>
        <w:bidi w:val="0"/>
        <w:spacing w:before="120" w:after="0"/>
        <w:jc w:val="left"/>
        <w:rPr>
          <w:spacing w:val="0"/>
        </w:rPr>
      </w:pPr>
      <w:r>
        <w:rPr>
          <w:spacing w:val="0"/>
        </w:rPr>
        <w:t>☒</w:t>
      </w:r>
    </w:p>
    <w:p>
      <w:pPr>
        <w:pStyle w:val="TextBody"/>
        <w:bidi w:val="0"/>
        <w:spacing w:before="120" w:after="0"/>
        <w:jc w:val="left"/>
        <w:rPr>
          <w:rFonts w:ascii="ARIAL" w:hAnsi="ARIAL"/>
          <w:sz w:val="20"/>
        </w:rPr>
      </w:pPr>
      <w:r>
        <w:rPr>
          <w:rFonts w:ascii="ARIAL" w:hAnsi="ARIAL"/>
          <w:sz w:val="20"/>
        </w:rPr>
        <w:t xml:space="preserve">Filed by a party other than the Registrant </w:t>
      </w:r>
    </w:p>
    <w:p>
      <w:pPr>
        <w:pStyle w:val="TextBody"/>
        <w:bidi w:val="0"/>
        <w:spacing w:before="120" w:after="0"/>
        <w:jc w:val="left"/>
        <w:rPr>
          <w:spacing w:val="0"/>
        </w:rPr>
      </w:pPr>
      <w:r>
        <w:rPr>
          <w:spacing w:val="0"/>
        </w:rPr>
        <w:t>☐</w:t>
      </w:r>
    </w:p>
    <w:p>
      <w:pPr>
        <w:pStyle w:val="TextBody"/>
        <w:bidi w:val="0"/>
        <w:spacing w:before="12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0"/>
              <w:jc w:val="left"/>
              <w:rPr>
                <w:spacing w:val="0"/>
              </w:rPr>
            </w:pPr>
            <w:r>
              <w:rPr>
                <w:spacing w:val="0"/>
              </w:rPr>
              <w:t>☐</w:t>
            </w:r>
          </w:p>
        </w:tc>
        <w:tc>
          <w:tcPr>
            <w:tcW w:w="2600" w:type="dxa"/>
            <w:tcBorders/>
            <w:vAlign w:val="center"/>
          </w:tcPr>
          <w:p>
            <w:pPr>
              <w:pStyle w:val="TableContents"/>
              <w:bidi w:val="0"/>
              <w:spacing w:before="0" w:after="0"/>
              <w:jc w:val="left"/>
              <w:rPr>
                <w:rFonts w:ascii="ARIAL" w:hAnsi="ARIAL"/>
                <w:sz w:val="20"/>
              </w:rPr>
            </w:pPr>
            <w:r>
              <w:rPr>
                <w:rFonts w:ascii="ARIAL" w:hAnsi="ARIAL"/>
                <w:sz w:val="20"/>
              </w:rPr>
              <w:t xml:space="preserve">Preliminary Proxy Statement </w:t>
            </w:r>
          </w:p>
        </w:tc>
      </w:tr>
    </w:tbl>
    <w:tbl>
      <w:tblPr>
        <w:tblW w:w="6130" w:type="dxa"/>
        <w:jc w:val="left"/>
        <w:tblInd w:w="0" w:type="dxa"/>
        <w:tblLayout w:type="fixed"/>
        <w:tblCellMar>
          <w:top w:w="0" w:type="dxa"/>
          <w:left w:w="0" w:type="dxa"/>
          <w:bottom w:w="0" w:type="dxa"/>
          <w:right w:w="0" w:type="dxa"/>
        </w:tblCellMar>
      </w:tblPr>
      <w:tblGrid>
        <w:gridCol w:w="245"/>
        <w:gridCol w:w="5885"/>
      </w:tblGrid>
      <w:tr>
        <w:trPr/>
        <w:tc>
          <w:tcPr>
            <w:tcW w:w="245" w:type="dxa"/>
            <w:tcBorders/>
            <w:vAlign w:val="center"/>
          </w:tcPr>
          <w:p>
            <w:pPr>
              <w:pStyle w:val="TableContents"/>
              <w:bidi w:val="0"/>
              <w:spacing w:before="0" w:after="0"/>
              <w:jc w:val="left"/>
              <w:rPr>
                <w:spacing w:val="0"/>
              </w:rPr>
            </w:pPr>
            <w:r>
              <w:rPr>
                <w:spacing w:val="0"/>
              </w:rPr>
              <w:t>☐</w:t>
            </w:r>
          </w:p>
        </w:tc>
        <w:tc>
          <w:tcPr>
            <w:tcW w:w="5885" w:type="dxa"/>
            <w:tcBorders/>
            <w:vAlign w:val="center"/>
          </w:tcPr>
          <w:p>
            <w:pPr>
              <w:pStyle w:val="TableContents"/>
              <w:bidi w:val="0"/>
              <w:spacing w:before="0" w:after="0"/>
              <w:jc w:val="left"/>
              <w:rPr>
                <w:rFonts w:ascii="ARIAL" w:hAnsi="ARIAL"/>
                <w:b/>
                <w:sz w:val="20"/>
              </w:rPr>
            </w:pPr>
            <w:r>
              <w:rPr>
                <w:rFonts w:ascii="ARIAL" w:hAnsi="ARIAL"/>
                <w:b/>
                <w:sz w:val="20"/>
              </w:rPr>
              <w:t xml:space="preserve">Confidential, for Use of the Commission Only (as permitted by </w:t>
            </w:r>
          </w:p>
          <w:p>
            <w:pPr>
              <w:pStyle w:val="TableContents"/>
              <w:bidi w:val="0"/>
              <w:spacing w:before="0" w:after="0"/>
              <w:jc w:val="left"/>
              <w:rPr>
                <w:rFonts w:ascii="ARIAL" w:hAnsi="ARIAL"/>
                <w:b/>
                <w:spacing w:val="0"/>
                <w:sz w:val="20"/>
              </w:rPr>
            </w:pPr>
            <w:r>
              <w:rPr>
                <w:rFonts w:ascii="ARIAL" w:hAnsi="ARIAL"/>
                <w:b/>
                <w:spacing w:val="0"/>
                <w:sz w:val="20"/>
              </w:rPr>
              <w:t>Rule 14a-6(e)(2))</w:t>
            </w:r>
          </w:p>
        </w:tc>
      </w:tr>
    </w:tbl>
    <w:tbl>
      <w:tblPr>
        <w:tblW w:w="2680" w:type="dxa"/>
        <w:jc w:val="left"/>
        <w:tblInd w:w="0" w:type="dxa"/>
        <w:tblLayout w:type="fixed"/>
        <w:tblCellMar>
          <w:top w:w="0" w:type="dxa"/>
          <w:left w:w="0" w:type="dxa"/>
          <w:bottom w:w="0" w:type="dxa"/>
          <w:right w:w="0" w:type="dxa"/>
        </w:tblCellMar>
      </w:tblPr>
      <w:tblGrid>
        <w:gridCol w:w="245"/>
        <w:gridCol w:w="2435"/>
      </w:tblGrid>
      <w:tr>
        <w:trPr/>
        <w:tc>
          <w:tcPr>
            <w:tcW w:w="245" w:type="dxa"/>
            <w:tcBorders/>
            <w:vAlign w:val="center"/>
          </w:tcPr>
          <w:p>
            <w:pPr>
              <w:pStyle w:val="TableContents"/>
              <w:bidi w:val="0"/>
              <w:spacing w:before="0" w:after="0"/>
              <w:jc w:val="left"/>
              <w:rPr>
                <w:spacing w:val="0"/>
              </w:rPr>
            </w:pPr>
            <w:r>
              <w:rPr>
                <w:spacing w:val="0"/>
              </w:rPr>
              <w:t>☒</w:t>
            </w:r>
          </w:p>
        </w:tc>
        <w:tc>
          <w:tcPr>
            <w:tcW w:w="2435" w:type="dxa"/>
            <w:tcBorders/>
            <w:vAlign w:val="center"/>
          </w:tcPr>
          <w:p>
            <w:pPr>
              <w:pStyle w:val="TableContents"/>
              <w:bidi w:val="0"/>
              <w:spacing w:before="0" w:after="0"/>
              <w:jc w:val="left"/>
              <w:rPr>
                <w:rFonts w:ascii="ARIAL" w:hAnsi="ARIAL"/>
                <w:sz w:val="20"/>
              </w:rPr>
            </w:pPr>
            <w:r>
              <w:rPr>
                <w:rFonts w:ascii="ARIAL" w:hAnsi="ARIAL"/>
                <w:sz w:val="20"/>
              </w:rPr>
              <w:t xml:space="preserve">Definitive Proxy Statement </w:t>
            </w:r>
          </w:p>
        </w:tc>
      </w:tr>
    </w:tbl>
    <w:tbl>
      <w:tblPr>
        <w:tblW w:w="2920" w:type="dxa"/>
        <w:jc w:val="left"/>
        <w:tblInd w:w="0" w:type="dxa"/>
        <w:tblLayout w:type="fixed"/>
        <w:tblCellMar>
          <w:top w:w="0" w:type="dxa"/>
          <w:left w:w="0" w:type="dxa"/>
          <w:bottom w:w="0" w:type="dxa"/>
          <w:right w:w="0" w:type="dxa"/>
        </w:tblCellMar>
      </w:tblPr>
      <w:tblGrid>
        <w:gridCol w:w="245"/>
        <w:gridCol w:w="2675"/>
      </w:tblGrid>
      <w:tr>
        <w:trPr/>
        <w:tc>
          <w:tcPr>
            <w:tcW w:w="245" w:type="dxa"/>
            <w:tcBorders/>
            <w:vAlign w:val="center"/>
          </w:tcPr>
          <w:p>
            <w:pPr>
              <w:pStyle w:val="TableContents"/>
              <w:bidi w:val="0"/>
              <w:spacing w:before="0" w:after="0"/>
              <w:jc w:val="left"/>
              <w:rPr>
                <w:spacing w:val="0"/>
              </w:rPr>
            </w:pPr>
            <w:r>
              <w:rPr>
                <w:spacing w:val="0"/>
              </w:rPr>
              <w:t>☐</w:t>
            </w:r>
          </w:p>
        </w:tc>
        <w:tc>
          <w:tcPr>
            <w:tcW w:w="2675" w:type="dxa"/>
            <w:tcBorders/>
            <w:vAlign w:val="center"/>
          </w:tcPr>
          <w:p>
            <w:pPr>
              <w:pStyle w:val="TableContents"/>
              <w:bidi w:val="0"/>
              <w:spacing w:before="0" w:after="0"/>
              <w:jc w:val="left"/>
              <w:rPr>
                <w:rFonts w:ascii="ARIAL" w:hAnsi="ARIAL"/>
                <w:sz w:val="20"/>
              </w:rPr>
            </w:pPr>
            <w:r>
              <w:rPr>
                <w:rFonts w:ascii="ARIAL" w:hAnsi="ARIAL"/>
                <w:sz w:val="20"/>
              </w:rPr>
              <w:t xml:space="preserve">Definitive Additional Materials </w:t>
            </w:r>
          </w:p>
        </w:tc>
      </w:tr>
    </w:tbl>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0"/>
              <w:jc w:val="left"/>
              <w:rPr>
                <w:spacing w:val="0"/>
              </w:rPr>
            </w:pPr>
            <w:r>
              <w:rPr>
                <w:spacing w:val="0"/>
              </w:rPr>
              <w:t>☐</w:t>
            </w:r>
          </w:p>
        </w:tc>
        <w:tc>
          <w:tcPr>
            <w:tcW w:w="2180" w:type="dxa"/>
            <w:tcBorders/>
            <w:vAlign w:val="center"/>
          </w:tcPr>
          <w:p>
            <w:pPr>
              <w:pStyle w:val="TableContents"/>
              <w:bidi w:val="0"/>
              <w:spacing w:before="0" w:after="0"/>
              <w:jc w:val="left"/>
              <w:rPr>
                <w:rFonts w:ascii="ARIAL" w:hAnsi="ARIAL"/>
                <w:sz w:val="20"/>
              </w:rPr>
            </w:pPr>
            <w:r>
              <w:rPr>
                <w:rFonts w:ascii="ARIAL" w:hAnsi="ARIAL"/>
                <w:sz w:val="20"/>
              </w:rPr>
              <w:t xml:space="preserve">Soliciting Material under </w:t>
            </w:r>
          </w:p>
          <w:p>
            <w:pPr>
              <w:pStyle w:val="TableContents"/>
              <w:bidi w:val="0"/>
              <w:spacing w:before="0" w:after="0"/>
              <w:jc w:val="left"/>
              <w:rPr>
                <w:rFonts w:ascii="ARIAL" w:hAnsi="ARIAL"/>
                <w:spacing w:val="0"/>
                <w:sz w:val="20"/>
              </w:rPr>
            </w:pPr>
            <w:r>
              <w:rPr>
                <w:rFonts w:ascii="ARIAL" w:hAnsi="ARIAL"/>
                <w:spacing w:val="0"/>
                <w:sz w:val="20"/>
              </w:rPr>
              <w:t>Rule 14a-12</w:t>
            </w:r>
          </w:p>
        </w:tc>
      </w:tr>
    </w:tbl>
    <w:p>
      <w:pPr>
        <w:pStyle w:val="TextBody"/>
        <w:bidi w:val="0"/>
        <w:spacing w:before="200" w:after="0"/>
        <w:jc w:val="center"/>
        <w:rPr>
          <w:rFonts w:ascii="ARIAL" w:hAnsi="ARIAL"/>
          <w:b/>
          <w:sz w:val="32"/>
        </w:rPr>
      </w:pPr>
      <w:r>
        <w:rPr>
          <w:rFonts w:ascii="ARIAL" w:hAnsi="ARIAL"/>
          <w:b/>
          <w:sz w:val="32"/>
        </w:rPr>
        <w:t xml:space="preserve">FLYWIRE CORPORATION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0" w:after="0"/>
        <w:jc w:val="center"/>
        <w:rPr>
          <w:rFonts w:ascii="ARIAL" w:hAnsi="ARIAL"/>
          <w:b/>
          <w:sz w:val="20"/>
        </w:rPr>
      </w:pPr>
      <w:r>
        <w:rPr>
          <w:rFonts w:ascii="ARIAL" w:hAnsi="ARIAL"/>
          <w:b/>
          <w:sz w:val="20"/>
        </w:rPr>
        <w:t xml:space="preserve">(Name of Person(s) Filing Proxy Statement, if Other Than the Registrant) </w:t>
      </w:r>
    </w:p>
    <w:p>
      <w:pPr>
        <w:pStyle w:val="TextBody"/>
        <w:bidi w:val="0"/>
        <w:spacing w:before="120" w:after="0"/>
        <w:jc w:val="left"/>
        <w:rPr>
          <w:rFonts w:ascii="ARIAL" w:hAnsi="ARIAL"/>
          <w:sz w:val="20"/>
        </w:rPr>
      </w:pPr>
      <w:r>
        <w:rPr>
          <w:rFonts w:ascii="ARIAL" w:hAnsi="ARIAL"/>
          <w:sz w:val="20"/>
        </w:rPr>
        <w:t xml:space="preserve">Payment of Filing Fee (Check the appropriate box): </w:t>
      </w:r>
    </w:p>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245"/>
        <w:gridCol w:w="1475"/>
      </w:tblGrid>
      <w:tr>
        <w:trPr/>
        <w:tc>
          <w:tcPr>
            <w:tcW w:w="245" w:type="dxa"/>
            <w:tcBorders/>
            <w:vAlign w:val="center"/>
          </w:tcPr>
          <w:p>
            <w:pPr>
              <w:pStyle w:val="TableContents"/>
              <w:bidi w:val="0"/>
              <w:spacing w:before="0" w:after="0"/>
              <w:jc w:val="left"/>
              <w:rPr>
                <w:spacing w:val="0"/>
              </w:rPr>
            </w:pPr>
            <w:r>
              <w:rPr>
                <w:spacing w:val="0"/>
              </w:rPr>
              <w:t>☒</w:t>
            </w:r>
          </w:p>
        </w:tc>
        <w:tc>
          <w:tcPr>
            <w:tcW w:w="1475" w:type="dxa"/>
            <w:tcBorders/>
            <w:vAlign w:val="center"/>
          </w:tcPr>
          <w:p>
            <w:pPr>
              <w:pStyle w:val="TableContents"/>
              <w:bidi w:val="0"/>
              <w:spacing w:before="0" w:after="0"/>
              <w:jc w:val="left"/>
              <w:rPr>
                <w:rFonts w:ascii="ARIAL" w:hAnsi="ARIAL"/>
                <w:sz w:val="20"/>
              </w:rPr>
            </w:pPr>
            <w:r>
              <w:rPr>
                <w:rFonts w:ascii="ARIAL" w:hAnsi="ARIAL"/>
                <w:sz w:val="20"/>
              </w:rPr>
              <w:t xml:space="preserve">No fee required. </w:t>
            </w:r>
          </w:p>
        </w:tc>
      </w:tr>
    </w:tbl>
    <w:tbl>
      <w:tblPr>
        <w:tblW w:w="4360" w:type="dxa"/>
        <w:jc w:val="left"/>
        <w:tblInd w:w="0" w:type="dxa"/>
        <w:tblLayout w:type="fixed"/>
        <w:tblCellMar>
          <w:top w:w="0" w:type="dxa"/>
          <w:left w:w="0" w:type="dxa"/>
          <w:bottom w:w="0" w:type="dxa"/>
          <w:right w:w="0" w:type="dxa"/>
        </w:tblCellMar>
      </w:tblPr>
      <w:tblGrid>
        <w:gridCol w:w="245"/>
        <w:gridCol w:w="4115"/>
      </w:tblGrid>
      <w:tr>
        <w:trPr/>
        <w:tc>
          <w:tcPr>
            <w:tcW w:w="245" w:type="dxa"/>
            <w:tcBorders/>
            <w:vAlign w:val="center"/>
          </w:tcPr>
          <w:p>
            <w:pPr>
              <w:pStyle w:val="TableContents"/>
              <w:bidi w:val="0"/>
              <w:spacing w:before="0" w:after="0"/>
              <w:jc w:val="left"/>
              <w:rPr>
                <w:spacing w:val="0"/>
              </w:rPr>
            </w:pPr>
            <w:r>
              <w:rPr>
                <w:spacing w:val="0"/>
              </w:rPr>
              <w:t>☐</w:t>
            </w:r>
          </w:p>
        </w:tc>
        <w:tc>
          <w:tcPr>
            <w:tcW w:w="4115" w:type="dxa"/>
            <w:tcBorders/>
            <w:vAlign w:val="center"/>
          </w:tcPr>
          <w:p>
            <w:pPr>
              <w:pStyle w:val="TableContents"/>
              <w:bidi w:val="0"/>
              <w:spacing w:before="0" w:after="0"/>
              <w:jc w:val="left"/>
              <w:rPr>
                <w:rFonts w:ascii="ARIAL" w:hAnsi="ARIAL"/>
                <w:sz w:val="20"/>
              </w:rPr>
            </w:pPr>
            <w:r>
              <w:rPr>
                <w:rFonts w:ascii="ARIAL" w:hAnsi="ARIAL"/>
                <w:sz w:val="20"/>
              </w:rPr>
              <w:t xml:space="preserve">Fee paid previously with preliminary materials. </w:t>
            </w:r>
          </w:p>
        </w:tc>
      </w:tr>
    </w:tbl>
    <w:tbl>
      <w:tblPr>
        <w:tblW w:w="7315" w:type="dxa"/>
        <w:jc w:val="left"/>
        <w:tblInd w:w="0" w:type="dxa"/>
        <w:tblLayout w:type="fixed"/>
        <w:tblCellMar>
          <w:top w:w="0" w:type="dxa"/>
          <w:left w:w="0" w:type="dxa"/>
          <w:bottom w:w="0" w:type="dxa"/>
          <w:right w:w="0" w:type="dxa"/>
        </w:tblCellMar>
      </w:tblPr>
      <w:tblGrid>
        <w:gridCol w:w="245"/>
        <w:gridCol w:w="7070"/>
      </w:tblGrid>
      <w:tr>
        <w:trPr/>
        <w:tc>
          <w:tcPr>
            <w:tcW w:w="245" w:type="dxa"/>
            <w:tcBorders/>
            <w:vAlign w:val="center"/>
          </w:tcPr>
          <w:p>
            <w:pPr>
              <w:pStyle w:val="TableContents"/>
              <w:bidi w:val="0"/>
              <w:spacing w:before="0" w:after="0"/>
              <w:jc w:val="left"/>
              <w:rPr>
                <w:spacing w:val="0"/>
              </w:rPr>
            </w:pPr>
            <w:r>
              <w:rPr>
                <w:spacing w:val="0"/>
              </w:rPr>
              <w:t>☐</w:t>
            </w:r>
          </w:p>
        </w:tc>
        <w:tc>
          <w:tcPr>
            <w:tcW w:w="7070" w:type="dxa"/>
            <w:tcBorders/>
            <w:vAlign w:val="center"/>
          </w:tcPr>
          <w:p>
            <w:pPr>
              <w:pStyle w:val="TableContents"/>
              <w:bidi w:val="0"/>
              <w:spacing w:before="0" w:after="0"/>
              <w:jc w:val="left"/>
              <w:rPr>
                <w:rFonts w:ascii="ARIAL" w:hAnsi="ARIAL"/>
                <w:sz w:val="20"/>
              </w:rPr>
            </w:pPr>
            <w:r>
              <w:rPr>
                <w:rFonts w:ascii="ARIAL" w:hAnsi="ARIAL"/>
                <w:sz w:val="20"/>
              </w:rPr>
              <w:t xml:space="preserve">Fee computed on table in exhibit required by Item 25(b) per Exchange Act Rules </w:t>
            </w:r>
          </w:p>
          <w:p>
            <w:pPr>
              <w:pStyle w:val="TableContents"/>
              <w:bidi w:val="0"/>
              <w:spacing w:before="0" w:after="0"/>
              <w:jc w:val="left"/>
              <w:rPr>
                <w:rFonts w:ascii="ARIAL" w:hAnsi="ARIAL"/>
                <w:spacing w:val="0"/>
                <w:sz w:val="20"/>
              </w:rPr>
            </w:pPr>
            <w:r>
              <w:rPr>
                <w:rFonts w:ascii="ARIAL" w:hAnsi="ARIAL"/>
                <w:spacing w:val="0"/>
                <w:sz w:val="20"/>
              </w:rPr>
              <w:t>14a-6(i)(1)</w:t>
            </w:r>
          </w:p>
          <w:p>
            <w:pPr>
              <w:pStyle w:val="TableContents"/>
              <w:bidi w:val="0"/>
              <w:spacing w:before="0" w:after="0"/>
              <w:jc w:val="left"/>
              <w:rPr>
                <w:rFonts w:ascii="ARIAL" w:hAnsi="ARIAL"/>
                <w:sz w:val="20"/>
              </w:rPr>
            </w:pPr>
            <w:r>
              <w:rPr>
                <w:rFonts w:ascii="ARIAL" w:hAnsi="ARIAL"/>
                <w:sz w:val="20"/>
              </w:rPr>
              <w:t xml:space="preserve">and </w:t>
            </w:r>
          </w:p>
          <w:p>
            <w:pPr>
              <w:pStyle w:val="TableContents"/>
              <w:bidi w:val="0"/>
              <w:spacing w:before="0" w:after="0"/>
              <w:jc w:val="left"/>
              <w:rPr>
                <w:rFonts w:ascii="ARIAL" w:hAnsi="ARIAL"/>
                <w:spacing w:val="0"/>
                <w:sz w:val="20"/>
              </w:rPr>
            </w:pPr>
            <w:r>
              <w:rPr>
                <w:rFonts w:ascii="ARIAL" w:hAnsi="ARIAL"/>
                <w:spacing w:val="0"/>
                <w:sz w:val="20"/>
              </w:rPr>
              <w:t>0-11.</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56"/>
        </w:rPr>
      </w:pPr>
      <w:r>
        <w:rPr>
          <w:rFonts w:ascii="ARIAL" w:hAnsi="ARIAL"/>
          <w:b/>
          <w:sz w:val="56"/>
        </w:rPr>
        <w:t xml:space="preserve">Dear Stockholder: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00" w:after="0"/>
        <w:jc w:val="left"/>
        <w:rPr>
          <w:rFonts w:ascii="ARIAL" w:hAnsi="ARIAL"/>
          <w:sz w:val="18"/>
        </w:rPr>
      </w:pPr>
      <w:r>
        <w:rPr>
          <w:rFonts w:ascii="ARIAL" w:hAnsi="ARIAL"/>
          <w:sz w:val="18"/>
        </w:rPr>
        <w:t xml:space="preserve">April 22, 2025 </w:t>
      </w:r>
    </w:p>
    <w:p>
      <w:pPr>
        <w:pStyle w:val="TextBody"/>
        <w:bidi w:val="0"/>
        <w:spacing w:before="200" w:after="0"/>
        <w:jc w:val="left"/>
        <w:rPr>
          <w:rFonts w:ascii="ARIAL" w:hAnsi="ARIAL"/>
          <w:sz w:val="18"/>
        </w:rPr>
      </w:pPr>
      <w:r>
        <w:rPr>
          <w:rFonts w:ascii="ARIAL" w:hAnsi="ARIAL"/>
          <w:sz w:val="18"/>
        </w:rPr>
        <w:t xml:space="preserve">You are cordially invited to attend the 2025 Annual Meeting of Stockholders of Flywire Corporation (Flywire) that will be held on Tuesday, June 3, 2025 at 9:30 a.m. EDT (the Annual Meeting). The Annual Meeting will be held virtually via live audio webcast on the internet at www.proxydocs.com/FLYW. Even though our Annual Meeting will be held virtually, stockholders will still have the ability to participate and vote their shares at the Annual Meeting if they wish. </w:t>
      </w:r>
    </w:p>
    <w:p>
      <w:pPr>
        <w:pStyle w:val="TextBody"/>
        <w:bidi w:val="0"/>
        <w:spacing w:before="200" w:after="0"/>
        <w:jc w:val="left"/>
        <w:rPr>
          <w:rFonts w:ascii="ARIAL" w:hAnsi="ARIAL"/>
          <w:sz w:val="18"/>
        </w:rPr>
      </w:pPr>
      <w:r>
        <w:rPr>
          <w:rFonts w:ascii="ARIAL" w:hAnsi="ARIAL"/>
          <w:sz w:val="18"/>
        </w:rPr>
        <w:t xml:space="preserve">Details regarding the Annual Meeting and the business to be conducted are described in the accompanying proxy materials. Also included is a copy of our annual report on Form 10-K for the year ended December 31, 2024 (the 2024 Annual Report). We encourage you to read this information carefully. Your vote is important. Whether or not you plan to attend the Annual Meeting, we hope you will vote as soon as possible. You may vote over the internet, by telephone or by mailing a proxy card, if you have requested one. Please review the instructions on the Notice of Internet Availability of Proxy Materials you received in the mail regarding each of these voting options. </w:t>
      </w:r>
    </w:p>
    <w:p>
      <w:pPr>
        <w:pStyle w:val="TextBody"/>
        <w:bidi w:val="0"/>
        <w:spacing w:before="200" w:after="0"/>
        <w:jc w:val="left"/>
        <w:rPr>
          <w:rFonts w:ascii="ARIAL" w:hAnsi="ARIAL"/>
          <w:sz w:val="18"/>
        </w:rPr>
      </w:pPr>
      <w:r>
        <w:rPr>
          <w:rFonts w:ascii="ARIAL" w:hAnsi="ARIAL"/>
          <w:sz w:val="18"/>
        </w:rPr>
        <w:t xml:space="preserve">Thank you for your ongoing support of Flywire. </w:t>
      </w:r>
    </w:p>
    <w:p>
      <w:pPr>
        <w:pStyle w:val="TextBody"/>
        <w:bidi w:val="0"/>
        <w:spacing w:before="200" w:after="0"/>
        <w:jc w:val="left"/>
        <w:rPr>
          <w:rFonts w:ascii="ARIAL" w:hAnsi="ARIAL"/>
          <w:sz w:val="18"/>
        </w:rPr>
      </w:pPr>
      <w:r>
        <w:rPr>
          <w:rFonts w:ascii="ARIAL" w:hAnsi="ARIAL"/>
          <w:sz w:val="18"/>
        </w:rPr>
        <w:t xml:space="preserve">Very truly yours, </w:t>
      </w:r>
    </w:p>
    <w:p>
      <w:pPr>
        <w:pStyle w:val="TextBody"/>
        <w:bidi w:val="0"/>
        <w:spacing w:before="360" w:after="0"/>
        <w:jc w:val="left"/>
        <w:rPr>
          <w:rFonts w:ascii="ARIAL" w:hAnsi="ARIAL"/>
          <w:b/>
          <w:sz w:val="18"/>
        </w:rPr>
      </w:pPr>
      <w:r>
        <w:rPr>
          <w:rFonts w:ascii="ARIAL" w:hAnsi="ARIAL"/>
          <w:b/>
          <w:sz w:val="18"/>
        </w:rPr>
        <w:t xml:space="preserve">Michael Massaro </w:t>
      </w:r>
    </w:p>
    <w:p>
      <w:pPr>
        <w:pStyle w:val="TextBody"/>
        <w:bidi w:val="0"/>
        <w:spacing w:before="0" w:after="0"/>
        <w:jc w:val="left"/>
        <w:rPr>
          <w:rFonts w:ascii="ARIAL" w:hAnsi="ARIAL"/>
          <w:sz w:val="18"/>
        </w:rPr>
      </w:pPr>
      <w:r>
        <w:rPr>
          <w:rFonts w:ascii="ARIAL" w:hAnsi="ARIAL"/>
          <w:sz w:val="18"/>
        </w:rPr>
        <w:t xml:space="preserve">Chief Executive Officer and Director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sz w:val="18"/>
        </w:rPr>
      </w:pPr>
      <w:r>
        <w:rPr>
          <w:rFonts w:ascii="ARIAL" w:hAnsi="ARIAL"/>
          <w:b/>
          <w:sz w:val="18"/>
        </w:rPr>
        <w:t xml:space="preserve">FLYWIRE CORPORATION </w:t>
      </w:r>
    </w:p>
    <w:p>
      <w:pPr>
        <w:pStyle w:val="TextBody"/>
        <w:bidi w:val="0"/>
        <w:spacing w:before="0" w:after="0"/>
        <w:jc w:val="right"/>
        <w:rPr>
          <w:rFonts w:ascii="ARIAL" w:hAnsi="ARIAL"/>
          <w:b/>
          <w:sz w:val="18"/>
        </w:rPr>
      </w:pPr>
      <w:r>
        <w:rPr>
          <w:rFonts w:ascii="ARIAL" w:hAnsi="ARIAL"/>
          <w:b/>
          <w:sz w:val="18"/>
        </w:rPr>
        <w:t xml:space="preserve">141 Tremont St., 10th Floor </w:t>
      </w:r>
    </w:p>
    <w:p>
      <w:pPr>
        <w:pStyle w:val="TextBody"/>
        <w:bidi w:val="0"/>
        <w:spacing w:before="0" w:after="0"/>
        <w:jc w:val="right"/>
        <w:rPr>
          <w:rFonts w:ascii="ARIAL" w:hAnsi="ARIAL"/>
          <w:b/>
          <w:sz w:val="18"/>
        </w:rPr>
      </w:pPr>
      <w:r>
        <w:rPr>
          <w:rFonts w:ascii="ARIAL" w:hAnsi="ARIAL"/>
          <w:b/>
          <w:sz w:val="18"/>
        </w:rPr>
        <w:t xml:space="preserve">Boston, Massachusetts 02111 </w:t>
      </w:r>
    </w:p>
    <w:p>
      <w:pPr>
        <w:pStyle w:val="TextBody"/>
        <w:bidi w:val="0"/>
        <w:spacing w:before="240" w:after="0"/>
        <w:jc w:val="left"/>
        <w:rPr>
          <w:rFonts w:ascii="ARIAL" w:hAnsi="ARIAL"/>
          <w:b/>
          <w:sz w:val="56"/>
        </w:rPr>
      </w:pPr>
      <w:r>
        <w:rPr>
          <w:rFonts w:ascii="ARIAL" w:hAnsi="ARIAL"/>
          <w:b/>
          <w:sz w:val="56"/>
        </w:rPr>
        <w:t xml:space="preserve">Notice of Annual Meeting </w:t>
      </w:r>
    </w:p>
    <w:p>
      <w:pPr>
        <w:pStyle w:val="TextBody"/>
        <w:bidi w:val="0"/>
        <w:spacing w:before="0" w:after="0"/>
        <w:jc w:val="left"/>
        <w:rPr>
          <w:rFonts w:ascii="ARIAL" w:hAnsi="ARIAL"/>
          <w:b/>
          <w:sz w:val="56"/>
        </w:rPr>
      </w:pPr>
      <w:r>
        <w:rPr>
          <w:rFonts w:ascii="ARIAL" w:hAnsi="ARIAL"/>
          <w:b/>
          <w:sz w:val="56"/>
        </w:rPr>
        <w:t xml:space="preserve">for 2025 Annual Meeting of Stockholders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1"/>
        <w:gridCol w:w="60"/>
        <w:gridCol w:w="943"/>
        <w:gridCol w:w="60"/>
        <w:gridCol w:w="678"/>
        <w:gridCol w:w="60"/>
        <w:gridCol w:w="4491"/>
        <w:gridCol w:w="60"/>
        <w:gridCol w:w="655"/>
        <w:gridCol w:w="60"/>
        <w:gridCol w:w="2447"/>
      </w:tblGrid>
      <w:tr>
        <w:trPr/>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before="0" w:after="283"/>
              <w:jc w:val="left"/>
              <w:rPr/>
            </w:pPr>
            <w:r>
              <w:rPr/>
              <w:drawing>
                <wp:inline distT="0" distB="0" distL="0" distR="0">
                  <wp:extent cx="420370" cy="4203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0370" cy="4203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0"/>
              <w:jc w:val="left"/>
              <w:rPr>
                <w:rFonts w:ascii="ARIAL" w:hAnsi="ARIAL"/>
                <w:b/>
                <w:color w:val="2393FF"/>
                <w:sz w:val="18"/>
              </w:rPr>
            </w:pPr>
            <w:r>
              <w:rPr>
                <w:rFonts w:ascii="ARIAL" w:hAnsi="ARIAL"/>
                <w:b/>
                <w:color w:val="2393FF"/>
                <w:sz w:val="18"/>
              </w:rPr>
              <w:t>Time and Date:</w:t>
            </w:r>
          </w:p>
          <w:p>
            <w:pPr>
              <w:pStyle w:val="TableContents"/>
              <w:bidi w:val="0"/>
              <w:spacing w:before="0" w:after="0"/>
              <w:jc w:val="left"/>
              <w:rPr>
                <w:rFonts w:ascii="ARIAL" w:hAnsi="ARIAL"/>
                <w:sz w:val="16"/>
              </w:rPr>
            </w:pPr>
            <w:r>
              <w:rPr>
                <w:rFonts w:ascii="ARIAL" w:hAnsi="ARIAL"/>
                <w:sz w:val="16"/>
              </w:rPr>
              <w:t>Tuesday, June 3,</w:t>
            </w:r>
          </w:p>
          <w:p>
            <w:pPr>
              <w:pStyle w:val="TableContents"/>
              <w:bidi w:val="0"/>
              <w:spacing w:before="0" w:after="20"/>
              <w:jc w:val="left"/>
              <w:rPr>
                <w:rFonts w:ascii="ARIAL" w:hAnsi="ARIAL"/>
                <w:sz w:val="16"/>
              </w:rPr>
            </w:pPr>
            <w:r>
              <w:rPr>
                <w:rFonts w:ascii="ARIAL" w:hAnsi="ARIAL"/>
                <w:sz w:val="16"/>
              </w:rPr>
              <w:t>2025 at 9:30 a.m. EDT.</w:t>
            </w:r>
          </w:p>
        </w:tc>
        <w:tc>
          <w:tcPr>
            <w:tcW w:w="60"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drawing>
                <wp:inline distT="0" distB="0" distL="0" distR="0">
                  <wp:extent cx="421640" cy="4216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21640" cy="4216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491" w:type="dxa"/>
            <w:tcBorders/>
            <w:vAlign w:val="center"/>
          </w:tcPr>
          <w:p>
            <w:pPr>
              <w:pStyle w:val="TableContents"/>
              <w:bidi w:val="0"/>
              <w:spacing w:before="0" w:after="0"/>
              <w:jc w:val="left"/>
              <w:rPr>
                <w:rFonts w:ascii="ARIAL" w:hAnsi="ARIAL"/>
                <w:b/>
                <w:color w:val="2393FF"/>
                <w:sz w:val="18"/>
              </w:rPr>
            </w:pPr>
            <w:r>
              <w:rPr>
                <w:rFonts w:ascii="ARIAL" w:hAnsi="ARIAL"/>
                <w:b/>
                <w:color w:val="2393FF"/>
                <w:sz w:val="18"/>
              </w:rPr>
              <w:t>Place:</w:t>
            </w:r>
          </w:p>
          <w:p>
            <w:pPr>
              <w:pStyle w:val="TableContents"/>
              <w:bidi w:val="0"/>
              <w:spacing w:before="0" w:after="20"/>
              <w:jc w:val="left"/>
              <w:rPr>
                <w:rFonts w:ascii="ARIAL" w:hAnsi="ARIAL"/>
                <w:sz w:val="16"/>
              </w:rPr>
            </w:pPr>
            <w:r>
              <w:rPr>
                <w:rFonts w:ascii="ARIAL" w:hAnsi="ARIAL"/>
                <w:sz w:val="16"/>
              </w:rPr>
              <w:t>The Annual Meeting will be held via live webcast at www.proxydocs.com/FLYW. To participate, you will need the 16-digit control number provided on your proxy card or voting instruction form.</w:t>
            </w:r>
          </w:p>
        </w:tc>
        <w:tc>
          <w:tcPr>
            <w:tcW w:w="60"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pPr>
            <w:r>
              <w:rPr/>
              <w:drawing>
                <wp:inline distT="0" distB="0" distL="0" distR="0">
                  <wp:extent cx="407035" cy="4070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07035" cy="4070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47" w:type="dxa"/>
            <w:tcBorders/>
            <w:vAlign w:val="center"/>
          </w:tcPr>
          <w:p>
            <w:pPr>
              <w:pStyle w:val="TableContents"/>
              <w:bidi w:val="0"/>
              <w:spacing w:before="0" w:after="0"/>
              <w:jc w:val="left"/>
              <w:rPr>
                <w:rFonts w:ascii="ARIAL" w:hAnsi="ARIAL"/>
                <w:b/>
                <w:color w:val="2393FF"/>
                <w:sz w:val="18"/>
              </w:rPr>
            </w:pPr>
            <w:r>
              <w:rPr>
                <w:rFonts w:ascii="ARIAL" w:hAnsi="ARIAL"/>
                <w:b/>
                <w:color w:val="2393FF"/>
                <w:sz w:val="18"/>
              </w:rPr>
              <w:t>Record Date:</w:t>
            </w:r>
          </w:p>
          <w:p>
            <w:pPr>
              <w:pStyle w:val="TableContents"/>
              <w:bidi w:val="0"/>
              <w:spacing w:before="0" w:after="20"/>
              <w:jc w:val="left"/>
              <w:rPr>
                <w:rFonts w:ascii="ARIAL" w:hAnsi="ARIAL"/>
                <w:sz w:val="16"/>
              </w:rPr>
            </w:pPr>
            <w:r>
              <w:rPr>
                <w:rFonts w:ascii="ARIAL" w:hAnsi="ARIAL"/>
                <w:sz w:val="16"/>
              </w:rPr>
              <w:t>You are entitled to vote if you were a stockholder of record as of the close of business on April 8, 2025.</w:t>
            </w:r>
          </w:p>
        </w:tc>
      </w:tr>
    </w:tbl>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left"/>
        <w:rPr>
          <w:rFonts w:ascii="ARIAL" w:hAnsi="ARIAL"/>
          <w:sz w:val="18"/>
        </w:rPr>
      </w:pPr>
      <w:r>
        <w:rPr>
          <w:rFonts w:ascii="ARIAL" w:hAnsi="ARIAL"/>
          <w:sz w:val="18"/>
        </w:rPr>
        <w:t xml:space="preserve">ITEMS OF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120"/>
        <w:gridCol w:w="60"/>
        <w:gridCol w:w="120"/>
        <w:gridCol w:w="9624"/>
      </w:tblGrid>
      <w:tr>
        <w:trPr/>
        <w:tc>
          <w:tcPr>
            <w:tcW w:w="2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24" w:type="dxa"/>
            <w:tcBorders/>
            <w:vAlign w:val="center"/>
          </w:tcPr>
          <w:p>
            <w:pPr>
              <w:pStyle w:val="TableContents"/>
              <w:bidi w:val="0"/>
              <w:spacing w:before="0" w:after="283"/>
              <w:jc w:val="left"/>
              <w:rPr>
                <w:sz w:val="4"/>
                <w:szCs w:val="4"/>
              </w:rPr>
            </w:pPr>
            <w:r>
              <w:rPr>
                <w:sz w:val="4"/>
                <w:szCs w:val="4"/>
              </w:rPr>
            </w:r>
          </w:p>
        </w:tc>
      </w:tr>
      <w:tr>
        <w:trPr/>
        <w:tc>
          <w:tcPr>
            <w:tcW w:w="281" w:type="dxa"/>
            <w:tcBorders/>
            <w:shd w:fill="E8F4FF" w:val="clear"/>
            <w:vAlign w:val="center"/>
          </w:tcPr>
          <w:p>
            <w:pPr>
              <w:pStyle w:val="TableContents"/>
              <w:bidi w:val="0"/>
              <w:spacing w:before="0" w:after="283"/>
              <w:jc w:val="left"/>
              <w:rPr>
                <w:sz w:val="4"/>
                <w:szCs w:val="4"/>
              </w:rPr>
            </w:pPr>
            <w:r>
              <w:rPr>
                <w:sz w:val="4"/>
                <w:szCs w:val="4"/>
              </w:rPr>
            </w:r>
          </w:p>
        </w:tc>
        <w:tc>
          <w:tcPr>
            <w:tcW w:w="180" w:type="dxa"/>
            <w:gridSpan w:val="2"/>
            <w:tcBorders/>
            <w:shd w:fill="E8F4FF" w:val="clear"/>
            <w:vAlign w:val="center"/>
          </w:tcPr>
          <w:p>
            <w:pPr>
              <w:pStyle w:val="TableContents"/>
              <w:bidi w:val="0"/>
              <w:spacing w:before="0" w:after="283"/>
              <w:jc w:val="left"/>
              <w:rPr>
                <w:sz w:val="4"/>
                <w:szCs w:val="4"/>
              </w:rPr>
            </w:pPr>
            <w:r>
              <w:rPr>
                <w:sz w:val="4"/>
                <w:szCs w:val="4"/>
              </w:rPr>
            </w:r>
          </w:p>
        </w:tc>
        <w:tc>
          <w:tcPr>
            <w:tcW w:w="9744"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281" w:type="dxa"/>
            <w:tcBorders/>
            <w:shd w:fill="E8F4FF"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2393FF"/>
                <w:sz w:val="36"/>
              </w:rPr>
            </w:pPr>
            <w:r>
              <w:rPr>
                <w:rFonts w:ascii="ARIAL" w:hAnsi="ARIAL"/>
                <w:b/>
                <w:color w:val="2393FF"/>
                <w:sz w:val="36"/>
              </w:rPr>
              <w:t>1</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9624" w:type="dxa"/>
            <w:tcBorders/>
            <w:shd w:fill="E8F4FF" w:val="clear"/>
            <w:vAlign w:val="center"/>
          </w:tcPr>
          <w:p>
            <w:pPr>
              <w:pStyle w:val="TableContents"/>
              <w:bidi w:val="0"/>
              <w:spacing w:before="0" w:after="283"/>
              <w:jc w:val="left"/>
              <w:rPr/>
            </w:pPr>
            <w:r>
              <w:rPr/>
              <w:t>To elect the two directors named in the proxy statement accompanying this notice to serve as Class I directors until the annual meeting held in 2028 and until their successors are duly elected and qualified.</w:t>
            </w:r>
          </w:p>
        </w:tc>
      </w:tr>
      <w:tr>
        <w:trPr/>
        <w:tc>
          <w:tcPr>
            <w:tcW w:w="281"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9744" w:type="dxa"/>
            <w:gridSpan w:val="2"/>
            <w:tcBorders/>
            <w:vAlign w:val="center"/>
          </w:tcPr>
          <w:p>
            <w:pPr>
              <w:pStyle w:val="TableContents"/>
              <w:bidi w:val="0"/>
              <w:spacing w:before="0" w:after="283"/>
              <w:jc w:val="left"/>
              <w:rPr>
                <w:sz w:val="4"/>
                <w:szCs w:val="4"/>
              </w:rPr>
            </w:pPr>
            <w:r>
              <w:rPr>
                <w:sz w:val="4"/>
                <w:szCs w:val="4"/>
              </w:rPr>
            </w:r>
          </w:p>
        </w:tc>
      </w:tr>
      <w:tr>
        <w:trPr/>
        <w:tc>
          <w:tcPr>
            <w:tcW w:w="281"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2393FF"/>
                <w:sz w:val="36"/>
              </w:rPr>
            </w:pPr>
            <w:r>
              <w:rPr>
                <w:rFonts w:ascii="ARIAL" w:hAnsi="ARIAL"/>
                <w:b/>
                <w:color w:val="2393FF"/>
                <w:sz w:val="36"/>
              </w:rPr>
              <w:t>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624" w:type="dxa"/>
            <w:tcBorders/>
            <w:vAlign w:val="center"/>
          </w:tcPr>
          <w:p>
            <w:pPr>
              <w:pStyle w:val="TableContents"/>
              <w:bidi w:val="0"/>
              <w:spacing w:before="0" w:after="283"/>
              <w:jc w:val="left"/>
              <w:rPr/>
            </w:pPr>
            <w:r>
              <w:rPr/>
              <w:t>To ratify the appointment of PricewaterhouseCoopers LLP as Flywire Corporation’s independent registered public accounting firm for the year ending December 31, 2025.</w:t>
            </w:r>
          </w:p>
        </w:tc>
      </w:tr>
      <w:tr>
        <w:trPr/>
        <w:tc>
          <w:tcPr>
            <w:tcW w:w="281" w:type="dxa"/>
            <w:tcBorders/>
            <w:shd w:fill="E8F4FF" w:val="clear"/>
            <w:vAlign w:val="center"/>
          </w:tcPr>
          <w:p>
            <w:pPr>
              <w:pStyle w:val="TableContents"/>
              <w:bidi w:val="0"/>
              <w:spacing w:before="0" w:after="283"/>
              <w:jc w:val="left"/>
              <w:rPr>
                <w:sz w:val="4"/>
                <w:szCs w:val="4"/>
              </w:rPr>
            </w:pPr>
            <w:r>
              <w:rPr>
                <w:sz w:val="4"/>
                <w:szCs w:val="4"/>
              </w:rPr>
            </w:r>
          </w:p>
        </w:tc>
        <w:tc>
          <w:tcPr>
            <w:tcW w:w="180" w:type="dxa"/>
            <w:gridSpan w:val="2"/>
            <w:tcBorders/>
            <w:shd w:fill="E8F4FF" w:val="clear"/>
            <w:vAlign w:val="center"/>
          </w:tcPr>
          <w:p>
            <w:pPr>
              <w:pStyle w:val="TableContents"/>
              <w:bidi w:val="0"/>
              <w:spacing w:before="0" w:after="283"/>
              <w:jc w:val="left"/>
              <w:rPr>
                <w:sz w:val="4"/>
                <w:szCs w:val="4"/>
              </w:rPr>
            </w:pPr>
            <w:r>
              <w:rPr>
                <w:sz w:val="4"/>
                <w:szCs w:val="4"/>
              </w:rPr>
            </w:r>
          </w:p>
        </w:tc>
        <w:tc>
          <w:tcPr>
            <w:tcW w:w="9744"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281" w:type="dxa"/>
            <w:tcBorders>
              <w:bottom w:val="single" w:sz="8" w:space="0" w:color="2393FF"/>
            </w:tcBorders>
            <w:shd w:fill="E8F4FF" w:val="clear"/>
            <w:tcMar>
              <w:bottom w:w="160" w:type="dxa"/>
            </w:tcMar>
            <w:vAlign w:val="center"/>
          </w:tcPr>
          <w:p>
            <w:pPr>
              <w:pStyle w:val="TableContents"/>
              <w:bidi w:val="0"/>
              <w:spacing w:before="0" w:after="0"/>
              <w:jc w:val="left"/>
              <w:rPr/>
            </w:pPr>
            <w:r>
              <w:rPr/>
              <w:t> </w:t>
            </w:r>
          </w:p>
          <w:p>
            <w:pPr>
              <w:pStyle w:val="TableContents"/>
              <w:bidi w:val="0"/>
              <w:spacing w:before="0" w:after="20"/>
              <w:jc w:val="right"/>
              <w:rPr>
                <w:color w:val="2393FF"/>
              </w:rPr>
            </w:pPr>
            <w:r>
              <w:rPr>
                <w:color w:val="2393FF"/>
              </w:rPr>
              <w:t> </w:t>
            </w:r>
            <w:r>
              <w:rPr>
                <w:rFonts w:ascii="ARIAL" w:hAnsi="ARIAL"/>
                <w:b/>
                <w:color w:val="2393FF"/>
                <w:sz w:val="36"/>
              </w:rPr>
              <w:t>3</w:t>
            </w:r>
          </w:p>
        </w:tc>
        <w:tc>
          <w:tcPr>
            <w:tcW w:w="12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6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12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9624" w:type="dxa"/>
            <w:tcBorders>
              <w:bottom w:val="single" w:sz="8" w:space="0" w:color="2393FF"/>
            </w:tcBorders>
            <w:shd w:fill="E8F4FF" w:val="clear"/>
            <w:tcMar>
              <w:bottom w:w="160" w:type="dxa"/>
            </w:tcMar>
            <w:vAlign w:val="center"/>
          </w:tcPr>
          <w:p>
            <w:pPr>
              <w:pStyle w:val="TableContents"/>
              <w:bidi w:val="0"/>
              <w:spacing w:before="0" w:after="283"/>
              <w:jc w:val="left"/>
              <w:rPr/>
            </w:pPr>
            <w:r>
              <w:rPr/>
              <w:t>To approve, on a non-binding, advisory basis, the compensation of Flywire Corporation’s named executive officers as described in this proxy statement.</w:t>
            </w:r>
          </w:p>
        </w:tc>
      </w:tr>
    </w:tbl>
    <w:p>
      <w:pPr>
        <w:pStyle w:val="TextBody"/>
        <w:bidi w:val="0"/>
        <w:spacing w:before="200" w:after="0"/>
        <w:jc w:val="left"/>
        <w:rPr>
          <w:rFonts w:ascii="ARIAL" w:hAnsi="ARIAL"/>
          <w:sz w:val="18"/>
        </w:rPr>
      </w:pPr>
      <w:r>
        <w:rPr>
          <w:rFonts w:ascii="ARIAL" w:hAnsi="ARIAL"/>
          <w:sz w:val="18"/>
        </w:rPr>
        <w:t xml:space="preserve">To transact such other business as may properly come before the Annual Meeting or any adjournment thereof. </w:t>
      </w:r>
    </w:p>
    <w:p>
      <w:pPr>
        <w:pStyle w:val="TextBody"/>
        <w:bidi w:val="0"/>
        <w:spacing w:before="200" w:after="0"/>
        <w:jc w:val="left"/>
        <w:rPr>
          <w:rFonts w:ascii="ARIAL" w:hAnsi="ARIAL"/>
          <w:sz w:val="18"/>
        </w:rPr>
      </w:pPr>
      <w:r>
        <w:rPr>
          <w:rFonts w:ascii="ARIAL" w:hAnsi="ARIAL"/>
          <w:sz w:val="18"/>
        </w:rPr>
        <w:t xml:space="preserve">These items of business are more fully described in the proxy statement accompanying this notice. </w:t>
      </w:r>
    </w:p>
    <w:p>
      <w:pPr>
        <w:pStyle w:val="TextBody"/>
        <w:bidi w:val="0"/>
        <w:spacing w:before="200" w:after="0"/>
        <w:jc w:val="left"/>
        <w:rPr>
          <w:rFonts w:ascii="ARIAL" w:hAnsi="ARIAL"/>
          <w:sz w:val="18"/>
        </w:rPr>
      </w:pPr>
      <w:r>
        <w:rPr>
          <w:rFonts w:ascii="ARIAL" w:hAnsi="ARIAL"/>
          <w:sz w:val="18"/>
        </w:rPr>
        <w:t xml:space="preserve">ADJOURNMENTS AND POSTPONEMENTS </w:t>
      </w:r>
    </w:p>
    <w:p>
      <w:pPr>
        <w:pStyle w:val="TextBody"/>
        <w:bidi w:val="0"/>
        <w:spacing w:before="200" w:after="0"/>
        <w:jc w:val="left"/>
        <w:rPr>
          <w:rFonts w:ascii="ARIAL" w:hAnsi="ARIAL"/>
          <w:sz w:val="18"/>
        </w:rPr>
      </w:pPr>
      <w:r>
        <w:rPr>
          <w:rFonts w:ascii="ARIAL" w:hAnsi="ARIAL"/>
          <w:sz w:val="18"/>
        </w:rPr>
        <w:t xml:space="preserve">Any action on the items of business described above may be considered at the Annual Meeting at the time and on the date specified above or at any time and date to which the Annual Meeting may be properly adjourned or postponed. </w:t>
      </w:r>
    </w:p>
    <w:p>
      <w:pPr>
        <w:pStyle w:val="TextBody"/>
        <w:bidi w:val="0"/>
        <w:spacing w:before="200" w:after="0"/>
        <w:jc w:val="left"/>
        <w:rPr>
          <w:rFonts w:ascii="ARIAL" w:hAnsi="ARIAL"/>
          <w:sz w:val="18"/>
        </w:rPr>
      </w:pPr>
      <w:r>
        <w:rPr>
          <w:rFonts w:ascii="ARIAL" w:hAnsi="ARIAL"/>
          <w:sz w:val="18"/>
        </w:rPr>
        <w:t xml:space="preserve">VOTING </w:t>
      </w:r>
    </w:p>
    <w:p>
      <w:pPr>
        <w:pStyle w:val="TextBody"/>
        <w:bidi w:val="0"/>
        <w:spacing w:before="200" w:after="0"/>
        <w:jc w:val="left"/>
        <w:rPr>
          <w:rFonts w:ascii="ARIAL" w:hAnsi="ARIAL"/>
          <w:sz w:val="18"/>
        </w:rPr>
      </w:pPr>
      <w:r>
        <w:rPr>
          <w:rFonts w:ascii="ARIAL" w:hAnsi="ARIAL"/>
          <w:sz w:val="18"/>
        </w:rPr>
        <w:t xml:space="preserve">Your vote is very important. Whether or not you plan to attend the Annual Meeting, we encourage you to read the proxy statement and vote on the internet or by telephone or submit your proxy card, if you have requested one, as soon as possible. For specific instructions on how to vote your shares, please refer to the section entitled “Questions and Answers about Procedural Matters.”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A Notice of Internet Availability of Proxy Materials (Notice) has been mailed to stockholders of record on or about April 22, 2025. The Notice contains instructions on how to access our proxy statement for our 2025 Annual Meeting of Stockholders and our 2024 Annual Report (together, the proxy materials). The Notice also provides instructions on how to vote online, by telephone or by mail and includes instructions on how to receive a paper copy of proxy materials by mail. The proxy materials can be accessed directly at the following internet address: www.proxydocs.com/FLYW. </w:t>
      </w:r>
    </w:p>
    <w:p>
      <w:pPr>
        <w:pStyle w:val="TextBody"/>
        <w:bidi w:val="0"/>
        <w:spacing w:before="160" w:after="0"/>
        <w:jc w:val="left"/>
        <w:rPr>
          <w:rFonts w:ascii="ARIAL" w:hAnsi="ARIAL"/>
          <w:sz w:val="18"/>
        </w:rPr>
      </w:pPr>
      <w:r>
        <w:rPr>
          <w:rFonts w:ascii="ARIAL" w:hAnsi="ARIAL"/>
          <w:sz w:val="18"/>
        </w:rPr>
        <w:t xml:space="preserve">By order of the Board of Directors, </w:t>
      </w:r>
    </w:p>
    <w:p>
      <w:pPr>
        <w:pStyle w:val="TextBody"/>
        <w:bidi w:val="0"/>
        <w:spacing w:before="600" w:after="0"/>
        <w:jc w:val="left"/>
        <w:rPr>
          <w:rFonts w:ascii="ARIAL" w:hAnsi="ARIAL"/>
          <w:b/>
          <w:sz w:val="18"/>
        </w:rPr>
      </w:pPr>
      <w:r>
        <w:rPr>
          <w:rFonts w:ascii="ARIAL" w:hAnsi="ARIAL"/>
          <w:b/>
          <w:sz w:val="18"/>
        </w:rPr>
        <w:t xml:space="preserve">Michael Massaro </w:t>
      </w:r>
    </w:p>
    <w:p>
      <w:pPr>
        <w:pStyle w:val="TextBody"/>
        <w:bidi w:val="0"/>
        <w:spacing w:before="0" w:after="0"/>
        <w:jc w:val="left"/>
        <w:rPr>
          <w:rFonts w:ascii="ARIAL" w:hAnsi="ARIAL"/>
          <w:sz w:val="18"/>
        </w:rPr>
      </w:pPr>
      <w:r>
        <w:rPr>
          <w:rFonts w:ascii="ARIAL" w:hAnsi="ARIAL"/>
          <w:sz w:val="18"/>
        </w:rPr>
        <w:t xml:space="preserve">Chief Executive Officer and Director </w:t>
      </w:r>
    </w:p>
    <w:p>
      <w:pPr>
        <w:pStyle w:val="TextBody"/>
        <w:bidi w:val="0"/>
        <w:spacing w:before="160" w:after="0"/>
        <w:jc w:val="left"/>
        <w:rPr>
          <w:rFonts w:ascii="ARIAL" w:hAnsi="ARIAL"/>
          <w:i/>
          <w:sz w:val="18"/>
        </w:rPr>
      </w:pPr>
      <w:r>
        <w:rPr>
          <w:rFonts w:ascii="ARIAL" w:hAnsi="ARIAL"/>
          <w:i/>
          <w:sz w:val="18"/>
        </w:rPr>
        <w:t xml:space="preserve">This notice of annual meeting, proxy statement and accompanying form of proxy card are being made available on or about April 22, 2025.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56"/>
        </w:rPr>
      </w:pPr>
      <w:bookmarkStart w:id="2" w:name="toc"/>
      <w:bookmarkEnd w:id="2"/>
      <w:r>
        <w:rPr>
          <w:rFonts w:ascii="ARIAL" w:hAnsi="ARIAL"/>
          <w:b/>
          <w:sz w:val="56"/>
        </w:rPr>
        <w:t xml:space="preserve">Table of Contents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tbl>
      <w:tblPr>
        <w:tblW w:w="10060" w:type="dxa"/>
        <w:jc w:val="left"/>
        <w:tblInd w:w="0" w:type="dxa"/>
        <w:tblLayout w:type="fixed"/>
        <w:tblCellMar>
          <w:top w:w="0" w:type="dxa"/>
          <w:left w:w="0" w:type="dxa"/>
          <w:bottom w:w="0" w:type="dxa"/>
          <w:right w:w="0" w:type="dxa"/>
        </w:tblCellMar>
      </w:tblPr>
      <w:tblGrid>
        <w:gridCol w:w="9545"/>
        <w:gridCol w:w="120"/>
        <w:gridCol w:w="60"/>
        <w:gridCol w:w="260"/>
        <w:gridCol w:w="75"/>
      </w:tblGrid>
      <w:tr>
        <w:trPr/>
        <w:tc>
          <w:tcPr>
            <w:tcW w:w="9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1">
              <w:r>
                <w:rPr>
                  <w:rStyle w:val="InternetLink"/>
                  <w:rFonts w:ascii="ARIAL" w:hAnsi="ARIAL"/>
                  <w:b/>
                  <w:color w:val="2393FF"/>
                  <w:sz w:val="18"/>
                </w:rPr>
                <w:t>Questions and Answers about Procedural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93FF"/>
              </w:rPr>
            </w:pPr>
            <w:r>
              <w:rPr>
                <w:color w:val="2393FF"/>
              </w:rPr>
              <w:t> </w:t>
            </w:r>
          </w:p>
        </w:tc>
        <w:tc>
          <w:tcPr>
            <w:tcW w:w="260" w:type="dxa"/>
            <w:tcBorders/>
            <w:vAlign w:val="center"/>
          </w:tcPr>
          <w:p>
            <w:pPr>
              <w:pStyle w:val="TableContents"/>
              <w:bidi w:val="0"/>
              <w:spacing w:before="0" w:after="283"/>
              <w:jc w:val="right"/>
              <w:rPr>
                <w:b/>
                <w:color w:val="2393FF"/>
              </w:rPr>
            </w:pPr>
            <w:r>
              <w:rPr>
                <w:b/>
                <w:color w:val="2393FF"/>
              </w:rPr>
              <w:t>2</w:t>
            </w:r>
          </w:p>
        </w:tc>
        <w:tc>
          <w:tcPr>
            <w:tcW w:w="75" w:type="dxa"/>
            <w:tcBorders/>
            <w:vAlign w:val="center"/>
          </w:tcPr>
          <w:p>
            <w:pPr>
              <w:pStyle w:val="TableContents"/>
              <w:bidi w:val="0"/>
              <w:spacing w:before="0" w:after="283"/>
              <w:jc w:val="left"/>
              <w:rPr>
                <w:color w:val="2393FF"/>
              </w:rPr>
            </w:pPr>
            <w:r>
              <w:rPr>
                <w:color w:val="2393FF"/>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2">
              <w:r>
                <w:rPr>
                  <w:rStyle w:val="InternetLink"/>
                  <w:rFonts w:ascii="ARIAL" w:hAnsi="ARIAL"/>
                  <w:sz w:val="18"/>
                </w:rPr>
                <w:t>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3">
              <w:r>
                <w:rPr>
                  <w:rStyle w:val="InternetLink"/>
                  <w:rFonts w:ascii="ARIAL" w:hAnsi="ARIAL"/>
                  <w:sz w:val="18"/>
                </w:rPr>
                <w:t>Stock Ownership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4">
              <w:r>
                <w:rPr>
                  <w:rStyle w:val="InternetLink"/>
                  <w:rFonts w:ascii="ARIAL" w:hAnsi="ARIAL"/>
                  <w:sz w:val="18"/>
                </w:rPr>
                <w:t>Quorum and Voting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5">
              <w:r>
                <w:rPr>
                  <w:rStyle w:val="InternetLink"/>
                  <w:rFonts w:ascii="ARIAL" w:hAnsi="ARIAL"/>
                  <w:sz w:val="18"/>
                </w:rPr>
                <w:t>Stockholder Proposals and Director Nominations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6">
              <w:r>
                <w:rPr>
                  <w:rStyle w:val="InternetLink"/>
                  <w:rFonts w:ascii="ARIAL" w:hAnsi="ARIAL"/>
                  <w:sz w:val="18"/>
                </w:rPr>
                <w:t>Additional Information about the Proxy Materials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7">
              <w:r>
                <w:rPr>
                  <w:rStyle w:val="InternetLink"/>
                  <w:rFonts w:ascii="ARIAL" w:hAnsi="ARIAL"/>
                  <w:sz w:val="18"/>
                </w:rPr>
                <w:t>Important Notice Regarding the Availability of Proxy Materials for the Stockholder Meeting to be Held on June 3,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8">
              <w:r>
                <w:rPr>
                  <w:rStyle w:val="InternetLink"/>
                  <w:rFonts w:ascii="ARIAL" w:hAnsi="ARIAL"/>
                  <w:b/>
                  <w:color w:val="2393FF"/>
                  <w:sz w:val="18"/>
                </w:rPr>
                <w:t>Proposal 1: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93FF"/>
              </w:rPr>
            </w:pPr>
            <w:r>
              <w:rPr>
                <w:color w:val="2393FF"/>
              </w:rPr>
              <w:t> </w:t>
            </w:r>
          </w:p>
        </w:tc>
        <w:tc>
          <w:tcPr>
            <w:tcW w:w="260" w:type="dxa"/>
            <w:tcBorders/>
            <w:vAlign w:val="center"/>
          </w:tcPr>
          <w:p>
            <w:pPr>
              <w:pStyle w:val="TableContents"/>
              <w:bidi w:val="0"/>
              <w:spacing w:before="0" w:after="283"/>
              <w:jc w:val="right"/>
              <w:rPr>
                <w:b/>
                <w:color w:val="2393FF"/>
              </w:rPr>
            </w:pPr>
            <w:r>
              <w:rPr>
                <w:b/>
                <w:color w:val="2393FF"/>
              </w:rPr>
              <w:t>8</w:t>
            </w:r>
          </w:p>
        </w:tc>
        <w:tc>
          <w:tcPr>
            <w:tcW w:w="75" w:type="dxa"/>
            <w:tcBorders/>
            <w:vAlign w:val="center"/>
          </w:tcPr>
          <w:p>
            <w:pPr>
              <w:pStyle w:val="TableContents"/>
              <w:bidi w:val="0"/>
              <w:spacing w:before="0" w:after="283"/>
              <w:jc w:val="left"/>
              <w:rPr>
                <w:color w:val="2393FF"/>
              </w:rPr>
            </w:pPr>
            <w:r>
              <w:rPr>
                <w:color w:val="2393FF"/>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9">
              <w:r>
                <w:rPr>
                  <w:rStyle w:val="InternetLink"/>
                  <w:rFonts w:ascii="ARIAL" w:hAnsi="ARIAL"/>
                  <w:sz w:val="18"/>
                </w:rPr>
                <w:t>General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10">
              <w:r>
                <w:rPr>
                  <w:rStyle w:val="InternetLink"/>
                  <w:rFonts w:ascii="ARIAL" w:hAnsi="ARIAL"/>
                  <w:sz w:val="18"/>
                </w:rPr>
                <w:t>Nominees for Election as Class I Directors at the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11">
              <w:r>
                <w:rPr>
                  <w:rStyle w:val="InternetLink"/>
                  <w:rFonts w:ascii="ARIAL" w:hAnsi="ARIAL"/>
                  <w:sz w:val="18"/>
                </w:rPr>
                <w:t>Required Vote and Recommendation of the Board of Directors for Proposal 1</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12">
              <w:r>
                <w:rPr>
                  <w:rStyle w:val="InternetLink"/>
                  <w:rFonts w:ascii="ARIAL" w:hAnsi="ARIAL"/>
                  <w:sz w:val="18"/>
                </w:rPr>
                <w:t>Continuing Directors Not Standing for Election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13">
              <w:r>
                <w:rPr>
                  <w:rStyle w:val="InternetLink"/>
                  <w:rFonts w:ascii="ARIAL" w:hAnsi="ARIAL"/>
                  <w:b/>
                  <w:color w:val="2393FF"/>
                  <w:sz w:val="18"/>
                </w:rPr>
                <w:t>Proposal 2: Ratification of the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93FF"/>
              </w:rPr>
            </w:pPr>
            <w:r>
              <w:rPr>
                <w:color w:val="2393FF"/>
              </w:rPr>
              <w:t> </w:t>
            </w:r>
          </w:p>
        </w:tc>
        <w:tc>
          <w:tcPr>
            <w:tcW w:w="260" w:type="dxa"/>
            <w:tcBorders/>
            <w:vAlign w:val="center"/>
          </w:tcPr>
          <w:p>
            <w:pPr>
              <w:pStyle w:val="TableContents"/>
              <w:bidi w:val="0"/>
              <w:spacing w:before="0" w:after="283"/>
              <w:jc w:val="right"/>
              <w:rPr>
                <w:b/>
                <w:color w:val="2393FF"/>
              </w:rPr>
            </w:pPr>
            <w:r>
              <w:rPr>
                <w:b/>
                <w:color w:val="2393FF"/>
              </w:rPr>
              <w:t>13</w:t>
            </w:r>
          </w:p>
        </w:tc>
        <w:tc>
          <w:tcPr>
            <w:tcW w:w="75" w:type="dxa"/>
            <w:tcBorders/>
            <w:vAlign w:val="center"/>
          </w:tcPr>
          <w:p>
            <w:pPr>
              <w:pStyle w:val="TableContents"/>
              <w:bidi w:val="0"/>
              <w:spacing w:before="0" w:after="283"/>
              <w:jc w:val="left"/>
              <w:rPr>
                <w:color w:val="2393FF"/>
              </w:rPr>
            </w:pPr>
            <w:r>
              <w:rPr>
                <w:color w:val="2393FF"/>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14">
              <w:r>
                <w:rPr>
                  <w:rStyle w:val="InternetLink"/>
                  <w:rFonts w:ascii="ARIAL" w:hAnsi="ARIAL"/>
                  <w:sz w:val="18"/>
                </w:rPr>
                <w:t>General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15">
              <w:r>
                <w:rPr>
                  <w:rStyle w:val="InternetLink"/>
                  <w:rFonts w:ascii="ARIAL" w:hAnsi="ARIAL"/>
                  <w:sz w:val="18"/>
                </w:rPr>
                <w:t>Principal Accounting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16">
              <w:r>
                <w:rPr>
                  <w:rStyle w:val="InternetLink"/>
                  <w:rFonts w:ascii="ARIAL" w:hAnsi="ARIAL"/>
                  <w:sz w:val="18"/>
                </w:rPr>
                <w:t>Pre-Approval of Audit and Non-Audit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17">
              <w:r>
                <w:rPr>
                  <w:rStyle w:val="InternetLink"/>
                  <w:rFonts w:ascii="ARIAL" w:hAnsi="ARIAL"/>
                  <w:b/>
                  <w:color w:val="2393FF"/>
                  <w:sz w:val="18"/>
                </w:rPr>
                <w:t>Proposal 3: Advisory Vote on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93FF"/>
              </w:rPr>
            </w:pPr>
            <w:r>
              <w:rPr>
                <w:color w:val="2393FF"/>
              </w:rPr>
              <w:t> </w:t>
            </w:r>
          </w:p>
        </w:tc>
        <w:tc>
          <w:tcPr>
            <w:tcW w:w="260" w:type="dxa"/>
            <w:tcBorders/>
            <w:vAlign w:val="center"/>
          </w:tcPr>
          <w:p>
            <w:pPr>
              <w:pStyle w:val="TableContents"/>
              <w:bidi w:val="0"/>
              <w:spacing w:before="0" w:after="283"/>
              <w:jc w:val="right"/>
              <w:rPr>
                <w:b/>
                <w:color w:val="2393FF"/>
              </w:rPr>
            </w:pPr>
            <w:r>
              <w:rPr>
                <w:b/>
                <w:color w:val="2393FF"/>
              </w:rPr>
              <w:t>15</w:t>
            </w:r>
          </w:p>
        </w:tc>
        <w:tc>
          <w:tcPr>
            <w:tcW w:w="75" w:type="dxa"/>
            <w:tcBorders/>
            <w:vAlign w:val="center"/>
          </w:tcPr>
          <w:p>
            <w:pPr>
              <w:pStyle w:val="TableContents"/>
              <w:bidi w:val="0"/>
              <w:spacing w:before="0" w:after="283"/>
              <w:jc w:val="left"/>
              <w:rPr>
                <w:color w:val="2393FF"/>
              </w:rPr>
            </w:pPr>
            <w:r>
              <w:rPr>
                <w:color w:val="2393FF"/>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18">
              <w:r>
                <w:rPr>
                  <w:rStyle w:val="InternetLink"/>
                  <w:rFonts w:ascii="ARIAL" w:hAnsi="ARIAL"/>
                  <w:b/>
                  <w:color w:val="2393FF"/>
                  <w:sz w:val="18"/>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93FF"/>
              </w:rPr>
            </w:pPr>
            <w:r>
              <w:rPr>
                <w:color w:val="2393FF"/>
              </w:rPr>
              <w:t> </w:t>
            </w:r>
          </w:p>
        </w:tc>
        <w:tc>
          <w:tcPr>
            <w:tcW w:w="260" w:type="dxa"/>
            <w:tcBorders/>
            <w:vAlign w:val="center"/>
          </w:tcPr>
          <w:p>
            <w:pPr>
              <w:pStyle w:val="TableContents"/>
              <w:bidi w:val="0"/>
              <w:spacing w:before="0" w:after="283"/>
              <w:jc w:val="right"/>
              <w:rPr>
                <w:b/>
                <w:color w:val="2393FF"/>
              </w:rPr>
            </w:pPr>
            <w:r>
              <w:rPr>
                <w:b/>
                <w:color w:val="2393FF"/>
              </w:rPr>
              <w:t>16</w:t>
            </w:r>
          </w:p>
        </w:tc>
        <w:tc>
          <w:tcPr>
            <w:tcW w:w="75" w:type="dxa"/>
            <w:tcBorders/>
            <w:vAlign w:val="center"/>
          </w:tcPr>
          <w:p>
            <w:pPr>
              <w:pStyle w:val="TableContents"/>
              <w:bidi w:val="0"/>
              <w:spacing w:before="0" w:after="283"/>
              <w:jc w:val="left"/>
              <w:rPr>
                <w:color w:val="2393FF"/>
              </w:rPr>
            </w:pPr>
            <w:r>
              <w:rPr>
                <w:color w:val="2393FF"/>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19">
              <w:r>
                <w:rPr>
                  <w:rStyle w:val="InternetLink"/>
                  <w:rFonts w:ascii="ARIAL" w:hAnsi="ARIAL"/>
                  <w:sz w:val="18"/>
                </w:rPr>
                <w:t>Code of Conduct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19a">
              <w:r>
                <w:rPr>
                  <w:rStyle w:val="InternetLink"/>
                  <w:rFonts w:ascii="ARIAL" w:hAnsi="ARIAL"/>
                  <w:sz w:val="18"/>
                </w:rPr>
                <w:t>Impact Initiatives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20">
              <w:r>
                <w:rPr>
                  <w:rStyle w:val="InternetLink"/>
                  <w:rFonts w:ascii="ARIAL" w:hAnsi="ARIAL"/>
                  <w:sz w:val="18"/>
                </w:rPr>
                <w:t>Board Composition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21">
              <w:r>
                <w:rPr>
                  <w:rStyle w:val="InternetLink"/>
                  <w:rFonts w:ascii="ARIAL" w:hAnsi="ARIAL"/>
                  <w:sz w:val="18"/>
                </w:rPr>
                <w:t>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22">
              <w:r>
                <w:rPr>
                  <w:rStyle w:val="InternetLink"/>
                  <w:rFonts w:ascii="ARIAL" w:hAnsi="ARIAL"/>
                  <w:sz w:val="18"/>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23">
              <w:r>
                <w:rPr>
                  <w:rStyle w:val="InternetLink"/>
                  <w:rFonts w:ascii="ARIAL" w:hAnsi="ARIAL"/>
                  <w:sz w:val="18"/>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24">
              <w:r>
                <w:rPr>
                  <w:rStyle w:val="InternetLink"/>
                  <w:rFonts w:ascii="ARIAL" w:hAnsi="ARIAL"/>
                  <w:sz w:val="18"/>
                </w:rPr>
                <w:t>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25">
              <w:r>
                <w:rPr>
                  <w:rStyle w:val="InternetLink"/>
                  <w:rFonts w:ascii="ARIAL" w:hAnsi="ARIAL"/>
                  <w:sz w:val="18"/>
                </w:rPr>
                <w:t>People &amp; Compensation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26">
              <w:r>
                <w:rPr>
                  <w:rStyle w:val="InternetLink"/>
                  <w:rFonts w:ascii="ARIAL" w:hAnsi="ARIAL"/>
                  <w:sz w:val="18"/>
                </w:rPr>
                <w:t>Nominating and Corporate Governance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27">
              <w:r>
                <w:rPr>
                  <w:rStyle w:val="InternetLink"/>
                  <w:rFonts w:ascii="ARIAL" w:hAnsi="ARIAL"/>
                  <w:sz w:val="18"/>
                </w:rPr>
                <w:t>People &amp; 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28">
              <w:r>
                <w:rPr>
                  <w:rStyle w:val="InternetLink"/>
                  <w:rFonts w:ascii="ARIAL" w:hAnsi="ARIAL"/>
                  <w:sz w:val="18"/>
                </w:rPr>
                <w:t>Compensation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54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545" w:type="dxa"/>
            <w:tcBorders/>
            <w:vAlign w:val="center"/>
          </w:tcPr>
          <w:p>
            <w:pPr>
              <w:pStyle w:val="TableContents"/>
              <w:bidi w:val="0"/>
              <w:spacing w:before="0" w:after="0"/>
              <w:jc w:val="left"/>
              <w:rPr/>
            </w:pPr>
            <w:hyperlink w:anchor="toc917810_29">
              <w:r>
                <w:rPr>
                  <w:rStyle w:val="InternetLink"/>
                  <w:rFonts w:ascii="ARIAL" w:hAnsi="ARIAL"/>
                  <w:sz w:val="18"/>
                </w:rPr>
                <w:t>Meetings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235" w:type="dxa"/>
        <w:jc w:val="left"/>
        <w:tblInd w:w="0" w:type="dxa"/>
        <w:tblLayout w:type="fixed"/>
        <w:tblCellMar>
          <w:top w:w="0" w:type="dxa"/>
          <w:left w:w="0" w:type="dxa"/>
          <w:bottom w:w="0" w:type="dxa"/>
          <w:right w:w="0" w:type="dxa"/>
        </w:tblCellMar>
      </w:tblPr>
      <w:tblGrid>
        <w:gridCol w:w="5720"/>
        <w:gridCol w:w="120"/>
        <w:gridCol w:w="60"/>
        <w:gridCol w:w="260"/>
        <w:gridCol w:w="75"/>
      </w:tblGrid>
      <w:tr>
        <w:trPr/>
        <w:tc>
          <w:tcPr>
            <w:tcW w:w="5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30">
              <w:r>
                <w:rPr>
                  <w:rStyle w:val="InternetLink"/>
                  <w:rFonts w:ascii="ARIAL" w:hAnsi="ARIAL"/>
                  <w:sz w:val="18"/>
                </w:rPr>
                <w:t>Board Oversight of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31">
              <w:r>
                <w:rPr>
                  <w:rStyle w:val="InternetLink"/>
                  <w:rFonts w:ascii="ARIAL" w:hAnsi="ARIAL"/>
                  <w:sz w:val="18"/>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32">
              <w:r>
                <w:rPr>
                  <w:rStyle w:val="InternetLink"/>
                  <w:rFonts w:ascii="ARIAL" w:hAnsi="ARIAL"/>
                  <w:sz w:val="18"/>
                </w:rPr>
                <w:t>Non-Employee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33">
              <w:r>
                <w:rPr>
                  <w:rStyle w:val="InternetLink"/>
                  <w:rFonts w:ascii="ARIAL" w:hAnsi="ARIAL"/>
                  <w:sz w:val="18"/>
                </w:rPr>
                <w:t>Stockholder Communications with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34">
              <w:r>
                <w:rPr>
                  <w:rStyle w:val="InternetLink"/>
                  <w:rFonts w:ascii="ARIAL" w:hAnsi="ARIAL"/>
                  <w:b/>
                  <w:color w:val="2393FF"/>
                  <w:sz w:val="18"/>
                </w:rPr>
                <w:t>Information About our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93FF"/>
              </w:rPr>
            </w:pPr>
            <w:r>
              <w:rPr>
                <w:color w:val="2393FF"/>
              </w:rPr>
              <w:t> </w:t>
            </w:r>
          </w:p>
        </w:tc>
        <w:tc>
          <w:tcPr>
            <w:tcW w:w="260" w:type="dxa"/>
            <w:tcBorders/>
            <w:vAlign w:val="center"/>
          </w:tcPr>
          <w:p>
            <w:pPr>
              <w:pStyle w:val="TableContents"/>
              <w:bidi w:val="0"/>
              <w:spacing w:before="0" w:after="283"/>
              <w:jc w:val="right"/>
              <w:rPr>
                <w:b/>
                <w:color w:val="2393FF"/>
              </w:rPr>
            </w:pPr>
            <w:r>
              <w:rPr>
                <w:b/>
                <w:color w:val="2393FF"/>
              </w:rPr>
              <w:t>24</w:t>
            </w:r>
          </w:p>
        </w:tc>
        <w:tc>
          <w:tcPr>
            <w:tcW w:w="75" w:type="dxa"/>
            <w:tcBorders/>
            <w:vAlign w:val="center"/>
          </w:tcPr>
          <w:p>
            <w:pPr>
              <w:pStyle w:val="TableContents"/>
              <w:bidi w:val="0"/>
              <w:spacing w:before="0" w:after="283"/>
              <w:jc w:val="left"/>
              <w:rPr>
                <w:color w:val="2393FF"/>
              </w:rPr>
            </w:pPr>
            <w:r>
              <w:rPr>
                <w:color w:val="2393FF"/>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35">
              <w:r>
                <w:rPr>
                  <w:rStyle w:val="InternetLink"/>
                  <w:rFonts w:ascii="ARIAL" w:hAnsi="ARIAL"/>
                  <w:b/>
                  <w:color w:val="2393FF"/>
                  <w:sz w:val="18"/>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93FF"/>
              </w:rPr>
            </w:pPr>
            <w:r>
              <w:rPr>
                <w:color w:val="2393FF"/>
              </w:rPr>
              <w:t> </w:t>
            </w:r>
          </w:p>
        </w:tc>
        <w:tc>
          <w:tcPr>
            <w:tcW w:w="260" w:type="dxa"/>
            <w:tcBorders/>
            <w:vAlign w:val="center"/>
          </w:tcPr>
          <w:p>
            <w:pPr>
              <w:pStyle w:val="TableContents"/>
              <w:bidi w:val="0"/>
              <w:spacing w:before="0" w:after="283"/>
              <w:jc w:val="right"/>
              <w:rPr>
                <w:b/>
                <w:color w:val="2393FF"/>
              </w:rPr>
            </w:pPr>
            <w:r>
              <w:rPr>
                <w:b/>
                <w:color w:val="2393FF"/>
              </w:rPr>
              <w:t>26</w:t>
            </w:r>
          </w:p>
        </w:tc>
        <w:tc>
          <w:tcPr>
            <w:tcW w:w="75" w:type="dxa"/>
            <w:tcBorders/>
            <w:vAlign w:val="center"/>
          </w:tcPr>
          <w:p>
            <w:pPr>
              <w:pStyle w:val="TableContents"/>
              <w:bidi w:val="0"/>
              <w:spacing w:before="0" w:after="283"/>
              <w:jc w:val="left"/>
              <w:rPr>
                <w:color w:val="2393FF"/>
              </w:rPr>
            </w:pPr>
            <w:r>
              <w:rPr>
                <w:color w:val="2393FF"/>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36">
              <w:r>
                <w:rPr>
                  <w:rStyle w:val="InternetLink"/>
                  <w:rFonts w:ascii="ARIAL" w:hAnsi="ARIAL"/>
                  <w:sz w:val="18"/>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37">
              <w:r>
                <w:rPr>
                  <w:rStyle w:val="InternetLink"/>
                  <w:rFonts w:ascii="ARIAL" w:hAnsi="ARIAL"/>
                  <w:b/>
                  <w:color w:val="2393FF"/>
                  <w:sz w:val="18"/>
                </w:rPr>
                <w:t>Executive 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38">
              <w:r>
                <w:rPr>
                  <w:rStyle w:val="InternetLink"/>
                  <w:rFonts w:ascii="ARIAL" w:hAnsi="ARIAL"/>
                  <w:sz w:val="18"/>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39">
              <w:r>
                <w:rPr>
                  <w:rStyle w:val="InternetLink"/>
                  <w:rFonts w:ascii="ARIAL" w:hAnsi="ARIAL"/>
                  <w:sz w:val="18"/>
                </w:rPr>
                <w:t>Grants of Plan-Based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40">
              <w:r>
                <w:rPr>
                  <w:rStyle w:val="InternetLink"/>
                  <w:rFonts w:ascii="ARIAL" w:hAnsi="ARIAL"/>
                  <w:sz w:val="18"/>
                </w:rPr>
                <w:t>Outstanding Equity Awards at Fiscal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41">
              <w:r>
                <w:rPr>
                  <w:rStyle w:val="InternetLink"/>
                  <w:rFonts w:ascii="ARIAL" w:hAnsi="ARIAL"/>
                  <w:sz w:val="18"/>
                </w:rPr>
                <w:t>Option Exercises and Stock Vested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42">
              <w:r>
                <w:rPr>
                  <w:rStyle w:val="InternetLink"/>
                  <w:rFonts w:ascii="ARIAL" w:hAnsi="ARIAL"/>
                  <w:sz w:val="18"/>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43">
              <w:r>
                <w:rPr>
                  <w:rStyle w:val="InternetLink"/>
                  <w:rFonts w:ascii="ARIAL" w:hAnsi="ARIAL"/>
                  <w:b/>
                  <w:color w:val="2393FF"/>
                  <w:sz w:val="18"/>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93FF"/>
              </w:rPr>
            </w:pPr>
            <w:r>
              <w:rPr>
                <w:color w:val="2393FF"/>
              </w:rPr>
              <w:t> </w:t>
            </w:r>
          </w:p>
        </w:tc>
        <w:tc>
          <w:tcPr>
            <w:tcW w:w="260" w:type="dxa"/>
            <w:tcBorders/>
            <w:vAlign w:val="center"/>
          </w:tcPr>
          <w:p>
            <w:pPr>
              <w:pStyle w:val="TableContents"/>
              <w:bidi w:val="0"/>
              <w:spacing w:before="0" w:after="283"/>
              <w:jc w:val="right"/>
              <w:rPr>
                <w:b/>
                <w:color w:val="2393FF"/>
              </w:rPr>
            </w:pPr>
            <w:r>
              <w:rPr>
                <w:b/>
                <w:color w:val="2393FF"/>
              </w:rPr>
              <w:t>43</w:t>
            </w:r>
          </w:p>
        </w:tc>
        <w:tc>
          <w:tcPr>
            <w:tcW w:w="75" w:type="dxa"/>
            <w:tcBorders/>
            <w:vAlign w:val="center"/>
          </w:tcPr>
          <w:p>
            <w:pPr>
              <w:pStyle w:val="TableContents"/>
              <w:bidi w:val="0"/>
              <w:spacing w:before="0" w:after="283"/>
              <w:jc w:val="left"/>
              <w:rPr>
                <w:color w:val="2393FF"/>
              </w:rPr>
            </w:pPr>
            <w:r>
              <w:rPr>
                <w:color w:val="2393FF"/>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44">
              <w:r>
                <w:rPr>
                  <w:rStyle w:val="InternetLink"/>
                  <w:rFonts w:ascii="ARIAL" w:hAnsi="ARIAL"/>
                  <w:b/>
                  <w:color w:val="2393FF"/>
                  <w:sz w:val="18"/>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93FF"/>
              </w:rPr>
            </w:pPr>
            <w:r>
              <w:rPr>
                <w:color w:val="2393FF"/>
              </w:rPr>
              <w:t> </w:t>
            </w:r>
          </w:p>
        </w:tc>
        <w:tc>
          <w:tcPr>
            <w:tcW w:w="260" w:type="dxa"/>
            <w:tcBorders/>
            <w:vAlign w:val="center"/>
          </w:tcPr>
          <w:p>
            <w:pPr>
              <w:pStyle w:val="TableContents"/>
              <w:bidi w:val="0"/>
              <w:spacing w:before="0" w:after="283"/>
              <w:jc w:val="right"/>
              <w:rPr>
                <w:b/>
                <w:color w:val="2393FF"/>
              </w:rPr>
            </w:pPr>
            <w:r>
              <w:rPr>
                <w:b/>
                <w:color w:val="2393FF"/>
              </w:rPr>
              <w:t>48</w:t>
            </w:r>
          </w:p>
        </w:tc>
        <w:tc>
          <w:tcPr>
            <w:tcW w:w="75" w:type="dxa"/>
            <w:tcBorders/>
            <w:vAlign w:val="center"/>
          </w:tcPr>
          <w:p>
            <w:pPr>
              <w:pStyle w:val="TableContents"/>
              <w:bidi w:val="0"/>
              <w:spacing w:before="0" w:after="283"/>
              <w:jc w:val="left"/>
              <w:rPr>
                <w:color w:val="2393FF"/>
              </w:rPr>
            </w:pPr>
            <w:r>
              <w:rPr>
                <w:color w:val="2393FF"/>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45">
              <w:r>
                <w:rPr>
                  <w:rStyle w:val="InternetLink"/>
                  <w:rFonts w:ascii="ARIAL" w:hAnsi="ARIAL"/>
                  <w:b/>
                  <w:color w:val="2393FF"/>
                  <w:sz w:val="18"/>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93FF"/>
              </w:rPr>
            </w:pPr>
            <w:r>
              <w:rPr>
                <w:color w:val="2393FF"/>
              </w:rPr>
              <w:t> </w:t>
            </w:r>
          </w:p>
        </w:tc>
        <w:tc>
          <w:tcPr>
            <w:tcW w:w="260" w:type="dxa"/>
            <w:tcBorders/>
            <w:vAlign w:val="center"/>
          </w:tcPr>
          <w:p>
            <w:pPr>
              <w:pStyle w:val="TableContents"/>
              <w:bidi w:val="0"/>
              <w:spacing w:before="0" w:after="283"/>
              <w:jc w:val="right"/>
              <w:rPr>
                <w:b/>
                <w:color w:val="2393FF"/>
              </w:rPr>
            </w:pPr>
            <w:r>
              <w:rPr>
                <w:b/>
                <w:color w:val="2393FF"/>
              </w:rPr>
              <w:t>51</w:t>
            </w:r>
          </w:p>
        </w:tc>
        <w:tc>
          <w:tcPr>
            <w:tcW w:w="75" w:type="dxa"/>
            <w:tcBorders/>
            <w:vAlign w:val="center"/>
          </w:tcPr>
          <w:p>
            <w:pPr>
              <w:pStyle w:val="TableContents"/>
              <w:bidi w:val="0"/>
              <w:spacing w:before="0" w:after="283"/>
              <w:jc w:val="left"/>
              <w:rPr>
                <w:color w:val="2393FF"/>
              </w:rPr>
            </w:pPr>
            <w:r>
              <w:rPr>
                <w:color w:val="2393FF"/>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46">
              <w:r>
                <w:rPr>
                  <w:rStyle w:val="InternetLink"/>
                  <w:rFonts w:ascii="ARIAL" w:hAnsi="ARIAL"/>
                  <w:b/>
                  <w:color w:val="2393FF"/>
                  <w:sz w:val="18"/>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93FF"/>
              </w:rPr>
            </w:pPr>
            <w:r>
              <w:rPr>
                <w:color w:val="2393FF"/>
              </w:rPr>
              <w:t> </w:t>
            </w:r>
          </w:p>
        </w:tc>
        <w:tc>
          <w:tcPr>
            <w:tcW w:w="260" w:type="dxa"/>
            <w:tcBorders/>
            <w:vAlign w:val="center"/>
          </w:tcPr>
          <w:p>
            <w:pPr>
              <w:pStyle w:val="TableContents"/>
              <w:bidi w:val="0"/>
              <w:spacing w:before="0" w:after="283"/>
              <w:jc w:val="right"/>
              <w:rPr>
                <w:b/>
                <w:color w:val="2393FF"/>
              </w:rPr>
            </w:pPr>
            <w:r>
              <w:rPr>
                <w:b/>
                <w:color w:val="2393FF"/>
              </w:rPr>
              <w:t>52</w:t>
            </w:r>
          </w:p>
        </w:tc>
        <w:tc>
          <w:tcPr>
            <w:tcW w:w="75" w:type="dxa"/>
            <w:tcBorders/>
            <w:vAlign w:val="center"/>
          </w:tcPr>
          <w:p>
            <w:pPr>
              <w:pStyle w:val="TableContents"/>
              <w:bidi w:val="0"/>
              <w:spacing w:before="0" w:after="283"/>
              <w:jc w:val="left"/>
              <w:rPr>
                <w:color w:val="2393FF"/>
              </w:rPr>
            </w:pPr>
            <w:r>
              <w:rPr>
                <w:color w:val="2393FF"/>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47">
              <w:r>
                <w:rPr>
                  <w:rStyle w:val="InternetLink"/>
                  <w:rFonts w:ascii="ARIAL" w:hAnsi="ARIAL"/>
                  <w:b/>
                  <w:color w:val="2393FF"/>
                  <w:sz w:val="18"/>
                </w:rPr>
                <w:t>Delinquent Section 16(a) Reports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93FF"/>
              </w:rPr>
            </w:pPr>
            <w:r>
              <w:rPr>
                <w:color w:val="2393FF"/>
              </w:rPr>
              <w:t> </w:t>
            </w:r>
          </w:p>
        </w:tc>
        <w:tc>
          <w:tcPr>
            <w:tcW w:w="260" w:type="dxa"/>
            <w:tcBorders/>
            <w:vAlign w:val="center"/>
          </w:tcPr>
          <w:p>
            <w:pPr>
              <w:pStyle w:val="TableContents"/>
              <w:bidi w:val="0"/>
              <w:spacing w:before="0" w:after="283"/>
              <w:jc w:val="right"/>
              <w:rPr>
                <w:b/>
                <w:color w:val="2393FF"/>
              </w:rPr>
            </w:pPr>
            <w:r>
              <w:rPr>
                <w:b/>
                <w:color w:val="2393FF"/>
              </w:rPr>
              <w:t>53</w:t>
            </w:r>
          </w:p>
        </w:tc>
        <w:tc>
          <w:tcPr>
            <w:tcW w:w="75" w:type="dxa"/>
            <w:tcBorders/>
            <w:vAlign w:val="center"/>
          </w:tcPr>
          <w:p>
            <w:pPr>
              <w:pStyle w:val="TableContents"/>
              <w:bidi w:val="0"/>
              <w:spacing w:before="0" w:after="283"/>
              <w:jc w:val="left"/>
              <w:rPr>
                <w:color w:val="2393FF"/>
              </w:rPr>
            </w:pPr>
            <w:r>
              <w:rPr>
                <w:color w:val="2393FF"/>
              </w:rPr>
              <w:t> </w:t>
            </w:r>
          </w:p>
        </w:tc>
      </w:tr>
      <w:tr>
        <w:trPr/>
        <w:tc>
          <w:tcPr>
            <w:tcW w:w="57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pPr>
            <w:hyperlink w:anchor="toc917810_48">
              <w:r>
                <w:rPr>
                  <w:rStyle w:val="InternetLink"/>
                  <w:rFonts w:ascii="ARIAL" w:hAnsi="ARIAL"/>
                  <w:b/>
                  <w:color w:val="2393FF"/>
                  <w:sz w:val="18"/>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393FF"/>
              </w:rPr>
            </w:pPr>
            <w:r>
              <w:rPr>
                <w:color w:val="2393FF"/>
              </w:rPr>
              <w:t> </w:t>
            </w:r>
          </w:p>
        </w:tc>
        <w:tc>
          <w:tcPr>
            <w:tcW w:w="260" w:type="dxa"/>
            <w:tcBorders/>
            <w:vAlign w:val="center"/>
          </w:tcPr>
          <w:p>
            <w:pPr>
              <w:pStyle w:val="TableContents"/>
              <w:bidi w:val="0"/>
              <w:spacing w:before="0" w:after="283"/>
              <w:jc w:val="right"/>
              <w:rPr>
                <w:b/>
                <w:color w:val="2393FF"/>
              </w:rPr>
            </w:pPr>
            <w:r>
              <w:rPr>
                <w:b/>
                <w:color w:val="2393FF"/>
              </w:rPr>
              <w:t>54</w:t>
            </w:r>
          </w:p>
        </w:tc>
        <w:tc>
          <w:tcPr>
            <w:tcW w:w="75" w:type="dxa"/>
            <w:tcBorders/>
            <w:vAlign w:val="center"/>
          </w:tcPr>
          <w:p>
            <w:pPr>
              <w:pStyle w:val="TableContents"/>
              <w:bidi w:val="0"/>
              <w:spacing w:before="0" w:after="283"/>
              <w:jc w:val="left"/>
              <w:rPr>
                <w:color w:val="2393FF"/>
              </w:rPr>
            </w:pPr>
            <w:r>
              <w:rPr>
                <w:color w:val="2393FF"/>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sz w:val="18"/>
        </w:rPr>
      </w:pPr>
      <w:r>
        <w:rPr>
          <w:rFonts w:ascii="ARIAL" w:hAnsi="ARIAL"/>
          <w:b/>
          <w:sz w:val="18"/>
        </w:rPr>
        <w:t xml:space="preserve">FLYWIRE CORPORATION </w:t>
      </w:r>
    </w:p>
    <w:p>
      <w:pPr>
        <w:pStyle w:val="TextBody"/>
        <w:bidi w:val="0"/>
        <w:spacing w:before="0" w:after="0"/>
        <w:jc w:val="right"/>
        <w:rPr>
          <w:rFonts w:ascii="ARIAL" w:hAnsi="ARIAL"/>
          <w:b/>
          <w:sz w:val="18"/>
        </w:rPr>
      </w:pPr>
      <w:r>
        <w:rPr>
          <w:rFonts w:ascii="ARIAL" w:hAnsi="ARIAL"/>
          <w:b/>
          <w:sz w:val="18"/>
        </w:rPr>
        <w:t xml:space="preserve">141 Tremont St., 10th Floor </w:t>
      </w:r>
    </w:p>
    <w:p>
      <w:pPr>
        <w:pStyle w:val="TextBody"/>
        <w:bidi w:val="0"/>
        <w:spacing w:before="0" w:after="0"/>
        <w:jc w:val="right"/>
        <w:rPr>
          <w:rFonts w:ascii="ARIAL" w:hAnsi="ARIAL"/>
          <w:b/>
          <w:sz w:val="18"/>
        </w:rPr>
      </w:pPr>
      <w:r>
        <w:rPr>
          <w:rFonts w:ascii="ARIAL" w:hAnsi="ARIAL"/>
          <w:b/>
          <w:sz w:val="18"/>
        </w:rPr>
        <w:t xml:space="preserve">Boston, Massachusetts 02111 </w:t>
      </w:r>
    </w:p>
    <w:p>
      <w:pPr>
        <w:pStyle w:val="TextBody"/>
        <w:bidi w:val="0"/>
        <w:spacing w:before="360" w:after="0"/>
        <w:jc w:val="left"/>
        <w:rPr>
          <w:rFonts w:ascii="ARIAL" w:hAnsi="ARIAL"/>
          <w:sz w:val="18"/>
        </w:rPr>
      </w:pPr>
      <w:r>
        <w:rPr>
          <w:rFonts w:ascii="ARIAL" w:hAnsi="ARIAL"/>
          <w:sz w:val="18"/>
        </w:rPr>
        <w:t xml:space="preserve">PROXY STATEMENT </w:t>
      </w:r>
    </w:p>
    <w:p>
      <w:pPr>
        <w:pStyle w:val="TextBody"/>
        <w:bidi w:val="0"/>
        <w:spacing w:before="160" w:after="0"/>
        <w:jc w:val="left"/>
        <w:rPr>
          <w:rFonts w:ascii="ARIAL" w:hAnsi="ARIAL"/>
          <w:b/>
          <w:sz w:val="56"/>
        </w:rPr>
      </w:pPr>
      <w:r>
        <w:rPr>
          <w:rFonts w:ascii="ARIAL" w:hAnsi="ARIAL"/>
          <w:b/>
          <w:sz w:val="56"/>
        </w:rPr>
        <w:t xml:space="preserve">For 2025 Annual Meeting of Stockholders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60" w:after="0"/>
        <w:jc w:val="left"/>
        <w:rPr>
          <w:rFonts w:ascii="ARIAL" w:hAnsi="ARIAL"/>
          <w:sz w:val="18"/>
        </w:rPr>
      </w:pPr>
      <w:r>
        <w:rPr>
          <w:rFonts w:ascii="ARIAL" w:hAnsi="ARIAL"/>
          <w:sz w:val="18"/>
        </w:rPr>
        <w:t xml:space="preserve">This proxy statement is furnished in connection with the solicitation of proxies by our Board of Directors for use at the 2025 Annual Meeting of Stockholders (the Annual Meeting) to be held at 9:30 a.m. EDT on Tuesday, June 3, 2025, and any postponements or adjournments thereof. The Annual Meeting will be held virtually via a live audio webcast on the internet at www.proxydocs.com/FLYW. There will not be a physical meeting location available for in-person participation. We believe holding our Annual Meeting online will facilitate greater stockholder attendance while still providing comparable rights and opportunities to participate, including the ability to ask questions, as a stockholder would have if he, she or they were attending our Annual Meeting in person. Beginning on or about April 22, 2025, we mailed to our stockholders of record a Notice of Internet Availability of Proxy Materials (Notice) containing instructions on how to access our proxy materials. As used in this proxy statement, the terms “Flywire,” the “Company,” “we,” “us,” and “our” mean Flywire Corporation unless the context indicates otherwise. Unless otherwise noted or unless the context provides otherwise, all references in this proxy statement to our “common stock” refers to our voting common stock.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  1  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393FF"/>
          <w:sz w:val="56"/>
        </w:rPr>
      </w:pPr>
      <w:bookmarkStart w:id="3" w:name="toc917810_1"/>
      <w:bookmarkEnd w:id="3"/>
      <w:r>
        <w:rPr>
          <w:rFonts w:ascii="ARIAL" w:hAnsi="ARIAL"/>
          <w:b/>
          <w:color w:val="2393FF"/>
          <w:sz w:val="56"/>
        </w:rPr>
        <w:t xml:space="preserve">Questions and Answers about Procedural Matters </w:t>
      </w:r>
    </w:p>
    <w:p>
      <w:pPr>
        <w:pStyle w:val="TextBody"/>
        <w:bidi w:val="0"/>
        <w:spacing w:before="0" w:after="0"/>
        <w:jc w:val="left"/>
        <w:rPr/>
      </w:pPr>
      <w:r>
        <w:rPr/>
        <w:t> </w:t>
      </w:r>
    </w:p>
    <w:p>
      <w:pPr>
        <w:pStyle w:val="TextBody"/>
        <w:bidi w:val="0"/>
        <w:spacing w:lineRule="atLeast" w:line="142" w:before="0" w:after="40"/>
        <w:jc w:val="left"/>
        <w:rPr>
          <w:bdr w:val="single" w:sz="8" w:space="1" w:color="2393FF"/>
        </w:rPr>
      </w:pPr>
      <w:r>
        <w:rPr>
          <w:bdr w:val="single" w:sz="8" w:space="1" w:color="2393FF"/>
        </w:rPr>
        <w:t> </w:t>
      </w:r>
    </w:p>
    <w:p>
      <w:pPr>
        <w:pStyle w:val="TextBody"/>
        <w:bidi w:val="0"/>
        <w:spacing w:before="200" w:after="0"/>
        <w:jc w:val="left"/>
        <w:rPr>
          <w:rFonts w:ascii="ARIAL" w:hAnsi="ARIAL"/>
          <w:sz w:val="18"/>
        </w:rPr>
      </w:pPr>
      <w:bookmarkStart w:id="4" w:name="toc917810_2"/>
      <w:bookmarkEnd w:id="4"/>
      <w:r>
        <w:rPr>
          <w:rFonts w:ascii="ARIAL" w:hAnsi="ARIAL"/>
          <w:sz w:val="18"/>
        </w:rPr>
        <w:t xml:space="preserve">ANNUAL MEETING </w:t>
      </w:r>
    </w:p>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275"/>
        <w:gridCol w:w="4430"/>
      </w:tblGrid>
      <w:tr>
        <w:trPr/>
        <w:tc>
          <w:tcPr>
            <w:tcW w:w="275" w:type="dxa"/>
            <w:tcBorders/>
            <w:vAlign w:val="center"/>
          </w:tcPr>
          <w:p>
            <w:pPr>
              <w:pStyle w:val="TableContents"/>
              <w:bidi w:val="0"/>
              <w:spacing w:before="0" w:after="283"/>
              <w:jc w:val="left"/>
              <w:rPr/>
            </w:pPr>
            <w:r>
              <w:rPr/>
              <w:t>Q:</w:t>
            </w:r>
          </w:p>
        </w:tc>
        <w:tc>
          <w:tcPr>
            <w:tcW w:w="4430" w:type="dxa"/>
            <w:tcBorders/>
            <w:vAlign w:val="center"/>
          </w:tcPr>
          <w:p>
            <w:pPr>
              <w:pStyle w:val="TableContents"/>
              <w:bidi w:val="0"/>
              <w:spacing w:before="0" w:after="0"/>
              <w:jc w:val="left"/>
              <w:rPr>
                <w:rFonts w:ascii="ARIAL" w:hAnsi="ARIAL"/>
                <w:sz w:val="18"/>
              </w:rPr>
            </w:pPr>
            <w:r>
              <w:rPr>
                <w:rFonts w:ascii="ARIAL" w:hAnsi="ARIAL"/>
                <w:sz w:val="18"/>
              </w:rPr>
              <w:t xml:space="preserve">WHY AM I RECEIVING THESE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b/>
              </w:rPr>
            </w:pPr>
            <w:r>
              <w:rPr>
                <w:b/>
              </w:rPr>
              <w:t>A:</w:t>
            </w:r>
          </w:p>
        </w:tc>
        <w:tc>
          <w:tcPr>
            <w:tcW w:w="9978" w:type="dxa"/>
            <w:tcBorders/>
            <w:vAlign w:val="center"/>
          </w:tcPr>
          <w:p>
            <w:pPr>
              <w:pStyle w:val="TableContents"/>
              <w:bidi w:val="0"/>
              <w:spacing w:before="0" w:after="0"/>
              <w:jc w:val="left"/>
              <w:rPr>
                <w:rFonts w:ascii="ARIAL" w:hAnsi="ARIAL"/>
                <w:sz w:val="18"/>
              </w:rPr>
            </w:pPr>
            <w:r>
              <w:rPr>
                <w:rFonts w:ascii="ARIAL" w:hAnsi="ARIAL"/>
                <w:sz w:val="18"/>
              </w:rPr>
              <w:t xml:space="preserve">Our Board of Directors is providing these proxy materials to you in connection with the solicitation of proxies for use at the Annual Meeting to be held on Tuesday, June 3, 2025 at 9:30 a.m. EDT, and at any adjournment or postponement thereof, for the purpose of considering and acting upon the matters set forth herein. The Notice, this proxy statement and accompanying form of proxy card are being made available to you on or about April 22, 2025. This proxy statement includes information that we are required to provide to you under Securities and Exchange Commission (SEC) rules and that is designed to assist you in voting your shares.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275"/>
        <w:gridCol w:w="4280"/>
      </w:tblGrid>
      <w:tr>
        <w:trPr/>
        <w:tc>
          <w:tcPr>
            <w:tcW w:w="275" w:type="dxa"/>
            <w:tcBorders/>
            <w:vAlign w:val="center"/>
          </w:tcPr>
          <w:p>
            <w:pPr>
              <w:pStyle w:val="TableContents"/>
              <w:bidi w:val="0"/>
              <w:spacing w:before="0" w:after="283"/>
              <w:jc w:val="left"/>
              <w:rPr/>
            </w:pPr>
            <w:r>
              <w:rPr/>
              <w:t>Q:</w:t>
            </w:r>
          </w:p>
        </w:tc>
        <w:tc>
          <w:tcPr>
            <w:tcW w:w="4280" w:type="dxa"/>
            <w:tcBorders/>
            <w:vAlign w:val="center"/>
          </w:tcPr>
          <w:p>
            <w:pPr>
              <w:pStyle w:val="TableContents"/>
              <w:bidi w:val="0"/>
              <w:spacing w:before="0" w:after="0"/>
              <w:jc w:val="left"/>
              <w:rPr>
                <w:rFonts w:ascii="ARIAL" w:hAnsi="ARIAL"/>
                <w:sz w:val="18"/>
              </w:rPr>
            </w:pPr>
            <w:r>
              <w:rPr>
                <w:rFonts w:ascii="ARIAL" w:hAnsi="ARIAL"/>
                <w:sz w:val="18"/>
              </w:rPr>
              <w:t xml:space="preserve">WHAT IS INCLUDED IN THE PROXY MATERIALS?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290"/>
        <w:gridCol w:w="2375"/>
      </w:tblGrid>
      <w:tr>
        <w:trPr/>
        <w:tc>
          <w:tcPr>
            <w:tcW w:w="290" w:type="dxa"/>
            <w:tcBorders/>
            <w:vAlign w:val="center"/>
          </w:tcPr>
          <w:p>
            <w:pPr>
              <w:pStyle w:val="TableContents"/>
              <w:bidi w:val="0"/>
              <w:spacing w:before="0" w:after="283"/>
              <w:jc w:val="left"/>
              <w:rPr>
                <w:b/>
              </w:rPr>
            </w:pPr>
            <w:r>
              <w:rPr>
                <w:b/>
              </w:rPr>
              <w:t>A:</w:t>
            </w:r>
          </w:p>
        </w:tc>
        <w:tc>
          <w:tcPr>
            <w:tcW w:w="2375" w:type="dxa"/>
            <w:tcBorders/>
            <w:vAlign w:val="center"/>
          </w:tcPr>
          <w:p>
            <w:pPr>
              <w:pStyle w:val="TableContents"/>
              <w:bidi w:val="0"/>
              <w:spacing w:before="0" w:after="0"/>
              <w:jc w:val="left"/>
              <w:rPr>
                <w:rFonts w:ascii="ARIAL" w:hAnsi="ARIAL"/>
                <w:sz w:val="18"/>
              </w:rPr>
            </w:pPr>
            <w:r>
              <w:rPr>
                <w:rFonts w:ascii="ARIAL" w:hAnsi="ARIAL"/>
                <w:sz w:val="18"/>
              </w:rPr>
              <w:t xml:space="preserve">The proxy materials include: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75"/>
        <w:gridCol w:w="110"/>
        <w:gridCol w:w="60"/>
        <w:gridCol w:w="3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ARIAL" w:hAnsi="ARIAL"/>
                <w:sz w:val="18"/>
              </w:rPr>
            </w:pPr>
            <w:r>
              <w:rPr>
                <w:rFonts w:ascii="ARIAL" w:hAnsi="ARIAL"/>
                <w:sz w:val="18"/>
              </w:rPr>
              <w:t xml:space="preserve">This proxy statement for the Annual Meeting;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left"/>
              <w:rPr>
                <w:rFonts w:ascii="ARIAL" w:hAnsi="ARIAL"/>
                <w:sz w:val="18"/>
              </w:rPr>
            </w:pPr>
            <w:r>
              <w:rPr>
                <w:rFonts w:ascii="ARIAL" w:hAnsi="ARIAL"/>
                <w:sz w:val="18"/>
              </w:rPr>
              <w:t xml:space="preserve">Our annual report on Form 10-K for the year ended December 31, 2024 (the 2024 Annual Report);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proxy card or a voting instruction form for the Annual Meeting, if you have requested that the proxy materials be mailed to you.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275"/>
        <w:gridCol w:w="5990"/>
      </w:tblGrid>
      <w:tr>
        <w:trPr/>
        <w:tc>
          <w:tcPr>
            <w:tcW w:w="275" w:type="dxa"/>
            <w:tcBorders/>
            <w:vAlign w:val="center"/>
          </w:tcPr>
          <w:p>
            <w:pPr>
              <w:pStyle w:val="TableContents"/>
              <w:bidi w:val="0"/>
              <w:spacing w:before="0" w:after="283"/>
              <w:jc w:val="left"/>
              <w:rPr/>
            </w:pPr>
            <w:r>
              <w:rPr/>
              <w:t>Q:</w:t>
            </w:r>
          </w:p>
        </w:tc>
        <w:tc>
          <w:tcPr>
            <w:tcW w:w="5990" w:type="dxa"/>
            <w:tcBorders/>
            <w:vAlign w:val="center"/>
          </w:tcPr>
          <w:p>
            <w:pPr>
              <w:pStyle w:val="TableContents"/>
              <w:bidi w:val="0"/>
              <w:spacing w:before="0" w:after="0"/>
              <w:jc w:val="left"/>
              <w:rPr>
                <w:rFonts w:ascii="ARIAL" w:hAnsi="ARIAL"/>
                <w:sz w:val="18"/>
              </w:rPr>
            </w:pPr>
            <w:r>
              <w:rPr>
                <w:rFonts w:ascii="ARIAL" w:hAnsi="ARIAL"/>
                <w:sz w:val="18"/>
              </w:rPr>
              <w:t xml:space="preserve">HOW CAN I GET ELECTRONIC ACCESS TO THE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b/>
              </w:rPr>
            </w:pPr>
            <w:r>
              <w:rPr>
                <w:b/>
              </w:rPr>
              <w:t>A:</w:t>
            </w:r>
          </w:p>
        </w:tc>
        <w:tc>
          <w:tcPr>
            <w:tcW w:w="9955" w:type="dxa"/>
            <w:tcBorders/>
            <w:vAlign w:val="center"/>
          </w:tcPr>
          <w:p>
            <w:pPr>
              <w:pStyle w:val="TableContents"/>
              <w:bidi w:val="0"/>
              <w:spacing w:before="0" w:after="0"/>
              <w:jc w:val="left"/>
              <w:rPr>
                <w:rFonts w:ascii="ARIAL" w:hAnsi="ARIAL"/>
                <w:sz w:val="18"/>
              </w:rPr>
            </w:pPr>
            <w:r>
              <w:rPr>
                <w:rFonts w:ascii="ARIAL" w:hAnsi="ARIAL"/>
                <w:sz w:val="18"/>
              </w:rPr>
              <w:t xml:space="preserve">The proxy materials are available at www.proxyvote.com and at https://ir.flywire.com. Our website address is included for reference only. The information contained on our website is not incorporated by reference into this proxy statement. </w:t>
            </w:r>
          </w:p>
        </w:tc>
      </w:tr>
    </w:tbl>
    <w:p>
      <w:pPr>
        <w:pStyle w:val="TextBody"/>
        <w:bidi w:val="0"/>
        <w:spacing w:before="200" w:after="0"/>
        <w:jc w:val="left"/>
        <w:rPr>
          <w:rFonts w:ascii="ARIAL" w:hAnsi="ARIAL"/>
          <w:sz w:val="18"/>
        </w:rPr>
      </w:pPr>
      <w:r>
        <w:rPr>
          <w:rFonts w:ascii="ARIAL" w:hAnsi="ARIAL"/>
          <w:sz w:val="18"/>
        </w:rPr>
        <w:t xml:space="preserve">You can find directions on how to instruct us to send future proxy materials to you by email at www.proxyvote.com. Choosing to receive future proxy materials by email will save us the cost of printing and mailing documents to you and will reduce the impact of our annual meetings on the environment. If you 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 </w:t>
      </w:r>
    </w:p>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275"/>
        <w:gridCol w:w="5795"/>
      </w:tblGrid>
      <w:tr>
        <w:trPr/>
        <w:tc>
          <w:tcPr>
            <w:tcW w:w="275" w:type="dxa"/>
            <w:tcBorders/>
            <w:vAlign w:val="center"/>
          </w:tcPr>
          <w:p>
            <w:pPr>
              <w:pStyle w:val="TableContents"/>
              <w:bidi w:val="0"/>
              <w:spacing w:before="0" w:after="283"/>
              <w:jc w:val="left"/>
              <w:rPr/>
            </w:pPr>
            <w:r>
              <w:rPr/>
              <w:t>Q:</w:t>
            </w:r>
          </w:p>
        </w:tc>
        <w:tc>
          <w:tcPr>
            <w:tcW w:w="5795" w:type="dxa"/>
            <w:tcBorders/>
            <w:vAlign w:val="center"/>
          </w:tcPr>
          <w:p>
            <w:pPr>
              <w:pStyle w:val="TableContents"/>
              <w:bidi w:val="0"/>
              <w:spacing w:before="0" w:after="0"/>
              <w:jc w:val="left"/>
              <w:rPr>
                <w:rFonts w:ascii="ARIAL" w:hAnsi="ARIAL"/>
                <w:sz w:val="18"/>
              </w:rPr>
            </w:pPr>
            <w:r>
              <w:rPr>
                <w:rFonts w:ascii="ARIAL" w:hAnsi="ARIAL"/>
                <w:sz w:val="18"/>
              </w:rPr>
              <w:t xml:space="preserve">WHAT INFORMATION IS CONTAINED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b/>
              </w:rPr>
            </w:pPr>
            <w:r>
              <w:rPr>
                <w:b/>
              </w:rPr>
              <w:t>A:</w:t>
            </w:r>
          </w:p>
        </w:tc>
        <w:tc>
          <w:tcPr>
            <w:tcW w:w="9957" w:type="dxa"/>
            <w:tcBorders/>
            <w:vAlign w:val="center"/>
          </w:tcPr>
          <w:p>
            <w:pPr>
              <w:pStyle w:val="TableContents"/>
              <w:bidi w:val="0"/>
              <w:spacing w:before="0" w:after="0"/>
              <w:jc w:val="left"/>
              <w:rPr>
                <w:rFonts w:ascii="ARIAL" w:hAnsi="ARIAL"/>
                <w:sz w:val="18"/>
              </w:rPr>
            </w:pPr>
            <w:r>
              <w:rPr>
                <w:rFonts w:ascii="ARIAL" w:hAnsi="ARIAL"/>
                <w:sz w:val="18"/>
              </w:rPr>
              <w:t xml:space="preserve">The information in this proxy statement relates to the proposals to be voted on at the Annual Meeting, the voting process, the compensation of our directors and certain of our executive officers, corporate governance, and certain other required information. </w:t>
            </w:r>
          </w:p>
        </w:tc>
      </w:tr>
    </w:tbl>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275"/>
        <w:gridCol w:w="3125"/>
      </w:tblGrid>
      <w:tr>
        <w:trPr/>
        <w:tc>
          <w:tcPr>
            <w:tcW w:w="275" w:type="dxa"/>
            <w:tcBorders/>
            <w:vAlign w:val="center"/>
          </w:tcPr>
          <w:p>
            <w:pPr>
              <w:pStyle w:val="TableContents"/>
              <w:bidi w:val="0"/>
              <w:spacing w:before="0" w:after="283"/>
              <w:jc w:val="left"/>
              <w:rPr/>
            </w:pPr>
            <w:r>
              <w:rPr/>
              <w:t>Q:</w:t>
            </w:r>
          </w:p>
        </w:tc>
        <w:tc>
          <w:tcPr>
            <w:tcW w:w="3125" w:type="dxa"/>
            <w:tcBorders/>
            <w:vAlign w:val="center"/>
          </w:tcPr>
          <w:p>
            <w:pPr>
              <w:pStyle w:val="TableContents"/>
              <w:bidi w:val="0"/>
              <w:spacing w:before="0" w:after="0"/>
              <w:jc w:val="left"/>
              <w:rPr>
                <w:rFonts w:ascii="ARIAL" w:hAnsi="ARIAL"/>
                <w:sz w:val="18"/>
              </w:rPr>
            </w:pPr>
            <w:r>
              <w:rPr>
                <w:rFonts w:ascii="ARIAL" w:hAnsi="ARIAL"/>
                <w:sz w:val="18"/>
              </w:rPr>
              <w:t xml:space="preserve">WHERE IS THE ANNUAL MEETING?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290"/>
        <w:gridCol w:w="8945"/>
      </w:tblGrid>
      <w:tr>
        <w:trPr/>
        <w:tc>
          <w:tcPr>
            <w:tcW w:w="290" w:type="dxa"/>
            <w:tcBorders/>
            <w:vAlign w:val="center"/>
          </w:tcPr>
          <w:p>
            <w:pPr>
              <w:pStyle w:val="TableContents"/>
              <w:bidi w:val="0"/>
              <w:spacing w:before="0" w:after="283"/>
              <w:jc w:val="left"/>
              <w:rPr>
                <w:b/>
              </w:rPr>
            </w:pPr>
            <w:r>
              <w:rPr>
                <w:b/>
              </w:rPr>
              <w:t>A:</w:t>
            </w:r>
          </w:p>
        </w:tc>
        <w:tc>
          <w:tcPr>
            <w:tcW w:w="8945" w:type="dxa"/>
            <w:tcBorders/>
            <w:vAlign w:val="center"/>
          </w:tcPr>
          <w:p>
            <w:pPr>
              <w:pStyle w:val="TableContents"/>
              <w:bidi w:val="0"/>
              <w:spacing w:before="0" w:after="0"/>
              <w:jc w:val="left"/>
              <w:rPr>
                <w:rFonts w:ascii="ARIAL" w:hAnsi="ARIAL"/>
                <w:sz w:val="18"/>
              </w:rPr>
            </w:pPr>
            <w:r>
              <w:rPr>
                <w:rFonts w:ascii="ARIAL" w:hAnsi="ARIAL"/>
                <w:sz w:val="18"/>
              </w:rPr>
              <w:t xml:space="preserve">The Annual Meeting will be held virtually via live audio webcast on the internet at www.proxydocs.com/FLYW.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275"/>
        <w:gridCol w:w="3485"/>
      </w:tblGrid>
      <w:tr>
        <w:trPr/>
        <w:tc>
          <w:tcPr>
            <w:tcW w:w="275" w:type="dxa"/>
            <w:tcBorders/>
            <w:vAlign w:val="center"/>
          </w:tcPr>
          <w:p>
            <w:pPr>
              <w:pStyle w:val="TableContents"/>
              <w:bidi w:val="0"/>
              <w:spacing w:before="0" w:after="283"/>
              <w:jc w:val="left"/>
              <w:rPr/>
            </w:pPr>
            <w:r>
              <w:rPr/>
              <w:t>Q:</w:t>
            </w:r>
          </w:p>
        </w:tc>
        <w:tc>
          <w:tcPr>
            <w:tcW w:w="3485" w:type="dxa"/>
            <w:tcBorders/>
            <w:vAlign w:val="center"/>
          </w:tcPr>
          <w:p>
            <w:pPr>
              <w:pStyle w:val="TableContents"/>
              <w:bidi w:val="0"/>
              <w:spacing w:before="0" w:after="0"/>
              <w:jc w:val="left"/>
              <w:rPr>
                <w:rFonts w:ascii="ARIAL" w:hAnsi="ARIAL"/>
                <w:sz w:val="18"/>
              </w:rPr>
            </w:pPr>
            <w:r>
              <w:rPr>
                <w:rFonts w:ascii="ARIAL" w:hAnsi="ARIAL"/>
                <w:sz w:val="18"/>
              </w:rPr>
              <w:t xml:space="preserve">CAN I ATTEND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b/>
              </w:rPr>
            </w:pPr>
            <w:r>
              <w:rPr>
                <w:b/>
              </w:rPr>
              <w:t>A:</w:t>
            </w:r>
          </w:p>
        </w:tc>
        <w:tc>
          <w:tcPr>
            <w:tcW w:w="9951" w:type="dxa"/>
            <w:tcBorders/>
            <w:vAlign w:val="center"/>
          </w:tcPr>
          <w:p>
            <w:pPr>
              <w:pStyle w:val="TableContents"/>
              <w:bidi w:val="0"/>
              <w:spacing w:before="0" w:after="0"/>
              <w:jc w:val="left"/>
              <w:rPr>
                <w:rFonts w:ascii="ARIAL" w:hAnsi="ARIAL"/>
                <w:sz w:val="18"/>
              </w:rPr>
            </w:pPr>
            <w:r>
              <w:rPr>
                <w:rFonts w:ascii="ARIAL" w:hAnsi="ARIAL"/>
                <w:sz w:val="18"/>
              </w:rPr>
              <w:t xml:space="preserve">You are invited to attend the Annual Meeting if you were a stockholder of record or a beneficial owner as of April 8, 2025 (the Record Date). The Annual Meeting will begin promptly at 9:30 a.m. EDT on Tuesday, June 3, 2025. </w:t>
            </w:r>
          </w:p>
        </w:tc>
      </w:tr>
    </w:tbl>
    <w:p>
      <w:pPr>
        <w:pStyle w:val="TextBody"/>
        <w:bidi w:val="0"/>
        <w:spacing w:before="200" w:after="0"/>
        <w:jc w:val="left"/>
        <w:rPr>
          <w:rFonts w:ascii="ARIAL" w:hAnsi="ARIAL"/>
          <w:sz w:val="18"/>
        </w:rPr>
      </w:pPr>
      <w:bookmarkStart w:id="5" w:name="toc917810_3"/>
      <w:bookmarkEnd w:id="5"/>
      <w:r>
        <w:rPr>
          <w:rFonts w:ascii="ARIAL" w:hAnsi="ARIAL"/>
          <w:sz w:val="18"/>
        </w:rPr>
        <w:t xml:space="preserve">STOCK OWNERSHIP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Q:</w:t>
            </w:r>
          </w:p>
        </w:tc>
        <w:tc>
          <w:tcPr>
            <w:tcW w:w="9936" w:type="dxa"/>
            <w:tcBorders/>
            <w:vAlign w:val="center"/>
          </w:tcPr>
          <w:p>
            <w:pPr>
              <w:pStyle w:val="TableContents"/>
              <w:bidi w:val="0"/>
              <w:spacing w:before="0" w:after="0"/>
              <w:jc w:val="left"/>
              <w:rPr>
                <w:rFonts w:ascii="ARIAL" w:hAnsi="ARIAL"/>
                <w:sz w:val="18"/>
              </w:rPr>
            </w:pPr>
            <w:r>
              <w:rPr>
                <w:rFonts w:ascii="ARIAL" w:hAnsi="ARIAL"/>
                <w:sz w:val="18"/>
              </w:rPr>
              <w:t xml:space="preserve">WHAT IS THE DIFFERENCE BETWEEN HOLDING SHARES AS A STOCKHOLDER OF RECORD AND AS A BENEFICIAL OWNER?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b/>
              </w:rPr>
            </w:pPr>
            <w:r>
              <w:rPr>
                <w:b/>
              </w:rPr>
              <w:t>A:</w:t>
            </w:r>
          </w:p>
        </w:tc>
        <w:tc>
          <w:tcPr>
            <w:tcW w:w="9971" w:type="dxa"/>
            <w:tcBorders/>
            <w:vAlign w:val="center"/>
          </w:tcPr>
          <w:p>
            <w:pPr>
              <w:pStyle w:val="TableContents"/>
              <w:bidi w:val="0"/>
              <w:spacing w:before="0" w:after="0"/>
              <w:jc w:val="left"/>
              <w:rPr>
                <w:rFonts w:ascii="ARIAL" w:hAnsi="ARIAL"/>
                <w:sz w:val="18"/>
              </w:rPr>
            </w:pPr>
            <w:r>
              <w:rPr>
                <w:rFonts w:ascii="ARIAL" w:hAnsi="ARIAL"/>
                <w:i/>
                <w:sz w:val="18"/>
              </w:rPr>
              <w:t>Stockholders of record</w:t>
            </w:r>
            <w:r>
              <w:rPr>
                <w:rFonts w:ascii="ARIAL" w:hAnsi="ARIAL"/>
                <w:sz w:val="18"/>
              </w:rPr>
              <w:t xml:space="preserve">—If your shares are registered directly in your name with our transfer agent, Computershare Inc. (Computershare), you are considered, with respect to those shares, the “stockholder of record,” and the Notice was provided to you directly by us. As the stockholder of record, you have the right to grant your voting proxy directly to the individuals listed on the proxy card or to vote at the Annual Meeting.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  2  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i/>
          <w:sz w:val="18"/>
        </w:rPr>
        <w:t>Beneficial owners</w:t>
      </w:r>
      <w:r>
        <w:rPr>
          <w:rFonts w:ascii="ARIAL" w:hAnsi="ARIAL"/>
          <w:sz w:val="18"/>
        </w:rPr>
        <w:t xml:space="preserve">—Many Flywire stockholders hold their shares through a broker, bank, trustee or other nominee, rather than directly in their own name. If your shares are held in a brokerage account or by a bank or another nominee (commonly referred to as being held in “street name”), you are considered the “beneficial owner” of such shares. The Notice was forwarded to you by your broker, trustee or nominee who is considered, with respect to those shares, the stockholder of record. </w:t>
      </w:r>
    </w:p>
    <w:p>
      <w:pPr>
        <w:pStyle w:val="TextBody"/>
        <w:bidi w:val="0"/>
        <w:spacing w:before="200" w:after="0"/>
        <w:jc w:val="left"/>
        <w:rPr>
          <w:rFonts w:ascii="ARIAL" w:hAnsi="ARIAL"/>
          <w:sz w:val="18"/>
        </w:rPr>
      </w:pPr>
      <w:r>
        <w:rPr>
          <w:rFonts w:ascii="ARIAL" w:hAnsi="ARIAL"/>
          <w:sz w:val="18"/>
        </w:rPr>
        <w:t xml:space="preserve">As the beneficial owner, you have the right to direct your broker, trustee or nominee on how to vote your shares. Beneficial owners are also invited to attend the Annual Meeting. However, since beneficial owners are not stockholders of record, you may not vote your shares at the Annual Meeting unless you follow your broker’s procedures for obtaining a legal proxy. If you request a printed copy of the proxy materials by mail, your broker or nominee will provide a voting instruction card for you to use. </w:t>
      </w:r>
    </w:p>
    <w:p>
      <w:pPr>
        <w:pStyle w:val="TextBody"/>
        <w:bidi w:val="0"/>
        <w:spacing w:before="200" w:after="0"/>
        <w:jc w:val="left"/>
        <w:rPr>
          <w:rFonts w:ascii="ARIAL" w:hAnsi="ARIAL"/>
          <w:sz w:val="18"/>
        </w:rPr>
      </w:pPr>
      <w:bookmarkStart w:id="6" w:name="toc917810_4"/>
      <w:bookmarkEnd w:id="6"/>
      <w:r>
        <w:rPr>
          <w:rFonts w:ascii="ARIAL" w:hAnsi="ARIAL"/>
          <w:sz w:val="18"/>
        </w:rPr>
        <w:t xml:space="preserve">QUORUM AND VOTING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Q:</w:t>
            </w:r>
          </w:p>
        </w:tc>
        <w:tc>
          <w:tcPr>
            <w:tcW w:w="9931" w:type="dxa"/>
            <w:tcBorders/>
            <w:vAlign w:val="center"/>
          </w:tcPr>
          <w:p>
            <w:pPr>
              <w:pStyle w:val="TableContents"/>
              <w:bidi w:val="0"/>
              <w:spacing w:before="0" w:after="0"/>
              <w:jc w:val="left"/>
              <w:rPr>
                <w:rFonts w:ascii="ARIAL" w:hAnsi="ARIAL"/>
                <w:sz w:val="18"/>
              </w:rPr>
            </w:pPr>
            <w:r>
              <w:rPr>
                <w:rFonts w:ascii="ARIAL" w:hAnsi="ARIAL"/>
                <w:sz w:val="18"/>
              </w:rPr>
              <w:t xml:space="preserve">HOW MANY SHARES MUST BE PRESENT OR REPRESENTED TO CONDUCT BUSINESS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b/>
              </w:rPr>
            </w:pPr>
            <w:r>
              <w:rPr>
                <w:b/>
              </w:rPr>
              <w:t>A:</w:t>
            </w:r>
          </w:p>
        </w:tc>
        <w:tc>
          <w:tcPr>
            <w:tcW w:w="9970" w:type="dxa"/>
            <w:tcBorders/>
            <w:vAlign w:val="center"/>
          </w:tcPr>
          <w:p>
            <w:pPr>
              <w:pStyle w:val="TableContents"/>
              <w:bidi w:val="0"/>
              <w:spacing w:before="0" w:after="0"/>
              <w:jc w:val="left"/>
              <w:rPr>
                <w:rFonts w:ascii="ARIAL" w:hAnsi="ARIAL"/>
                <w:sz w:val="18"/>
              </w:rPr>
            </w:pPr>
            <w:r>
              <w:rPr>
                <w:rFonts w:ascii="ARIAL" w:hAnsi="ARIAL"/>
                <w:sz w:val="18"/>
              </w:rPr>
              <w:t xml:space="preserve">A quorum is the minimum number of shares required to be present at the Annual Meeting for the meeting to be properly held under our Bylaws and the General Corporation Law of the State of Delaware. The presence, in person or represented by proxy, of the holders of a majority of the voting power of the shares of stock issued and outstanding and entitled to vote at the meeting will constitute a quorum at the meeting. </w:t>
            </w:r>
          </w:p>
        </w:tc>
      </w:tr>
    </w:tbl>
    <w:p>
      <w:pPr>
        <w:pStyle w:val="TextBody"/>
        <w:bidi w:val="0"/>
        <w:spacing w:before="200" w:after="0"/>
        <w:jc w:val="left"/>
        <w:rPr>
          <w:rFonts w:ascii="ARIAL" w:hAnsi="ARIAL"/>
          <w:sz w:val="18"/>
        </w:rPr>
      </w:pPr>
      <w:r>
        <w:rPr>
          <w:rFonts w:ascii="ARIAL" w:hAnsi="ARIAL"/>
          <w:sz w:val="18"/>
        </w:rPr>
        <w:t xml:space="preserve">A proxy submitted by a stockholder may indicate that the shares represented by the proxy are not being voted with respect to a particular matter. </w:t>
      </w:r>
    </w:p>
    <w:p>
      <w:pPr>
        <w:pStyle w:val="TextBody"/>
        <w:bidi w:val="0"/>
        <w:spacing w:before="200" w:after="0"/>
        <w:jc w:val="left"/>
        <w:rPr>
          <w:rFonts w:ascii="ARIAL" w:hAnsi="ARIAL"/>
          <w:sz w:val="18"/>
        </w:rPr>
      </w:pPr>
      <w:r>
        <w:rPr>
          <w:rFonts w:ascii="ARIAL" w:hAnsi="ARIAL"/>
          <w:sz w:val="18"/>
        </w:rPr>
        <w:t xml:space="preserve">Under the General Corporation Law of the State of Delaware, abstentions and broker “non-votes” are counted as present and entitled to vote and are, therefore, included for purposes of determining whether a quorum is present at the Annual Meeting. </w:t>
      </w:r>
    </w:p>
    <w:p>
      <w:pPr>
        <w:pStyle w:val="TextBody"/>
        <w:bidi w:val="0"/>
        <w:spacing w:before="200" w:after="0"/>
        <w:jc w:val="left"/>
        <w:rPr>
          <w:rFonts w:ascii="ARIAL" w:hAnsi="ARIAL"/>
          <w:sz w:val="18"/>
        </w:rPr>
      </w:pPr>
      <w:r>
        <w:rPr>
          <w:rFonts w:ascii="ARIAL" w:hAnsi="ARIAL"/>
          <w:sz w:val="18"/>
        </w:rPr>
        <w:t xml:space="preserve">A broker non-vote occurs when a nominee holding shares for a beneficial owner does not vote on a particular proposal because the nominee does not have discretionary voting power with respect to that item and has not received instructions from the beneficial owner. </w:t>
      </w:r>
    </w:p>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275"/>
        <w:gridCol w:w="4880"/>
      </w:tblGrid>
      <w:tr>
        <w:trPr/>
        <w:tc>
          <w:tcPr>
            <w:tcW w:w="275" w:type="dxa"/>
            <w:tcBorders/>
            <w:vAlign w:val="center"/>
          </w:tcPr>
          <w:p>
            <w:pPr>
              <w:pStyle w:val="TableContents"/>
              <w:bidi w:val="0"/>
              <w:spacing w:before="0" w:after="283"/>
              <w:jc w:val="left"/>
              <w:rPr/>
            </w:pPr>
            <w:r>
              <w:rPr/>
              <w:t>Q:</w:t>
            </w:r>
          </w:p>
        </w:tc>
        <w:tc>
          <w:tcPr>
            <w:tcW w:w="4880" w:type="dxa"/>
            <w:tcBorders/>
            <w:vAlign w:val="center"/>
          </w:tcPr>
          <w:p>
            <w:pPr>
              <w:pStyle w:val="TableContents"/>
              <w:bidi w:val="0"/>
              <w:spacing w:before="0" w:after="0"/>
              <w:jc w:val="left"/>
              <w:rPr>
                <w:rFonts w:ascii="ARIAL" w:hAnsi="ARIAL"/>
                <w:sz w:val="18"/>
              </w:rPr>
            </w:pPr>
            <w:r>
              <w:rPr>
                <w:rFonts w:ascii="ARIAL" w:hAnsi="ARIAL"/>
                <w:sz w:val="18"/>
              </w:rPr>
              <w:t xml:space="preserve">WHO IS ENTITLED TO VOTE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b/>
              </w:rPr>
            </w:pPr>
            <w:r>
              <w:rPr>
                <w:b/>
              </w:rPr>
              <w:t>A:</w:t>
            </w:r>
          </w:p>
        </w:tc>
        <w:tc>
          <w:tcPr>
            <w:tcW w:w="9975" w:type="dxa"/>
            <w:tcBorders/>
            <w:vAlign w:val="center"/>
          </w:tcPr>
          <w:p>
            <w:pPr>
              <w:pStyle w:val="TableContents"/>
              <w:bidi w:val="0"/>
              <w:spacing w:before="0" w:after="0"/>
              <w:jc w:val="left"/>
              <w:rPr>
                <w:rFonts w:ascii="ARIAL" w:hAnsi="ARIAL"/>
                <w:sz w:val="18"/>
              </w:rPr>
            </w:pPr>
            <w:r>
              <w:rPr>
                <w:rFonts w:ascii="ARIAL" w:hAnsi="ARIAL"/>
                <w:sz w:val="18"/>
              </w:rPr>
              <w:t xml:space="preserve">Holders of record of our common stock at the close of business on the Record Date are entitled to receive notice of and to vote their shares at the Annual Meeting. As of the Record Date, we had 120,004,210 shares of voting common stock outstanding. In deciding all matters at the Annual Meeting, each holder of shares of our voting common stock will be entitled to one vote for each share of voting common stock held as of the close of business on the Record Date. We do not have cumulative voting rights for the election of directors.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275"/>
        <w:gridCol w:w="5105"/>
      </w:tblGrid>
      <w:tr>
        <w:trPr/>
        <w:tc>
          <w:tcPr>
            <w:tcW w:w="275" w:type="dxa"/>
            <w:tcBorders/>
            <w:vAlign w:val="center"/>
          </w:tcPr>
          <w:p>
            <w:pPr>
              <w:pStyle w:val="TableContents"/>
              <w:bidi w:val="0"/>
              <w:spacing w:before="0" w:after="283"/>
              <w:jc w:val="left"/>
              <w:rPr/>
            </w:pPr>
            <w:r>
              <w:rPr/>
              <w:t>Q:</w:t>
            </w:r>
          </w:p>
        </w:tc>
        <w:tc>
          <w:tcPr>
            <w:tcW w:w="5105" w:type="dxa"/>
            <w:tcBorders/>
            <w:vAlign w:val="center"/>
          </w:tcPr>
          <w:p>
            <w:pPr>
              <w:pStyle w:val="TableContents"/>
              <w:bidi w:val="0"/>
              <w:spacing w:before="0" w:after="0"/>
              <w:jc w:val="left"/>
              <w:rPr>
                <w:rFonts w:ascii="ARIAL" w:hAnsi="ARIAL"/>
                <w:sz w:val="18"/>
              </w:rPr>
            </w:pPr>
            <w:r>
              <w:rPr>
                <w:rFonts w:ascii="ARIAL" w:hAnsi="ARIAL"/>
                <w:sz w:val="18"/>
              </w:rPr>
              <w:t xml:space="preserve">HOW CAN I VOTE MY SHARES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b/>
              </w:rPr>
            </w:pPr>
            <w:r>
              <w:rPr>
                <w:b/>
              </w:rPr>
              <w:t>A:</w:t>
            </w:r>
          </w:p>
        </w:tc>
        <w:tc>
          <w:tcPr>
            <w:tcW w:w="9976" w:type="dxa"/>
            <w:tcBorders/>
            <w:vAlign w:val="center"/>
          </w:tcPr>
          <w:p>
            <w:pPr>
              <w:pStyle w:val="TableContents"/>
              <w:bidi w:val="0"/>
              <w:spacing w:before="0" w:after="0"/>
              <w:jc w:val="left"/>
              <w:rPr>
                <w:rFonts w:ascii="ARIAL" w:hAnsi="ARIAL"/>
                <w:sz w:val="18"/>
              </w:rPr>
            </w:pPr>
            <w:r>
              <w:rPr>
                <w:rFonts w:ascii="ARIAL" w:hAnsi="ARIAL"/>
                <w:sz w:val="18"/>
              </w:rPr>
              <w:t xml:space="preserve">Shares held in your name as the stockholder of record may be voted at the Annual Meeting. Shares held beneficially in street name may be voted in person at the Annual Meeting only if you obtain a legal proxy from the broker, trustee or other nominee that holds your shares giving you the right to vote the shares. Even if you plan to attend the Annual Meeting, we recommend that you also submit your proxy card, if you have requested one, or follow the voting directions described below, so that your vote will be counted if you later decide not to attend the Annual Meeting. </w:t>
            </w:r>
          </w:p>
        </w:tc>
      </w:tr>
    </w:tbl>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275"/>
        <w:gridCol w:w="6785"/>
      </w:tblGrid>
      <w:tr>
        <w:trPr/>
        <w:tc>
          <w:tcPr>
            <w:tcW w:w="275" w:type="dxa"/>
            <w:tcBorders/>
            <w:vAlign w:val="center"/>
          </w:tcPr>
          <w:p>
            <w:pPr>
              <w:pStyle w:val="TableContents"/>
              <w:bidi w:val="0"/>
              <w:spacing w:before="0" w:after="283"/>
              <w:jc w:val="left"/>
              <w:rPr/>
            </w:pPr>
            <w:r>
              <w:rPr/>
              <w:t>Q:</w:t>
            </w:r>
          </w:p>
        </w:tc>
        <w:tc>
          <w:tcPr>
            <w:tcW w:w="6785" w:type="dxa"/>
            <w:tcBorders/>
            <w:vAlign w:val="center"/>
          </w:tcPr>
          <w:p>
            <w:pPr>
              <w:pStyle w:val="TableContents"/>
              <w:bidi w:val="0"/>
              <w:spacing w:before="0" w:after="0"/>
              <w:jc w:val="left"/>
              <w:rPr>
                <w:rFonts w:ascii="ARIAL" w:hAnsi="ARIAL"/>
                <w:sz w:val="18"/>
              </w:rPr>
            </w:pPr>
            <w:r>
              <w:rPr>
                <w:rFonts w:ascii="ARIAL" w:hAnsi="ARIAL"/>
                <w:sz w:val="18"/>
              </w:rPr>
              <w:t xml:space="preserve">HOW CAN I VOTE MY SHARES WITHOUT ATTENDING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b/>
              </w:rPr>
            </w:pPr>
            <w:r>
              <w:rPr>
                <w:b/>
              </w:rPr>
              <w:t>A:</w:t>
            </w:r>
          </w:p>
        </w:tc>
        <w:tc>
          <w:tcPr>
            <w:tcW w:w="9917" w:type="dxa"/>
            <w:tcBorders/>
            <w:vAlign w:val="center"/>
          </w:tcPr>
          <w:p>
            <w:pPr>
              <w:pStyle w:val="TableContents"/>
              <w:bidi w:val="0"/>
              <w:spacing w:before="0" w:after="0"/>
              <w:jc w:val="left"/>
              <w:rPr>
                <w:rFonts w:ascii="ARIAL" w:hAnsi="ARIAL"/>
                <w:sz w:val="18"/>
              </w:rPr>
            </w:pPr>
            <w:r>
              <w:rPr>
                <w:rFonts w:ascii="ARIAL" w:hAnsi="ARIAL"/>
                <w:i/>
                <w:sz w:val="18"/>
              </w:rPr>
              <w:t>Stockholder of record</w:t>
            </w:r>
            <w:r>
              <w:rPr>
                <w:rFonts w:ascii="ARIAL" w:hAnsi="ARIAL"/>
                <w:sz w:val="18"/>
              </w:rPr>
              <w:t xml:space="preserve">—If you are a stockholder of record, there are three ways to vote without attending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3"/>
        <w:gridCol w:w="60"/>
        <w:gridCol w:w="2694"/>
        <w:gridCol w:w="60"/>
        <w:gridCol w:w="666"/>
        <w:gridCol w:w="120"/>
        <w:gridCol w:w="2672"/>
        <w:gridCol w:w="120"/>
        <w:gridCol w:w="668"/>
        <w:gridCol w:w="120"/>
        <w:gridCol w:w="2342"/>
      </w:tblGrid>
      <w:tr>
        <w:trPr/>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r>
      <w:tr>
        <w:trPr/>
        <w:tc>
          <w:tcPr>
            <w:tcW w:w="683" w:type="dxa"/>
            <w:vMerge w:val="restart"/>
            <w:tcBorders>
              <w:bottom w:val="single" w:sz="6" w:space="0" w:color="2393FF"/>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421640" cy="4216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21640" cy="4216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94" w:type="dxa"/>
            <w:tcBorders/>
            <w:vAlign w:val="center"/>
          </w:tcPr>
          <w:p>
            <w:pPr>
              <w:pStyle w:val="TableContents"/>
              <w:bidi w:val="0"/>
              <w:spacing w:before="0" w:after="283"/>
              <w:jc w:val="left"/>
              <w:rPr>
                <w:b/>
              </w:rPr>
            </w:pPr>
            <w:r>
              <w:rPr>
                <w:b/>
              </w:rPr>
              <w:t>Via the Internet</w:t>
            </w:r>
          </w:p>
        </w:tc>
        <w:tc>
          <w:tcPr>
            <w:tcW w:w="60" w:type="dxa"/>
            <w:vMerge w:val="restart"/>
            <w:tcBorders>
              <w:bottom w:val="single" w:sz="6" w:space="0" w:color="2393FF"/>
            </w:tcBorders>
            <w:tcMar>
              <w:bottom w:w="28" w:type="dxa"/>
            </w:tcMar>
            <w:vAlign w:val="center"/>
          </w:tcPr>
          <w:p>
            <w:pPr>
              <w:pStyle w:val="TableContents"/>
              <w:bidi w:val="0"/>
              <w:spacing w:before="0" w:after="283"/>
              <w:jc w:val="left"/>
              <w:rPr/>
            </w:pPr>
            <w:r>
              <w:rPr/>
              <w:t> </w:t>
            </w:r>
          </w:p>
        </w:tc>
        <w:tc>
          <w:tcPr>
            <w:tcW w:w="666" w:type="dxa"/>
            <w:vMerge w:val="restart"/>
            <w:tcBorders>
              <w:bottom w:val="single" w:sz="6" w:space="0" w:color="2393FF"/>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420370" cy="4203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20370" cy="42037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672" w:type="dxa"/>
            <w:tcBorders/>
            <w:vAlign w:val="center"/>
          </w:tcPr>
          <w:p>
            <w:pPr>
              <w:pStyle w:val="TableContents"/>
              <w:bidi w:val="0"/>
              <w:spacing w:before="0" w:after="283"/>
              <w:jc w:val="left"/>
              <w:rPr>
                <w:b/>
              </w:rPr>
            </w:pPr>
            <w:r>
              <w:rPr>
                <w:b/>
              </w:rPr>
              <w:t>By Telephone</w:t>
            </w:r>
          </w:p>
        </w:tc>
        <w:tc>
          <w:tcPr>
            <w:tcW w:w="120" w:type="dxa"/>
            <w:vMerge w:val="restart"/>
            <w:tcBorders>
              <w:bottom w:val="single" w:sz="6" w:space="0" w:color="2393FF"/>
            </w:tcBorders>
            <w:tcMar>
              <w:bottom w:w="28" w:type="dxa"/>
            </w:tcMar>
            <w:vAlign w:val="center"/>
          </w:tcPr>
          <w:p>
            <w:pPr>
              <w:pStyle w:val="TableContents"/>
              <w:bidi w:val="0"/>
              <w:spacing w:before="0" w:after="283"/>
              <w:jc w:val="left"/>
              <w:rPr/>
            </w:pPr>
            <w:r>
              <w:rPr/>
              <w:t>  </w:t>
            </w:r>
          </w:p>
        </w:tc>
        <w:tc>
          <w:tcPr>
            <w:tcW w:w="668" w:type="dxa"/>
            <w:vMerge w:val="restart"/>
            <w:tcBorders>
              <w:bottom w:val="single" w:sz="6" w:space="0" w:color="2393FF"/>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421640" cy="4216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21640" cy="4216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342" w:type="dxa"/>
            <w:tcBorders/>
            <w:vAlign w:val="center"/>
          </w:tcPr>
          <w:p>
            <w:pPr>
              <w:pStyle w:val="TableContents"/>
              <w:bidi w:val="0"/>
              <w:spacing w:before="0" w:after="283"/>
              <w:jc w:val="left"/>
              <w:rPr>
                <w:b/>
              </w:rPr>
            </w:pPr>
            <w:r>
              <w:rPr>
                <w:b/>
              </w:rPr>
              <w:t>By Mail</w:t>
            </w:r>
          </w:p>
        </w:tc>
      </w:tr>
      <w:tr>
        <w:trPr/>
        <w:tc>
          <w:tcPr>
            <w:tcW w:w="683" w:type="dxa"/>
            <w:vMerge w:val="continue"/>
            <w:tcBorders>
              <w:bottom w:val="single" w:sz="6" w:space="0" w:color="2393FF"/>
            </w:tcBorders>
            <w:tcMar>
              <w:bottom w:w="28" w:type="dxa"/>
            </w:tcMar>
            <w:vAlign w:val="center"/>
          </w:tcPr>
          <w:p>
            <w:pPr>
              <w:pStyle w:val="Normal"/>
              <w:bidi w:val="0"/>
              <w:jc w:val="left"/>
              <w:rPr/>
            </w:pPr>
            <w:r>
              <w:rPr/>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2694" w:type="dxa"/>
            <w:tcBorders>
              <w:bottom w:val="single" w:sz="6" w:space="0" w:color="2393FF"/>
            </w:tcBorders>
            <w:tcMar>
              <w:bottom w:w="120" w:type="dxa"/>
            </w:tcMar>
            <w:vAlign w:val="center"/>
          </w:tcPr>
          <w:p>
            <w:pPr>
              <w:pStyle w:val="TableContents"/>
              <w:bidi w:val="0"/>
              <w:spacing w:before="0" w:after="283"/>
              <w:jc w:val="left"/>
              <w:rPr/>
            </w:pPr>
            <w:r>
              <w:rPr/>
              <w:t>You may vote by proxy via the internet by following the instructions provided in the Notice or, if you requested printed copies of the proxy materials by mail, by following the instructions provided in the proxy card.</w:t>
            </w:r>
          </w:p>
        </w:tc>
        <w:tc>
          <w:tcPr>
            <w:tcW w:w="60" w:type="dxa"/>
            <w:vMerge w:val="continue"/>
            <w:tcBorders>
              <w:bottom w:val="single" w:sz="6" w:space="0" w:color="2393FF"/>
            </w:tcBorders>
            <w:tcMar>
              <w:bottom w:w="28" w:type="dxa"/>
            </w:tcMar>
            <w:vAlign w:val="center"/>
          </w:tcPr>
          <w:p>
            <w:pPr>
              <w:pStyle w:val="Normal"/>
              <w:bidi w:val="0"/>
              <w:jc w:val="left"/>
              <w:rPr/>
            </w:pPr>
            <w:r>
              <w:rPr/>
            </w:r>
          </w:p>
        </w:tc>
        <w:tc>
          <w:tcPr>
            <w:tcW w:w="666" w:type="dxa"/>
            <w:vMerge w:val="continue"/>
            <w:tcBorders>
              <w:bottom w:val="single" w:sz="6" w:space="0" w:color="2393FF"/>
            </w:tcBorders>
            <w:tcMar>
              <w:bottom w:w="28" w:type="dxa"/>
            </w:tcMar>
            <w:vAlign w:val="center"/>
          </w:tcPr>
          <w:p>
            <w:pPr>
              <w:pStyle w:val="Normal"/>
              <w:bidi w:val="0"/>
              <w:jc w:val="left"/>
              <w:rPr/>
            </w:pPr>
            <w:r>
              <w:rPr/>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2672" w:type="dxa"/>
            <w:tcBorders>
              <w:bottom w:val="single" w:sz="6" w:space="0" w:color="2393FF"/>
            </w:tcBorders>
            <w:tcMar>
              <w:bottom w:w="120" w:type="dxa"/>
            </w:tcMar>
            <w:vAlign w:val="center"/>
          </w:tcPr>
          <w:p>
            <w:pPr>
              <w:pStyle w:val="TableContents"/>
              <w:bidi w:val="0"/>
              <w:spacing w:before="0" w:after="283"/>
              <w:jc w:val="left"/>
              <w:rPr/>
            </w:pPr>
            <w:r>
              <w:rPr/>
              <w:t>You may vote by proxy by telephone by following the instructions provided in the Notice or, if you requested printed copies of the proxy materials by mail, by calling the toll-free number found on the proxy card.</w:t>
            </w:r>
          </w:p>
        </w:tc>
        <w:tc>
          <w:tcPr>
            <w:tcW w:w="120" w:type="dxa"/>
            <w:vMerge w:val="continue"/>
            <w:tcBorders>
              <w:bottom w:val="single" w:sz="6" w:space="0" w:color="2393FF"/>
            </w:tcBorders>
            <w:tcMar>
              <w:bottom w:w="28" w:type="dxa"/>
            </w:tcMar>
            <w:vAlign w:val="center"/>
          </w:tcPr>
          <w:p>
            <w:pPr>
              <w:pStyle w:val="Normal"/>
              <w:bidi w:val="0"/>
              <w:jc w:val="left"/>
              <w:rPr/>
            </w:pPr>
            <w:r>
              <w:rPr/>
            </w:r>
          </w:p>
        </w:tc>
        <w:tc>
          <w:tcPr>
            <w:tcW w:w="668" w:type="dxa"/>
            <w:vMerge w:val="continue"/>
            <w:tcBorders>
              <w:bottom w:val="single" w:sz="6" w:space="0" w:color="2393FF"/>
            </w:tcBorders>
            <w:tcMar>
              <w:bottom w:w="28" w:type="dxa"/>
            </w:tcMar>
            <w:vAlign w:val="center"/>
          </w:tcPr>
          <w:p>
            <w:pPr>
              <w:pStyle w:val="Normal"/>
              <w:bidi w:val="0"/>
              <w:jc w:val="left"/>
              <w:rPr/>
            </w:pPr>
            <w:r>
              <w:rPr/>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2342" w:type="dxa"/>
            <w:tcBorders>
              <w:bottom w:val="single" w:sz="6" w:space="0" w:color="2393FF"/>
            </w:tcBorders>
            <w:tcMar>
              <w:bottom w:w="120" w:type="dxa"/>
            </w:tcMar>
            <w:vAlign w:val="center"/>
          </w:tcPr>
          <w:p>
            <w:pPr>
              <w:pStyle w:val="TableContents"/>
              <w:bidi w:val="0"/>
              <w:spacing w:before="0" w:after="283"/>
              <w:jc w:val="left"/>
              <w:rPr/>
            </w:pPr>
            <w:r>
              <w:rPr/>
              <w:t>If you request printed copies of the proxy materials by mail, you will receive a proxy card and you may vote by proxy by filling out the proxy card and returning it in the envelope provided.</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  3  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i/>
          <w:sz w:val="18"/>
        </w:rPr>
        <w:t>Beneficial owners</w:t>
      </w:r>
      <w:r>
        <w:rPr>
          <w:rFonts w:ascii="ARIAL" w:hAnsi="ARIAL"/>
          <w:sz w:val="18"/>
        </w:rPr>
        <w:t xml:space="preserve">—If you are a beneficial owner holding shares through a bank, broker or other nominee, please refer to your Notice or other information forwarded by your bank or broker to see which voting options are available to you. </w:t>
      </w:r>
    </w:p>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275"/>
        <w:gridCol w:w="6095"/>
      </w:tblGrid>
      <w:tr>
        <w:trPr/>
        <w:tc>
          <w:tcPr>
            <w:tcW w:w="275" w:type="dxa"/>
            <w:tcBorders/>
            <w:vAlign w:val="center"/>
          </w:tcPr>
          <w:p>
            <w:pPr>
              <w:pStyle w:val="TableContents"/>
              <w:bidi w:val="0"/>
              <w:spacing w:before="0" w:after="283"/>
              <w:jc w:val="left"/>
              <w:rPr/>
            </w:pPr>
            <w:r>
              <w:rPr/>
              <w:t>Q:</w:t>
            </w:r>
          </w:p>
        </w:tc>
        <w:tc>
          <w:tcPr>
            <w:tcW w:w="6095" w:type="dxa"/>
            <w:tcBorders/>
            <w:vAlign w:val="center"/>
          </w:tcPr>
          <w:p>
            <w:pPr>
              <w:pStyle w:val="TableContents"/>
              <w:bidi w:val="0"/>
              <w:spacing w:before="0" w:after="0"/>
              <w:jc w:val="left"/>
              <w:rPr>
                <w:rFonts w:ascii="ARIAL" w:hAnsi="ARIAL"/>
                <w:sz w:val="18"/>
              </w:rPr>
            </w:pPr>
            <w:r>
              <w:rPr>
                <w:rFonts w:ascii="ARIAL" w:hAnsi="ARIAL"/>
                <w:sz w:val="18"/>
              </w:rPr>
              <w:t xml:space="preserve">WHAT HAPPENS IF I DO NOT GIVE SPECIFIC VOTING INSTRUCTIONS?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290"/>
        <w:gridCol w:w="5405"/>
      </w:tblGrid>
      <w:tr>
        <w:trPr/>
        <w:tc>
          <w:tcPr>
            <w:tcW w:w="290" w:type="dxa"/>
            <w:tcBorders/>
            <w:vAlign w:val="center"/>
          </w:tcPr>
          <w:p>
            <w:pPr>
              <w:pStyle w:val="TableContents"/>
              <w:bidi w:val="0"/>
              <w:spacing w:before="0" w:after="283"/>
              <w:jc w:val="left"/>
              <w:rPr>
                <w:b/>
              </w:rPr>
            </w:pPr>
            <w:r>
              <w:rPr>
                <w:b/>
              </w:rPr>
              <w:t>A:</w:t>
            </w:r>
          </w:p>
        </w:tc>
        <w:tc>
          <w:tcPr>
            <w:tcW w:w="5405" w:type="dxa"/>
            <w:tcBorders/>
            <w:vAlign w:val="center"/>
          </w:tcPr>
          <w:p>
            <w:pPr>
              <w:pStyle w:val="TableContents"/>
              <w:bidi w:val="0"/>
              <w:spacing w:before="0" w:after="0"/>
              <w:jc w:val="left"/>
              <w:rPr>
                <w:rFonts w:ascii="ARIAL" w:hAnsi="ARIAL"/>
                <w:sz w:val="18"/>
              </w:rPr>
            </w:pPr>
            <w:r>
              <w:rPr>
                <w:rFonts w:ascii="ARIAL" w:hAnsi="ARIAL"/>
                <w:i/>
                <w:sz w:val="18"/>
              </w:rPr>
              <w:t>Stockholder of record</w:t>
            </w:r>
            <w:r>
              <w:rPr>
                <w:rFonts w:ascii="ARIAL" w:hAnsi="ARIAL"/>
                <w:sz w:val="18"/>
              </w:rPr>
              <w:t xml:space="preserve">—If you are a stockholder of record and you: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ARIAL" w:hAnsi="ARIAL"/>
                <w:sz w:val="18"/>
              </w:rPr>
            </w:pPr>
            <w:r>
              <w:rPr>
                <w:rFonts w:ascii="ARIAL" w:hAnsi="ARIAL"/>
                <w:sz w:val="18"/>
              </w:rPr>
              <w:t xml:space="preserve">Indicate when voting via the internet or by telephone that you wish to vote as recommended by our Board of Directors;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Sign and return a proxy card without giving specific voting instructions, then the persons named as proxy holders will vote your shares in the manner recommended by our Board of Directors on all matters presented in this proxy statement and as the proxy holders may determine in their discretion with respect to any other matters properly presented for a vote at the Annual Meeting. </w:t>
            </w:r>
          </w:p>
        </w:tc>
      </w:tr>
    </w:tbl>
    <w:p>
      <w:pPr>
        <w:pStyle w:val="TextBody"/>
        <w:bidi w:val="0"/>
        <w:spacing w:before="200" w:after="0"/>
        <w:jc w:val="left"/>
        <w:rPr>
          <w:rFonts w:ascii="ARIAL" w:hAnsi="ARIAL"/>
          <w:sz w:val="18"/>
        </w:rPr>
      </w:pPr>
      <w:r>
        <w:rPr>
          <w:rFonts w:ascii="ARIAL" w:hAnsi="ARIAL"/>
          <w:i/>
          <w:sz w:val="18"/>
        </w:rPr>
        <w:t>Beneficial owners</w:t>
      </w:r>
      <w:r>
        <w:rPr>
          <w:rFonts w:ascii="ARIAL" w:hAnsi="ARIAL"/>
          <w:sz w:val="18"/>
        </w:rPr>
        <w:t xml:space="preserve">—If you are a beneficial owner of shares held in street name and do not provide the organization that holds your shares with specific voting instructions then, under applicable rules, the organization that holds your shares may generally vote on “routine” matters but cannot vote on “non-routine” matters. However, several large brokers have recently eliminated the practice of discretionary voting of uninstructed shares, including on matters generally identified as “routine”.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 </w:t>
      </w:r>
    </w:p>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275"/>
        <w:gridCol w:w="5915"/>
      </w:tblGrid>
      <w:tr>
        <w:trPr/>
        <w:tc>
          <w:tcPr>
            <w:tcW w:w="275" w:type="dxa"/>
            <w:tcBorders/>
            <w:vAlign w:val="center"/>
          </w:tcPr>
          <w:p>
            <w:pPr>
              <w:pStyle w:val="TableContents"/>
              <w:bidi w:val="0"/>
              <w:spacing w:before="0" w:after="283"/>
              <w:jc w:val="left"/>
              <w:rPr/>
            </w:pPr>
            <w:r>
              <w:rPr/>
              <w:t>Q:</w:t>
            </w:r>
          </w:p>
        </w:tc>
        <w:tc>
          <w:tcPr>
            <w:tcW w:w="5915" w:type="dxa"/>
            <w:tcBorders/>
            <w:vAlign w:val="center"/>
          </w:tcPr>
          <w:p>
            <w:pPr>
              <w:pStyle w:val="TableContents"/>
              <w:bidi w:val="0"/>
              <w:spacing w:before="0" w:after="0"/>
              <w:jc w:val="left"/>
              <w:rPr>
                <w:rFonts w:ascii="ARIAL" w:hAnsi="ARIAL"/>
                <w:sz w:val="18"/>
              </w:rPr>
            </w:pPr>
            <w:r>
              <w:rPr>
                <w:rFonts w:ascii="ARIAL" w:hAnsi="ARIAL"/>
                <w:sz w:val="18"/>
              </w:rPr>
              <w:t xml:space="preserve">WHAT PROPOSALS WILL BE VOTED ON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b/>
              </w:rPr>
            </w:pPr>
            <w:r>
              <w:rPr>
                <w:b/>
              </w:rPr>
              <w:t>A:</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following chart sets forth the proposals scheduled for a vote at the Annual Meeting, our Board of Directors’ recommendation with respect to such proposals, the vote required for such proposals to be approved and whether broker discretionary voting is allowed on such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55"/>
        <w:gridCol w:w="120"/>
        <w:gridCol w:w="3240"/>
        <w:gridCol w:w="120"/>
        <w:gridCol w:w="1280"/>
        <w:gridCol w:w="120"/>
        <w:gridCol w:w="2090"/>
        <w:gridCol w:w="120"/>
        <w:gridCol w:w="1760"/>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before="0" w:after="283"/>
              <w:jc w:val="left"/>
              <w:rPr>
                <w:b/>
              </w:rPr>
            </w:pPr>
            <w:r>
              <w:rPr>
                <w:b/>
              </w:rPr>
              <w:t>PROPOSAL</w:t>
            </w:r>
          </w:p>
        </w:tc>
        <w:tc>
          <w:tcPr>
            <w:tcW w:w="120" w:type="dxa"/>
            <w:tcBorders/>
            <w:vAlign w:val="center"/>
          </w:tcPr>
          <w:p>
            <w:pPr>
              <w:pStyle w:val="TableContents"/>
              <w:bidi w:val="0"/>
              <w:spacing w:before="0" w:after="283"/>
              <w:jc w:val="left"/>
              <w:rPr/>
            </w:pPr>
            <w:r>
              <w:rPr/>
              <w:t>  </w:t>
            </w:r>
          </w:p>
        </w:tc>
        <w:tc>
          <w:tcPr>
            <w:tcW w:w="3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0"/>
              <w:jc w:val="center"/>
              <w:rPr>
                <w:rFonts w:ascii="ARIAL" w:hAnsi="ARIAL"/>
                <w:b/>
                <w:sz w:val="14"/>
              </w:rPr>
            </w:pPr>
            <w:r>
              <w:rPr>
                <w:rFonts w:ascii="ARIAL" w:hAnsi="ARIAL"/>
                <w:b/>
                <w:sz w:val="14"/>
              </w:rPr>
              <w:t xml:space="preserve">BOARD </w:t>
            </w:r>
          </w:p>
          <w:p>
            <w:pPr>
              <w:pStyle w:val="TableContents"/>
              <w:bidi w:val="0"/>
              <w:spacing w:before="0" w:after="20"/>
              <w:jc w:val="center"/>
              <w:rPr>
                <w:rFonts w:ascii="ARIAL" w:hAnsi="ARIAL"/>
                <w:b/>
                <w:sz w:val="14"/>
              </w:rPr>
            </w:pPr>
            <w:r>
              <w:rPr>
                <w:rFonts w:ascii="ARIAL" w:hAnsi="ARIAL"/>
                <w:b/>
                <w:sz w:val="14"/>
              </w:rPr>
              <w:t>RECOMMENDATION</w:t>
            </w:r>
          </w:p>
        </w:tc>
        <w:tc>
          <w:tcPr>
            <w:tcW w:w="1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center"/>
              <w:rPr>
                <w:b/>
              </w:rPr>
            </w:pPr>
            <w:r>
              <w:rPr>
                <w:b/>
              </w:rPr>
              <w:t>VOTE REQUIRED</w:t>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center"/>
              <w:rPr>
                <w:rFonts w:ascii="ARIAL" w:hAnsi="ARIAL"/>
                <w:b/>
                <w:sz w:val="14"/>
              </w:rPr>
            </w:pPr>
            <w:r>
              <w:rPr>
                <w:rFonts w:ascii="ARIAL" w:hAnsi="ARIAL"/>
                <w:b/>
                <w:sz w:val="14"/>
              </w:rPr>
              <w:t>BROKER DISCRETIONARY </w:t>
            </w:r>
          </w:p>
          <w:p>
            <w:pPr>
              <w:pStyle w:val="TableContents"/>
              <w:bidi w:val="0"/>
              <w:spacing w:before="0" w:after="20"/>
              <w:jc w:val="center"/>
              <w:rPr>
                <w:rFonts w:ascii="ARIAL" w:hAnsi="ARIAL"/>
                <w:b/>
                <w:sz w:val="14"/>
              </w:rPr>
            </w:pPr>
            <w:r>
              <w:rPr>
                <w:rFonts w:ascii="ARIAL" w:hAnsi="ARIAL"/>
                <w:b/>
                <w:sz w:val="14"/>
              </w:rPr>
              <w:t>VOTING ALLOWED</w:t>
            </w:r>
          </w:p>
        </w:tc>
      </w:tr>
      <w:tr>
        <w:trPr/>
        <w:tc>
          <w:tcPr>
            <w:tcW w:w="1355" w:type="dxa"/>
            <w:tcBorders/>
            <w:shd w:fill="E8F4FF" w:val="clear"/>
            <w:vAlign w:val="center"/>
          </w:tcPr>
          <w:p>
            <w:pPr>
              <w:pStyle w:val="TableContents"/>
              <w:bidi w:val="0"/>
              <w:spacing w:before="0" w:after="283"/>
              <w:jc w:val="left"/>
              <w:rPr>
                <w:sz w:val="4"/>
                <w:szCs w:val="4"/>
              </w:rPr>
            </w:pPr>
            <w:r>
              <w:rPr>
                <w:sz w:val="4"/>
                <w:szCs w:val="4"/>
              </w:rPr>
            </w:r>
          </w:p>
        </w:tc>
        <w:tc>
          <w:tcPr>
            <w:tcW w:w="3360" w:type="dxa"/>
            <w:gridSpan w:val="2"/>
            <w:tcBorders/>
            <w:shd w:fill="E8F4FF" w:val="clear"/>
            <w:vAlign w:val="center"/>
          </w:tcPr>
          <w:p>
            <w:pPr>
              <w:pStyle w:val="TableContents"/>
              <w:bidi w:val="0"/>
              <w:spacing w:before="0" w:after="283"/>
              <w:jc w:val="left"/>
              <w:rPr>
                <w:sz w:val="4"/>
                <w:szCs w:val="4"/>
              </w:rPr>
            </w:pPr>
            <w:r>
              <w:rPr>
                <w:sz w:val="4"/>
                <w:szCs w:val="4"/>
              </w:rPr>
            </w:r>
          </w:p>
        </w:tc>
        <w:tc>
          <w:tcPr>
            <w:tcW w:w="1400" w:type="dxa"/>
            <w:gridSpan w:val="2"/>
            <w:tcBorders/>
            <w:shd w:fill="E8F4FF" w:val="clear"/>
            <w:vAlign w:val="center"/>
          </w:tcPr>
          <w:p>
            <w:pPr>
              <w:pStyle w:val="TableContents"/>
              <w:bidi w:val="0"/>
              <w:spacing w:before="0" w:after="283"/>
              <w:jc w:val="left"/>
              <w:rPr>
                <w:sz w:val="4"/>
                <w:szCs w:val="4"/>
              </w:rPr>
            </w:pPr>
            <w:r>
              <w:rPr>
                <w:sz w:val="4"/>
                <w:szCs w:val="4"/>
              </w:rPr>
            </w:r>
          </w:p>
        </w:tc>
        <w:tc>
          <w:tcPr>
            <w:tcW w:w="2210" w:type="dxa"/>
            <w:gridSpan w:val="2"/>
            <w:tcBorders/>
            <w:shd w:fill="E8F4FF" w:val="clear"/>
            <w:vAlign w:val="center"/>
          </w:tcPr>
          <w:p>
            <w:pPr>
              <w:pStyle w:val="TableContents"/>
              <w:bidi w:val="0"/>
              <w:spacing w:before="0" w:after="283"/>
              <w:jc w:val="left"/>
              <w:rPr>
                <w:sz w:val="4"/>
                <w:szCs w:val="4"/>
              </w:rPr>
            </w:pPr>
            <w:r>
              <w:rPr>
                <w:sz w:val="4"/>
                <w:szCs w:val="4"/>
              </w:rPr>
            </w:r>
          </w:p>
        </w:tc>
        <w:tc>
          <w:tcPr>
            <w:tcW w:w="188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1355" w:type="dxa"/>
            <w:tcBorders/>
            <w:shd w:fill="E8F4FF" w:val="clear"/>
            <w:vAlign w:val="center"/>
          </w:tcPr>
          <w:p>
            <w:pPr>
              <w:pStyle w:val="TableContents"/>
              <w:bidi w:val="0"/>
              <w:spacing w:before="0" w:after="283"/>
              <w:jc w:val="center"/>
              <w:rPr>
                <w:b/>
                <w:color w:val="2393FF"/>
                <w:sz w:val="36"/>
              </w:rPr>
            </w:pPr>
            <w:r>
              <w:rPr>
                <w:b/>
                <w:color w:val="2393FF"/>
                <w:sz w:val="36"/>
              </w:rPr>
              <w:t>1</w:t>
            </w:r>
          </w:p>
        </w:tc>
        <w:tc>
          <w:tcPr>
            <w:tcW w:w="120" w:type="dxa"/>
            <w:tcBorders/>
            <w:shd w:fill="E8F4FF" w:val="clear"/>
            <w:vAlign w:val="center"/>
          </w:tcPr>
          <w:p>
            <w:pPr>
              <w:pStyle w:val="TableContents"/>
              <w:bidi w:val="0"/>
              <w:spacing w:before="0" w:after="283"/>
              <w:jc w:val="left"/>
              <w:rPr/>
            </w:pPr>
            <w:r>
              <w:rPr/>
              <w:t>  </w:t>
            </w:r>
          </w:p>
        </w:tc>
        <w:tc>
          <w:tcPr>
            <w:tcW w:w="3240" w:type="dxa"/>
            <w:tcBorders/>
            <w:shd w:fill="E8F4FF" w:val="clear"/>
            <w:vAlign w:val="center"/>
          </w:tcPr>
          <w:p>
            <w:pPr>
              <w:pStyle w:val="TableContents"/>
              <w:bidi w:val="0"/>
              <w:spacing w:before="0" w:after="283"/>
              <w:jc w:val="left"/>
              <w:rPr/>
            </w:pPr>
            <w:r>
              <w:rPr/>
              <w:t>Elect two directors to serve as Class I directors until the 2028 Annual Meeting of Stockholders</w:t>
            </w:r>
          </w:p>
        </w:tc>
        <w:tc>
          <w:tcPr>
            <w:tcW w:w="120" w:type="dxa"/>
            <w:tcBorders/>
            <w:shd w:fill="E8F4FF" w:val="clear"/>
            <w:vAlign w:val="center"/>
          </w:tcPr>
          <w:p>
            <w:pPr>
              <w:pStyle w:val="TableContents"/>
              <w:bidi w:val="0"/>
              <w:spacing w:before="0" w:after="283"/>
              <w:jc w:val="left"/>
              <w:rPr/>
            </w:pPr>
            <w:r>
              <w:rPr/>
              <w:t>  </w:t>
            </w:r>
          </w:p>
        </w:tc>
        <w:tc>
          <w:tcPr>
            <w:tcW w:w="1280" w:type="dxa"/>
            <w:tcBorders/>
            <w:shd w:fill="E8F4FF" w:val="clear"/>
            <w:vAlign w:val="center"/>
          </w:tcPr>
          <w:p>
            <w:pPr>
              <w:pStyle w:val="TableContents"/>
              <w:bidi w:val="0"/>
              <w:spacing w:before="0" w:after="283"/>
              <w:jc w:val="center"/>
              <w:rPr/>
            </w:pPr>
            <w:r>
              <w:rPr/>
              <w:t>FOR</w:t>
            </w:r>
          </w:p>
        </w:tc>
        <w:tc>
          <w:tcPr>
            <w:tcW w:w="120" w:type="dxa"/>
            <w:tcBorders/>
            <w:shd w:fill="E8F4FF" w:val="clear"/>
            <w:vAlign w:val="center"/>
          </w:tcPr>
          <w:p>
            <w:pPr>
              <w:pStyle w:val="TableContents"/>
              <w:bidi w:val="0"/>
              <w:spacing w:before="0" w:after="283"/>
              <w:jc w:val="left"/>
              <w:rPr/>
            </w:pPr>
            <w:r>
              <w:rPr/>
              <w:t>  </w:t>
            </w:r>
          </w:p>
        </w:tc>
        <w:tc>
          <w:tcPr>
            <w:tcW w:w="2090" w:type="dxa"/>
            <w:tcBorders/>
            <w:shd w:fill="E8F4FF" w:val="clear"/>
            <w:vAlign w:val="center"/>
          </w:tcPr>
          <w:p>
            <w:pPr>
              <w:pStyle w:val="TableContents"/>
              <w:bidi w:val="0"/>
              <w:spacing w:before="0" w:after="283"/>
              <w:jc w:val="center"/>
              <w:rPr/>
            </w:pPr>
            <w:r>
              <w:rPr/>
              <w:t>Plurality</w:t>
            </w:r>
          </w:p>
        </w:tc>
        <w:tc>
          <w:tcPr>
            <w:tcW w:w="120" w:type="dxa"/>
            <w:tcBorders/>
            <w:shd w:fill="E8F4FF" w:val="clear"/>
            <w:vAlign w:val="center"/>
          </w:tcPr>
          <w:p>
            <w:pPr>
              <w:pStyle w:val="TableContents"/>
              <w:bidi w:val="0"/>
              <w:spacing w:before="0" w:after="283"/>
              <w:jc w:val="left"/>
              <w:rPr/>
            </w:pPr>
            <w:r>
              <w:rPr/>
              <w:t>  </w:t>
            </w:r>
          </w:p>
        </w:tc>
        <w:tc>
          <w:tcPr>
            <w:tcW w:w="1760" w:type="dxa"/>
            <w:tcBorders/>
            <w:shd w:fill="E8F4FF" w:val="clear"/>
            <w:vAlign w:val="center"/>
          </w:tcPr>
          <w:p>
            <w:pPr>
              <w:pStyle w:val="TableContents"/>
              <w:bidi w:val="0"/>
              <w:spacing w:before="0" w:after="283"/>
              <w:jc w:val="center"/>
              <w:rPr/>
            </w:pPr>
            <w:r>
              <w:rPr/>
              <w:t>No</w:t>
            </w:r>
          </w:p>
        </w:tc>
      </w:tr>
      <w:tr>
        <w:trPr/>
        <w:tc>
          <w:tcPr>
            <w:tcW w:w="1355" w:type="dxa"/>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210"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before="0" w:after="283"/>
              <w:jc w:val="center"/>
              <w:rPr>
                <w:b/>
                <w:color w:val="2393FF"/>
                <w:sz w:val="36"/>
              </w:rPr>
            </w:pPr>
            <w:r>
              <w:rPr>
                <w:b/>
                <w:color w:val="2393FF"/>
                <w:sz w:val="36"/>
              </w:rPr>
              <w:t>2</w:t>
            </w:r>
          </w:p>
        </w:tc>
        <w:tc>
          <w:tcPr>
            <w:tcW w:w="120" w:type="dxa"/>
            <w:tcBorders/>
            <w:vAlign w:val="center"/>
          </w:tcPr>
          <w:p>
            <w:pPr>
              <w:pStyle w:val="TableContents"/>
              <w:bidi w:val="0"/>
              <w:spacing w:before="0" w:after="283"/>
              <w:jc w:val="left"/>
              <w:rPr/>
            </w:pPr>
            <w:r>
              <w:rPr/>
              <w:t>  </w:t>
            </w:r>
          </w:p>
        </w:tc>
        <w:tc>
          <w:tcPr>
            <w:tcW w:w="3240" w:type="dxa"/>
            <w:tcBorders/>
            <w:vAlign w:val="center"/>
          </w:tcPr>
          <w:p>
            <w:pPr>
              <w:pStyle w:val="TableContents"/>
              <w:bidi w:val="0"/>
              <w:spacing w:before="0" w:after="283"/>
              <w:jc w:val="left"/>
              <w:rPr/>
            </w:pPr>
            <w:r>
              <w:rPr/>
              <w:t>Ratify the appointment of PricewaterhouseCoopers LLP as Flywire Corporation’s independent registered public accounting firm for the year ending December 31, 2025</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FOR</w:t>
            </w:r>
          </w:p>
        </w:tc>
        <w:tc>
          <w:tcPr>
            <w:tcW w:w="1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center"/>
              <w:rPr/>
            </w:pPr>
            <w:r>
              <w:rPr/>
              <w:t>Majority Voted</w:t>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Yes</w:t>
            </w:r>
          </w:p>
        </w:tc>
      </w:tr>
      <w:tr>
        <w:trPr/>
        <w:tc>
          <w:tcPr>
            <w:tcW w:w="1355" w:type="dxa"/>
            <w:tcBorders/>
            <w:shd w:fill="E8F4FF" w:val="clear"/>
            <w:vAlign w:val="center"/>
          </w:tcPr>
          <w:p>
            <w:pPr>
              <w:pStyle w:val="TableContents"/>
              <w:bidi w:val="0"/>
              <w:spacing w:before="0" w:after="283"/>
              <w:jc w:val="left"/>
              <w:rPr>
                <w:sz w:val="4"/>
                <w:szCs w:val="4"/>
              </w:rPr>
            </w:pPr>
            <w:r>
              <w:rPr>
                <w:sz w:val="4"/>
                <w:szCs w:val="4"/>
              </w:rPr>
            </w:r>
          </w:p>
        </w:tc>
        <w:tc>
          <w:tcPr>
            <w:tcW w:w="3360" w:type="dxa"/>
            <w:gridSpan w:val="2"/>
            <w:tcBorders/>
            <w:shd w:fill="E8F4FF" w:val="clear"/>
            <w:vAlign w:val="center"/>
          </w:tcPr>
          <w:p>
            <w:pPr>
              <w:pStyle w:val="TableContents"/>
              <w:bidi w:val="0"/>
              <w:spacing w:before="0" w:after="283"/>
              <w:jc w:val="left"/>
              <w:rPr>
                <w:sz w:val="4"/>
                <w:szCs w:val="4"/>
              </w:rPr>
            </w:pPr>
            <w:r>
              <w:rPr>
                <w:sz w:val="4"/>
                <w:szCs w:val="4"/>
              </w:rPr>
            </w:r>
          </w:p>
        </w:tc>
        <w:tc>
          <w:tcPr>
            <w:tcW w:w="1400" w:type="dxa"/>
            <w:gridSpan w:val="2"/>
            <w:tcBorders/>
            <w:shd w:fill="E8F4FF" w:val="clear"/>
            <w:vAlign w:val="center"/>
          </w:tcPr>
          <w:p>
            <w:pPr>
              <w:pStyle w:val="TableContents"/>
              <w:bidi w:val="0"/>
              <w:spacing w:before="0" w:after="283"/>
              <w:jc w:val="left"/>
              <w:rPr>
                <w:sz w:val="4"/>
                <w:szCs w:val="4"/>
              </w:rPr>
            </w:pPr>
            <w:r>
              <w:rPr>
                <w:sz w:val="4"/>
                <w:szCs w:val="4"/>
              </w:rPr>
            </w:r>
          </w:p>
        </w:tc>
        <w:tc>
          <w:tcPr>
            <w:tcW w:w="2210" w:type="dxa"/>
            <w:gridSpan w:val="2"/>
            <w:tcBorders/>
            <w:shd w:fill="E8F4FF" w:val="clear"/>
            <w:vAlign w:val="center"/>
          </w:tcPr>
          <w:p>
            <w:pPr>
              <w:pStyle w:val="TableContents"/>
              <w:bidi w:val="0"/>
              <w:spacing w:before="0" w:after="283"/>
              <w:jc w:val="left"/>
              <w:rPr>
                <w:sz w:val="4"/>
                <w:szCs w:val="4"/>
              </w:rPr>
            </w:pPr>
            <w:r>
              <w:rPr>
                <w:sz w:val="4"/>
                <w:szCs w:val="4"/>
              </w:rPr>
            </w:r>
          </w:p>
        </w:tc>
        <w:tc>
          <w:tcPr>
            <w:tcW w:w="188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1355" w:type="dxa"/>
            <w:tcBorders>
              <w:bottom w:val="single" w:sz="6" w:space="0" w:color="2393FF"/>
            </w:tcBorders>
            <w:shd w:fill="E8F4FF" w:val="clear"/>
            <w:tcMar>
              <w:bottom w:w="120" w:type="dxa"/>
            </w:tcMar>
            <w:vAlign w:val="center"/>
          </w:tcPr>
          <w:p>
            <w:pPr>
              <w:pStyle w:val="TableContents"/>
              <w:bidi w:val="0"/>
              <w:spacing w:before="0" w:after="283"/>
              <w:jc w:val="center"/>
              <w:rPr>
                <w:b/>
                <w:color w:val="2393FF"/>
                <w:sz w:val="36"/>
              </w:rPr>
            </w:pPr>
            <w:r>
              <w:rPr>
                <w:b/>
                <w:color w:val="2393FF"/>
                <w:sz w:val="36"/>
              </w:rPr>
              <w:t>3</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3240" w:type="dxa"/>
            <w:tcBorders>
              <w:bottom w:val="single" w:sz="6" w:space="0" w:color="2393FF"/>
            </w:tcBorders>
            <w:shd w:fill="E8F4FF" w:val="clear"/>
            <w:tcMar>
              <w:bottom w:w="120" w:type="dxa"/>
            </w:tcMar>
            <w:vAlign w:val="center"/>
          </w:tcPr>
          <w:p>
            <w:pPr>
              <w:pStyle w:val="TableContents"/>
              <w:bidi w:val="0"/>
              <w:spacing w:before="0" w:after="283"/>
              <w:jc w:val="left"/>
              <w:rPr/>
            </w:pPr>
            <w:r>
              <w:rPr/>
              <w:t>Approve, on a non-binding, advisory basis, the compensation of Flywire Corporation’s named executive officers</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280" w:type="dxa"/>
            <w:tcBorders>
              <w:bottom w:val="single" w:sz="6" w:space="0" w:color="2393FF"/>
            </w:tcBorders>
            <w:shd w:fill="E8F4FF" w:val="clear"/>
            <w:tcMar>
              <w:bottom w:w="120" w:type="dxa"/>
            </w:tcMar>
            <w:vAlign w:val="center"/>
          </w:tcPr>
          <w:p>
            <w:pPr>
              <w:pStyle w:val="TableContents"/>
              <w:bidi w:val="0"/>
              <w:spacing w:before="0" w:after="283"/>
              <w:jc w:val="center"/>
              <w:rPr/>
            </w:pPr>
            <w:r>
              <w:rPr/>
              <w:t>FOR</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2090" w:type="dxa"/>
            <w:tcBorders>
              <w:bottom w:val="single" w:sz="6" w:space="0" w:color="2393FF"/>
            </w:tcBorders>
            <w:shd w:fill="E8F4FF" w:val="clear"/>
            <w:tcMar>
              <w:bottom w:w="120" w:type="dxa"/>
            </w:tcMar>
            <w:vAlign w:val="center"/>
          </w:tcPr>
          <w:p>
            <w:pPr>
              <w:pStyle w:val="TableContents"/>
              <w:bidi w:val="0"/>
              <w:spacing w:before="0" w:after="283"/>
              <w:jc w:val="center"/>
              <w:rPr/>
            </w:pPr>
            <w:r>
              <w:rPr/>
              <w:t>Majority Voted</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760" w:type="dxa"/>
            <w:tcBorders>
              <w:bottom w:val="single" w:sz="6" w:space="0" w:color="2393FF"/>
            </w:tcBorders>
            <w:shd w:fill="E8F4FF" w:val="clear"/>
            <w:tcMar>
              <w:bottom w:w="120" w:type="dxa"/>
            </w:tcMar>
            <w:vAlign w:val="center"/>
          </w:tcPr>
          <w:p>
            <w:pPr>
              <w:pStyle w:val="TableContents"/>
              <w:bidi w:val="0"/>
              <w:spacing w:before="0" w:after="283"/>
              <w:jc w:val="center"/>
              <w:rPr/>
            </w:pPr>
            <w:r>
              <w:rPr/>
              <w:t>No</w:t>
            </w:r>
          </w:p>
        </w:tc>
      </w:tr>
    </w:tbl>
    <w:p>
      <w:pPr>
        <w:pStyle w:val="TextBody"/>
        <w:bidi w:val="0"/>
        <w:spacing w:before="200" w:after="0"/>
        <w:jc w:val="left"/>
        <w:rPr>
          <w:rFonts w:ascii="ARIAL" w:hAnsi="ARIAL"/>
          <w:i/>
          <w:sz w:val="18"/>
        </w:rPr>
      </w:pPr>
      <w:r>
        <w:rPr>
          <w:rFonts w:ascii="ARIAL" w:hAnsi="ARIAL"/>
          <w:i/>
          <w:sz w:val="18"/>
        </w:rPr>
        <w:t xml:space="preserve">Plurality—Directors will be elected by a plurality of the votes cast at the meeting. Consequently, the director nominees receiving the most votes of the holders of our common stock will be elected as directors. Only votes cast FOR a nominee will be counted. A properly executed proxy marked “WITHHOLD” and “broker non-votes” with respect to the election of one or more directors will not be voted with respect to the director or directors indicated. </w:t>
      </w:r>
    </w:p>
    <w:p>
      <w:pPr>
        <w:pStyle w:val="TextBody"/>
        <w:bidi w:val="0"/>
        <w:spacing w:before="200" w:after="0"/>
        <w:jc w:val="left"/>
        <w:rPr>
          <w:rFonts w:ascii="ARIAL" w:hAnsi="ARIAL"/>
          <w:i/>
          <w:sz w:val="18"/>
        </w:rPr>
      </w:pPr>
      <w:r>
        <w:rPr>
          <w:rFonts w:ascii="ARIAL" w:hAnsi="ARIAL"/>
          <w:i/>
          <w:sz w:val="18"/>
        </w:rPr>
        <w:t xml:space="preserve">Majority Voted—The proposal will be approved by the affirmative vote of the holders of a majority of the shares of common stock that are present in person or represented by proxy at the meeting and are voted FOR or AGAINST the matter. Abstentions and broker non-votes will not be counted as votes cast either FOR or AGAINST this proposal and will have no effect on the outcome of the proposal. </w:t>
      </w:r>
    </w:p>
    <w:p>
      <w:pPr>
        <w:pStyle w:val="TextBody"/>
        <w:bidi w:val="0"/>
        <w:spacing w:before="200" w:after="0"/>
        <w:jc w:val="left"/>
        <w:rPr>
          <w:rFonts w:ascii="ARIAL" w:hAnsi="ARIAL"/>
          <w:i/>
          <w:sz w:val="18"/>
        </w:rPr>
      </w:pPr>
      <w:r>
        <w:rPr>
          <w:rFonts w:ascii="ARIAL" w:hAnsi="ARIAL"/>
          <w:i/>
          <w:sz w:val="18"/>
        </w:rPr>
        <w:t xml:space="preserve">Broker Discretionary Voting—occurs when a broker does not receive voting instructions from the beneficial owner and votes those shares in its discretion on any proposal on which it is permitted to vote. </w:t>
      </w:r>
    </w:p>
    <w:p>
      <w:pPr>
        <w:pStyle w:val="TextBody"/>
        <w:bidi w:val="0"/>
        <w:spacing w:before="200" w:after="0"/>
        <w:jc w:val="left"/>
        <w:rPr>
          <w:rFonts w:ascii="ARIAL" w:hAnsi="ARIAL"/>
          <w:sz w:val="18"/>
        </w:rPr>
      </w:pPr>
      <w:r>
        <w:rPr>
          <w:rFonts w:ascii="ARIAL" w:hAnsi="ARIAL"/>
          <w:sz w:val="18"/>
        </w:rPr>
        <w:t xml:space="preserve">Even though your votes on Proposal 3 are advisory and therefore will not be binding on us, our Board of Directors or its People &amp; Compensation Committee will review the voting results and take them into consideration when making future decisions regarding executive compensation of our named executive officers.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  4  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020" w:type="dxa"/>
        <w:jc w:val="left"/>
        <w:tblInd w:w="0" w:type="dxa"/>
        <w:tblLayout w:type="fixed"/>
        <w:tblCellMar>
          <w:top w:w="0" w:type="dxa"/>
          <w:left w:w="0" w:type="dxa"/>
          <w:bottom w:w="0" w:type="dxa"/>
          <w:right w:w="0" w:type="dxa"/>
        </w:tblCellMar>
      </w:tblPr>
      <w:tblGrid>
        <w:gridCol w:w="275"/>
        <w:gridCol w:w="7745"/>
      </w:tblGrid>
      <w:tr>
        <w:trPr/>
        <w:tc>
          <w:tcPr>
            <w:tcW w:w="275" w:type="dxa"/>
            <w:tcBorders/>
            <w:vAlign w:val="center"/>
          </w:tcPr>
          <w:p>
            <w:pPr>
              <w:pStyle w:val="TableContents"/>
              <w:bidi w:val="0"/>
              <w:spacing w:before="0" w:after="283"/>
              <w:jc w:val="left"/>
              <w:rPr/>
            </w:pPr>
            <w:r>
              <w:rPr/>
              <w:t>Q:</w:t>
            </w:r>
          </w:p>
        </w:tc>
        <w:tc>
          <w:tcPr>
            <w:tcW w:w="7745" w:type="dxa"/>
            <w:tcBorders/>
            <w:vAlign w:val="center"/>
          </w:tcPr>
          <w:p>
            <w:pPr>
              <w:pStyle w:val="TableContents"/>
              <w:bidi w:val="0"/>
              <w:spacing w:before="0" w:after="0"/>
              <w:jc w:val="left"/>
              <w:rPr>
                <w:rFonts w:ascii="ARIAL" w:hAnsi="ARIAL"/>
                <w:sz w:val="18"/>
              </w:rPr>
            </w:pPr>
            <w:r>
              <w:rPr>
                <w:rFonts w:ascii="ARIAL" w:hAnsi="ARIAL"/>
                <w:sz w:val="18"/>
              </w:rPr>
              <w:t xml:space="preserve">WHAT HAPPENS IF ADDITIONAL MATTERS ARE PRESENTED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b/>
              </w:rPr>
            </w:pPr>
            <w:r>
              <w:rPr>
                <w:b/>
              </w:rPr>
              <w:t>A:</w:t>
            </w:r>
          </w:p>
        </w:tc>
        <w:tc>
          <w:tcPr>
            <w:tcW w:w="9974" w:type="dxa"/>
            <w:tcBorders/>
            <w:vAlign w:val="center"/>
          </w:tcPr>
          <w:p>
            <w:pPr>
              <w:pStyle w:val="TableContents"/>
              <w:bidi w:val="0"/>
              <w:spacing w:before="0" w:after="0"/>
              <w:jc w:val="left"/>
              <w:rPr>
                <w:rFonts w:ascii="ARIAL" w:hAnsi="ARIAL"/>
                <w:sz w:val="18"/>
              </w:rPr>
            </w:pPr>
            <w:r>
              <w:rPr>
                <w:rFonts w:ascii="ARIAL" w:hAnsi="ARIAL"/>
                <w:sz w:val="18"/>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275"/>
        <w:gridCol w:w="3440"/>
      </w:tblGrid>
      <w:tr>
        <w:trPr/>
        <w:tc>
          <w:tcPr>
            <w:tcW w:w="275" w:type="dxa"/>
            <w:tcBorders/>
            <w:vAlign w:val="center"/>
          </w:tcPr>
          <w:p>
            <w:pPr>
              <w:pStyle w:val="TableContents"/>
              <w:bidi w:val="0"/>
              <w:spacing w:before="0" w:after="283"/>
              <w:jc w:val="left"/>
              <w:rPr/>
            </w:pPr>
            <w:r>
              <w:rPr/>
              <w:t>Q:</w:t>
            </w:r>
          </w:p>
        </w:tc>
        <w:tc>
          <w:tcPr>
            <w:tcW w:w="3440" w:type="dxa"/>
            <w:tcBorders/>
            <w:vAlign w:val="center"/>
          </w:tcPr>
          <w:p>
            <w:pPr>
              <w:pStyle w:val="TableContents"/>
              <w:bidi w:val="0"/>
              <w:spacing w:before="0" w:after="0"/>
              <w:jc w:val="left"/>
              <w:rPr>
                <w:rFonts w:ascii="ARIAL" w:hAnsi="ARIAL"/>
                <w:sz w:val="18"/>
              </w:rPr>
            </w:pPr>
            <w:r>
              <w:rPr>
                <w:rFonts w:ascii="ARIAL" w:hAnsi="ARIAL"/>
                <w:sz w:val="18"/>
              </w:rPr>
              <w:t xml:space="preserve">CAN I CHANGE OR REVOKE MY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b/>
              </w:rPr>
            </w:pPr>
            <w:r>
              <w:rPr>
                <w:b/>
              </w:rPr>
              <w:t>A:</w:t>
            </w:r>
          </w:p>
        </w:tc>
        <w:tc>
          <w:tcPr>
            <w:tcW w:w="9936" w:type="dxa"/>
            <w:tcBorders/>
            <w:vAlign w:val="center"/>
          </w:tcPr>
          <w:p>
            <w:pPr>
              <w:pStyle w:val="TableContents"/>
              <w:bidi w:val="0"/>
              <w:spacing w:before="0" w:after="0"/>
              <w:jc w:val="left"/>
              <w:rPr>
                <w:rFonts w:ascii="ARIAL" w:hAnsi="ARIAL"/>
                <w:sz w:val="18"/>
              </w:rPr>
            </w:pPr>
            <w:r>
              <w:rPr>
                <w:rFonts w:ascii="ARIAL" w:hAnsi="ARIAL"/>
                <w:sz w:val="18"/>
              </w:rPr>
              <w:t xml:space="preserve">Subject to any rules your broker, trustee or nominee may have, you may change your proxy instructions at any time before your proxy is voted at the Annual Meeting. </w:t>
            </w:r>
          </w:p>
        </w:tc>
      </w:tr>
    </w:tbl>
    <w:p>
      <w:pPr>
        <w:pStyle w:val="TextBody"/>
        <w:bidi w:val="0"/>
        <w:spacing w:before="200" w:after="0"/>
        <w:jc w:val="left"/>
        <w:rPr>
          <w:rFonts w:ascii="ARIAL" w:hAnsi="ARIAL"/>
          <w:sz w:val="18"/>
        </w:rPr>
      </w:pPr>
      <w:r>
        <w:rPr>
          <w:rFonts w:ascii="ARIAL" w:hAnsi="ARIAL"/>
          <w:sz w:val="18"/>
        </w:rPr>
        <w:t xml:space="preserve">If you are a stockholder of record, you may change your vote by (1) filing with our Corporate Secretary, prior to your shares being voted at the Annual Meeting, a written notice of revocation or a duly executed proxy card, in either case dated later than the prior proxy card relating to the same shares, or (2) attending the Annual Meeting and voting in person (although attendance at the Annual Meeting will not, by itself, revoke a proxy). A stockholder of record that has voted via the internet or by telephone may also change his or her vote by later making a timely and valid internet or telephone vote. </w:t>
      </w:r>
    </w:p>
    <w:p>
      <w:pPr>
        <w:pStyle w:val="TextBody"/>
        <w:bidi w:val="0"/>
        <w:spacing w:before="200" w:after="0"/>
        <w:jc w:val="left"/>
        <w:rPr>
          <w:rFonts w:ascii="ARIAL" w:hAnsi="ARIAL"/>
          <w:sz w:val="18"/>
        </w:rPr>
      </w:pPr>
      <w:r>
        <w:rPr>
          <w:rFonts w:ascii="ARIAL" w:hAnsi="ARIAL"/>
          <w:sz w:val="18"/>
        </w:rPr>
        <w:t xml:space="preserve">If you are a beneficial owner of shares held in street name, you may change your vote (1) by submitting new voting instructions to your broker, trustee or other nominee, or (2) if you have obtained a legal proxy from the broker, trustee or other nominee that holds your shares giving you the right to vote the shares, by attending the Annual Meeting and voting in person (although attendance at the Annual Meeting will not, by itself, revoke a proxy). </w:t>
      </w:r>
    </w:p>
    <w:p>
      <w:pPr>
        <w:pStyle w:val="TextBody"/>
        <w:bidi w:val="0"/>
        <w:spacing w:before="200" w:after="0"/>
        <w:jc w:val="left"/>
        <w:rPr>
          <w:rFonts w:ascii="ARIAL" w:hAnsi="ARIAL"/>
          <w:sz w:val="18"/>
        </w:rPr>
      </w:pPr>
      <w:r>
        <w:rPr>
          <w:rFonts w:ascii="ARIAL" w:hAnsi="ARIAL"/>
          <w:sz w:val="18"/>
        </w:rPr>
        <w:t xml:space="preserve">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(see below for address), Attention: Corporate Secretary. </w:t>
      </w:r>
    </w:p>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275"/>
        <w:gridCol w:w="7025"/>
      </w:tblGrid>
      <w:tr>
        <w:trPr/>
        <w:tc>
          <w:tcPr>
            <w:tcW w:w="275" w:type="dxa"/>
            <w:tcBorders/>
            <w:vAlign w:val="center"/>
          </w:tcPr>
          <w:p>
            <w:pPr>
              <w:pStyle w:val="TableContents"/>
              <w:bidi w:val="0"/>
              <w:spacing w:before="0" w:after="283"/>
              <w:jc w:val="left"/>
              <w:rPr/>
            </w:pPr>
            <w:r>
              <w:rPr/>
              <w:t>Q:</w:t>
            </w:r>
          </w:p>
        </w:tc>
        <w:tc>
          <w:tcPr>
            <w:tcW w:w="7025" w:type="dxa"/>
            <w:tcBorders/>
            <w:vAlign w:val="center"/>
          </w:tcPr>
          <w:p>
            <w:pPr>
              <w:pStyle w:val="TableContents"/>
              <w:bidi w:val="0"/>
              <w:spacing w:before="0" w:after="0"/>
              <w:jc w:val="left"/>
              <w:rPr>
                <w:rFonts w:ascii="ARIAL" w:hAnsi="ARIAL"/>
                <w:sz w:val="18"/>
              </w:rPr>
            </w:pPr>
            <w:r>
              <w:rPr>
                <w:rFonts w:ascii="ARIAL" w:hAnsi="ARIAL"/>
                <w:sz w:val="18"/>
              </w:rPr>
              <w:t xml:space="preserve">WHO WILL BEAR THE COST OF SOLICITING VOTES FOR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b/>
              </w:rPr>
            </w:pPr>
            <w:r>
              <w:rPr>
                <w:b/>
              </w:rPr>
              <w:t>A:</w:t>
            </w:r>
          </w:p>
        </w:tc>
        <w:tc>
          <w:tcPr>
            <w:tcW w:w="9982" w:type="dxa"/>
            <w:tcBorders/>
            <w:vAlign w:val="center"/>
          </w:tcPr>
          <w:p>
            <w:pPr>
              <w:pStyle w:val="TableContents"/>
              <w:bidi w:val="0"/>
              <w:spacing w:before="0" w:after="0"/>
              <w:jc w:val="left"/>
              <w:rPr>
                <w:rFonts w:ascii="ARIAL" w:hAnsi="ARIAL"/>
                <w:sz w:val="18"/>
              </w:rPr>
            </w:pPr>
            <w:r>
              <w:rPr>
                <w:rFonts w:ascii="ARIAL" w:hAnsi="ARIAL"/>
                <w:sz w:val="18"/>
              </w:rPr>
              <w:t xml:space="preserve">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If you choose to access the proxy materials and/or vote through the internet, you are responsible for any internet access charges you may incur.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275"/>
        <w:gridCol w:w="2555"/>
      </w:tblGrid>
      <w:tr>
        <w:trPr/>
        <w:tc>
          <w:tcPr>
            <w:tcW w:w="275" w:type="dxa"/>
            <w:tcBorders/>
            <w:vAlign w:val="center"/>
          </w:tcPr>
          <w:p>
            <w:pPr>
              <w:pStyle w:val="TableContents"/>
              <w:bidi w:val="0"/>
              <w:spacing w:before="0" w:after="283"/>
              <w:jc w:val="left"/>
              <w:rPr/>
            </w:pPr>
            <w:r>
              <w:rPr/>
              <w:t>Q:</w:t>
            </w:r>
          </w:p>
        </w:tc>
        <w:tc>
          <w:tcPr>
            <w:tcW w:w="2555" w:type="dxa"/>
            <w:tcBorders/>
            <w:vAlign w:val="center"/>
          </w:tcPr>
          <w:p>
            <w:pPr>
              <w:pStyle w:val="TableContents"/>
              <w:bidi w:val="0"/>
              <w:spacing w:before="0" w:after="0"/>
              <w:jc w:val="left"/>
              <w:rPr>
                <w:rFonts w:ascii="ARIAL" w:hAnsi="ARIAL"/>
                <w:sz w:val="18"/>
              </w:rPr>
            </w:pPr>
            <w:r>
              <w:rPr>
                <w:rFonts w:ascii="ARIAL" w:hAnsi="ARIAL"/>
                <w:sz w:val="18"/>
              </w:rPr>
              <w:t xml:space="preserve">IS MY VOTE CONFIDENTIAL?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0"/>
              <w:jc w:val="left"/>
              <w:rPr>
                <w:rFonts w:ascii="ARIAL" w:hAnsi="ARIAL"/>
                <w:sz w:val="18"/>
              </w:rPr>
            </w:pPr>
            <w:r>
              <w:rPr>
                <w:rFonts w:ascii="ARIAL" w:hAnsi="ARIAL"/>
                <w:sz w:val="18"/>
              </w:rPr>
              <w:t xml:space="preserve">Proxy instructions, ballots, and voting tabulations that identify individual stockholders are handled in a manner that protects your voting privacy. Your vote will not be disclosed either within Flywire or to third parties, except as necessary to meet applicable legal requirements, to allow for the tabulation of votes and certification of the vote, or to facilitate a successful proxy solicitation.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275"/>
        <w:gridCol w:w="6200"/>
      </w:tblGrid>
      <w:tr>
        <w:trPr/>
        <w:tc>
          <w:tcPr>
            <w:tcW w:w="275" w:type="dxa"/>
            <w:tcBorders/>
            <w:vAlign w:val="center"/>
          </w:tcPr>
          <w:p>
            <w:pPr>
              <w:pStyle w:val="TableContents"/>
              <w:bidi w:val="0"/>
              <w:spacing w:before="0" w:after="283"/>
              <w:jc w:val="left"/>
              <w:rPr/>
            </w:pPr>
            <w:r>
              <w:rPr/>
              <w:t>Q:</w:t>
            </w:r>
          </w:p>
        </w:tc>
        <w:tc>
          <w:tcPr>
            <w:tcW w:w="6200" w:type="dxa"/>
            <w:tcBorders/>
            <w:vAlign w:val="center"/>
          </w:tcPr>
          <w:p>
            <w:pPr>
              <w:pStyle w:val="TableContents"/>
              <w:bidi w:val="0"/>
              <w:spacing w:before="0" w:after="0"/>
              <w:jc w:val="left"/>
              <w:rPr>
                <w:rFonts w:ascii="ARIAL" w:hAnsi="ARIAL"/>
                <w:sz w:val="18"/>
              </w:rPr>
            </w:pPr>
            <w:r>
              <w:rPr>
                <w:rFonts w:ascii="ARIAL" w:hAnsi="ARIAL"/>
                <w:sz w:val="18"/>
              </w:rPr>
              <w:t xml:space="preserve">WHERE CAN I FIND THE VOTING RESULTS OF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b/>
              </w:rPr>
            </w:pPr>
            <w:r>
              <w:rPr>
                <w:b/>
              </w:rPr>
              <w:t>A:</w:t>
            </w:r>
          </w:p>
        </w:tc>
        <w:tc>
          <w:tcPr>
            <w:tcW w:w="9942" w:type="dxa"/>
            <w:tcBorders/>
            <w:vAlign w:val="center"/>
          </w:tcPr>
          <w:p>
            <w:pPr>
              <w:pStyle w:val="TableContents"/>
              <w:bidi w:val="0"/>
              <w:spacing w:before="0" w:after="0"/>
              <w:jc w:val="left"/>
              <w:rPr>
                <w:rFonts w:ascii="ARIAL" w:hAnsi="ARIAL"/>
                <w:sz w:val="18"/>
              </w:rPr>
            </w:pPr>
            <w:r>
              <w:rPr>
                <w:rFonts w:ascii="ARIAL" w:hAnsi="ARIAL"/>
                <w:sz w:val="18"/>
              </w:rPr>
              <w:t xml:space="preserve">We intend to announce preliminary voting results at the Annual Meeting and will publish final results in a current report on Form 8-K within four business days after the Annual Meeting. </w:t>
            </w:r>
          </w:p>
        </w:tc>
      </w:tr>
    </w:tbl>
    <w:p>
      <w:pPr>
        <w:pStyle w:val="TextBody"/>
        <w:bidi w:val="0"/>
        <w:spacing w:before="200" w:after="0"/>
        <w:jc w:val="left"/>
        <w:rPr>
          <w:rFonts w:ascii="ARIAL" w:hAnsi="ARIAL"/>
          <w:sz w:val="18"/>
        </w:rPr>
      </w:pPr>
      <w:bookmarkStart w:id="7" w:name="toc917810_5"/>
      <w:bookmarkEnd w:id="7"/>
      <w:r>
        <w:rPr>
          <w:rFonts w:ascii="ARIAL" w:hAnsi="ARIAL"/>
          <w:sz w:val="18"/>
        </w:rPr>
        <w:t xml:space="preserve">STOCKHOLDER PROPOSALS AND DIRECTOR NOMINATIONS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Q:</w:t>
            </w:r>
          </w:p>
        </w:tc>
        <w:tc>
          <w:tcPr>
            <w:tcW w:w="9957" w:type="dxa"/>
            <w:tcBorders/>
            <w:vAlign w:val="center"/>
          </w:tcPr>
          <w:p>
            <w:pPr>
              <w:pStyle w:val="TableContents"/>
              <w:bidi w:val="0"/>
              <w:spacing w:before="0" w:after="0"/>
              <w:jc w:val="left"/>
              <w:rPr>
                <w:rFonts w:ascii="ARIAL" w:hAnsi="ARIAL"/>
                <w:sz w:val="18"/>
              </w:rPr>
            </w:pPr>
            <w:r>
              <w:rPr>
                <w:rFonts w:ascii="ARIAL" w:hAnsi="ARIAL"/>
                <w:sz w:val="18"/>
              </w:rPr>
              <w:t xml:space="preserve">WHAT IS THE DEADLINE TO PROPOSE ACTIONS FOR CONSIDERATION AT NEXT YEAR’S ANNUAL MEETING OF STOCKHOLDERS OR TO NOMINATE INDIVIDUALS TO SERVE AS DIRECTORS? </w:t>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290"/>
        <w:gridCol w:w="8780"/>
      </w:tblGrid>
      <w:tr>
        <w:trPr/>
        <w:tc>
          <w:tcPr>
            <w:tcW w:w="290" w:type="dxa"/>
            <w:tcBorders/>
            <w:vAlign w:val="center"/>
          </w:tcPr>
          <w:p>
            <w:pPr>
              <w:pStyle w:val="TableContents"/>
              <w:bidi w:val="0"/>
              <w:spacing w:before="0" w:after="283"/>
              <w:jc w:val="left"/>
              <w:rPr>
                <w:b/>
              </w:rPr>
            </w:pPr>
            <w:r>
              <w:rPr>
                <w:b/>
              </w:rPr>
              <w:t>A:</w:t>
            </w:r>
          </w:p>
        </w:tc>
        <w:tc>
          <w:tcPr>
            <w:tcW w:w="8780" w:type="dxa"/>
            <w:tcBorders/>
            <w:vAlign w:val="center"/>
          </w:tcPr>
          <w:p>
            <w:pPr>
              <w:pStyle w:val="TableContents"/>
              <w:bidi w:val="0"/>
              <w:spacing w:before="0" w:after="0"/>
              <w:jc w:val="left"/>
              <w:rPr>
                <w:rFonts w:ascii="ARIAL" w:hAnsi="ARIAL"/>
                <w:sz w:val="18"/>
              </w:rPr>
            </w:pPr>
            <w:r>
              <w:rPr>
                <w:rFonts w:ascii="ARIAL" w:hAnsi="ARIAL"/>
                <w:sz w:val="18"/>
              </w:rPr>
              <w:t xml:space="preserve">You may submit proposals, including director nominations, for consideration at future stockholder meetings.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  5  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i/>
          <w:sz w:val="18"/>
        </w:rPr>
        <w:t>Requirements for stockholder proposals to be considered for inclusion in our proxy materials</w:t>
      </w:r>
      <w:r>
        <w:rPr>
          <w:rFonts w:ascii="ARIAL" w:hAnsi="ARIAL"/>
          <w:sz w:val="18"/>
        </w:rPr>
        <w:t xml:space="preserve">—Stockholders may present proper proposals for inclusion in our proxy statement and for consideration at our next annual meeting of stockholders by submitting their proposals in writing to our Corporate Secretary in a timely manner. In order to be included in the proxy statement for the 2026 annual meeting of stockholders, stockholder proposals must be received by our Corporate Secretary no later than December 23, 2025, and must otherwise comply with the requirements of Rule 14a-8 of the Securities Exchange Act of 1934, as amended (the Exchange Act). </w:t>
      </w:r>
    </w:p>
    <w:p>
      <w:pPr>
        <w:pStyle w:val="TextBody"/>
        <w:bidi w:val="0"/>
        <w:spacing w:before="200" w:after="0"/>
        <w:jc w:val="left"/>
        <w:rPr>
          <w:rFonts w:ascii="ARIAL" w:hAnsi="ARIAL"/>
          <w:sz w:val="18"/>
        </w:rPr>
      </w:pPr>
      <w:r>
        <w:rPr>
          <w:rFonts w:ascii="ARIAL" w:hAnsi="ARIAL"/>
          <w:i/>
          <w:sz w:val="18"/>
        </w:rPr>
        <w:t>Requirements for stockholder proposals to be brought before an annual meeting</w:t>
      </w:r>
      <w:r>
        <w:rPr>
          <w:rFonts w:ascii="ARIAL" w:hAnsi="ARIAL"/>
          <w:sz w:val="18"/>
        </w:rPr>
        <w:t xml:space="preserve">—In addition, our bylaws establish an advance notice procedure for stockholders who wish to present certain matters before an annual meeting of stockholders. In general, nominations for the election of directors may be made by our Board of Directors or any committee thereof or any stockholder, who is a stockholder of record on the date of the giving of such notice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 </w:t>
      </w:r>
    </w:p>
    <w:p>
      <w:pPr>
        <w:pStyle w:val="TextBody"/>
        <w:bidi w:val="0"/>
        <w:spacing w:before="200" w:after="0"/>
        <w:jc w:val="left"/>
        <w:rPr>
          <w:rFonts w:ascii="ARIAL" w:hAnsi="ARIAL"/>
          <w:sz w:val="18"/>
        </w:rPr>
      </w:pPr>
      <w:r>
        <w:rPr>
          <w:rFonts w:ascii="ARIAL" w:hAnsi="ARIAL"/>
          <w:sz w:val="18"/>
        </w:rPr>
        <w:t xml:space="preserve">Our bylaws also provide that the only business that may be conducted at an annual meeting is business that is (1) specified in the notice of meeting (or any supplement thereto) given by or at the direction of our Board of Directors, (2) 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 </w:t>
      </w:r>
    </w:p>
    <w:p>
      <w:pPr>
        <w:pStyle w:val="TextBody"/>
        <w:bidi w:val="0"/>
        <w:spacing w:before="200" w:after="0"/>
        <w:jc w:val="left"/>
        <w:rPr>
          <w:rFonts w:ascii="ARIAL" w:hAnsi="ARIAL"/>
          <w:sz w:val="18"/>
        </w:rPr>
      </w:pPr>
      <w:r>
        <w:rPr>
          <w:rFonts w:ascii="ARIAL" w:hAnsi="ARIAL"/>
          <w:sz w:val="18"/>
        </w:rPr>
        <w:t xml:space="preserve">The “Notice Deadline” is defined as that date which is not less than 90 days nor more than 120 days prior to the one year anniversary of the previous year’s annual meeting of stockholders. As a result, the Notice Deadline for the 2026 annual meeting of stockholders is between February 3, 2026 and March 5, 2026. 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Exchange Act no later than April 5, 2026. If a stockholder who has notified us of his or her intention to present a proposal at an annual meeting does not appear to present his or her proposal at such meeting, we need not present the proposal for vote at such meeting. </w:t>
      </w:r>
    </w:p>
    <w:p>
      <w:pPr>
        <w:pStyle w:val="TextBody"/>
        <w:bidi w:val="0"/>
        <w:spacing w:before="200" w:after="0"/>
        <w:jc w:val="left"/>
        <w:rPr>
          <w:rFonts w:ascii="ARIAL" w:hAnsi="ARIAL"/>
          <w:sz w:val="18"/>
        </w:rPr>
      </w:pPr>
      <w:r>
        <w:rPr>
          <w:rFonts w:ascii="ARIAL" w:hAnsi="ARIAL"/>
          <w:i/>
          <w:sz w:val="18"/>
        </w:rPr>
        <w:t>Recommendation of director candidates</w:t>
      </w:r>
      <w:r>
        <w:rPr>
          <w:rFonts w:ascii="ARIAL" w:hAnsi="ARIAL"/>
          <w:sz w:val="18"/>
        </w:rPr>
        <w:t>—You may recommend candidates to our Board of Directors for consideration by our Nominating and Corporate Governance Committee by following the procedures set forth below in “</w:t>
      </w:r>
      <w:r>
        <w:rPr>
          <w:rFonts w:ascii="ARIAL" w:hAnsi="ARIAL"/>
          <w:i/>
          <w:sz w:val="18"/>
        </w:rPr>
        <w:t>Corporate Governance-Board Committees - Nominating and Corporate Governance Committee.</w:t>
      </w:r>
      <w:r>
        <w:rPr>
          <w:rFonts w:ascii="ARIAL" w:hAnsi="ARIAL"/>
          <w:sz w:val="1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Q:</w:t>
            </w:r>
          </w:p>
        </w:tc>
        <w:tc>
          <w:tcPr>
            <w:tcW w:w="9940" w:type="dxa"/>
            <w:tcBorders/>
            <w:vAlign w:val="center"/>
          </w:tcPr>
          <w:p>
            <w:pPr>
              <w:pStyle w:val="TableContents"/>
              <w:bidi w:val="0"/>
              <w:spacing w:before="0" w:after="0"/>
              <w:jc w:val="left"/>
              <w:rPr>
                <w:rFonts w:ascii="ARIAL" w:hAnsi="ARIAL"/>
                <w:sz w:val="18"/>
              </w:rPr>
            </w:pPr>
            <w:r>
              <w:rPr>
                <w:rFonts w:ascii="ARIAL" w:hAnsi="ARIAL"/>
                <w:sz w:val="18"/>
              </w:rPr>
              <w:t xml:space="preserve">HOW MAY I OBTAIN A COPY OF THE BYLAW PROVISIONS REGARDING STOCKHOLDER PROPOSALS AND DIRECTOR NOMINATIONS?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b/>
              </w:rPr>
            </w:pPr>
            <w:r>
              <w:rPr>
                <w:b/>
              </w:rPr>
              <w:t>A:</w:t>
            </w:r>
          </w:p>
        </w:tc>
        <w:tc>
          <w:tcPr>
            <w:tcW w:w="9978" w:type="dxa"/>
            <w:tcBorders/>
            <w:vAlign w:val="center"/>
          </w:tcPr>
          <w:p>
            <w:pPr>
              <w:pStyle w:val="TableContents"/>
              <w:bidi w:val="0"/>
              <w:spacing w:before="0" w:after="0"/>
              <w:jc w:val="left"/>
              <w:rPr>
                <w:rFonts w:ascii="ARIAL" w:hAnsi="ARIAL"/>
                <w:sz w:val="18"/>
              </w:rPr>
            </w:pPr>
            <w:r>
              <w:rPr>
                <w:rFonts w:ascii="ARIAL" w:hAnsi="ARIAL"/>
                <w:sz w:val="18"/>
              </w:rPr>
              <w:t xml:space="preserve">A copy of the full text of the bylaw provisions discussed above may be obtained from our website at www.flywire.com or by writing to our Corporate Secretary. In addition, this and other information about Flywire may be obtained at the website maintained by the SEC that contains reports, proxy and information statements, and other information regarding registrants that file electronically with the SEC. The address of the SEC’s website is www.sec.gov. All notices of proposals by stockholders, whether or not included in our proxy materials, should be sent to our principal executive offices (see below for address), Attention: Corporate Secretary. </w:t>
            </w:r>
          </w:p>
        </w:tc>
      </w:tr>
    </w:tbl>
    <w:p>
      <w:pPr>
        <w:pStyle w:val="TextBody"/>
        <w:bidi w:val="0"/>
        <w:spacing w:before="200" w:after="0"/>
        <w:jc w:val="left"/>
        <w:rPr>
          <w:rFonts w:ascii="ARIAL" w:hAnsi="ARIAL"/>
          <w:sz w:val="18"/>
        </w:rPr>
      </w:pPr>
      <w:bookmarkStart w:id="8" w:name="toc917810_6"/>
      <w:bookmarkEnd w:id="8"/>
      <w:r>
        <w:rPr>
          <w:rFonts w:ascii="ARIAL" w:hAnsi="ARIAL"/>
          <w:sz w:val="18"/>
        </w:rPr>
        <w:t xml:space="preserve">ADDITIONAL INFORMATION ABOUT THE PROXY MATERIALS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Q:</w:t>
            </w:r>
          </w:p>
        </w:tc>
        <w:tc>
          <w:tcPr>
            <w:tcW w:w="9948" w:type="dxa"/>
            <w:tcBorders/>
            <w:vAlign w:val="center"/>
          </w:tcPr>
          <w:p>
            <w:pPr>
              <w:pStyle w:val="TableContents"/>
              <w:bidi w:val="0"/>
              <w:spacing w:before="0" w:after="0"/>
              <w:jc w:val="left"/>
              <w:rPr>
                <w:rFonts w:ascii="ARIAL" w:hAnsi="ARIAL"/>
                <w:sz w:val="18"/>
              </w:rPr>
            </w:pPr>
            <w:r>
              <w:rPr>
                <w:rFonts w:ascii="ARIAL" w:hAnsi="ARIAL"/>
                <w:sz w:val="18"/>
              </w:rPr>
              <w:t xml:space="preserve">WHY DID I RECEIVE A NOTICE REGARDING THE AVAILABILITY OF PROXY MATERIALS ON THE INTERNET INSTEAD OF A FULL SET OF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b/>
              </w:rPr>
            </w:pPr>
            <w:r>
              <w:rPr>
                <w:b/>
              </w:rPr>
              <w:t>A:</w:t>
            </w:r>
          </w:p>
        </w:tc>
        <w:tc>
          <w:tcPr>
            <w:tcW w:w="9981" w:type="dxa"/>
            <w:tcBorders/>
            <w:vAlign w:val="center"/>
          </w:tcPr>
          <w:p>
            <w:pPr>
              <w:pStyle w:val="TableContents"/>
              <w:bidi w:val="0"/>
              <w:spacing w:before="0" w:after="0"/>
              <w:jc w:val="left"/>
              <w:rPr>
                <w:rFonts w:ascii="ARIAL" w:hAnsi="ARIAL"/>
                <w:sz w:val="18"/>
              </w:rPr>
            </w:pPr>
            <w:r>
              <w:rPr>
                <w:rFonts w:ascii="ARIAL" w:hAnsi="ARIAL"/>
                <w:sz w:val="18"/>
              </w:rPr>
              <w:t xml:space="preserve">In accordance with SEC rules, we have elected to furnish our proxy materials, including this proxy statement and the 2024 Annual Report, to our stockholders primarily via the internet. Beginning on or about April 22, 2025, we mailed to our stockholders a “Notice of Internet Availability of Proxy Materials” that contains notice of the Annual Meeting and instructions on how to access our proxy materials on the internet, how to vote at the Annual Meeting, and how to request printed copies of the proxy materials. Stockholders may request to receive all future proxy materials in printed form by mail or electronically by e-mail by following the instructions contained at www.proxyvote.com. We encourage stockholders to take advantage of the availability of the proxy materials on the internet to help reduce the environmental impact of our annual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Q:</w:t>
            </w:r>
          </w:p>
        </w:tc>
        <w:tc>
          <w:tcPr>
            <w:tcW w:w="9955" w:type="dxa"/>
            <w:tcBorders/>
            <w:vAlign w:val="center"/>
          </w:tcPr>
          <w:p>
            <w:pPr>
              <w:pStyle w:val="TableContents"/>
              <w:bidi w:val="0"/>
              <w:spacing w:before="0" w:after="0"/>
              <w:jc w:val="left"/>
              <w:rPr>
                <w:rFonts w:ascii="ARIAL" w:hAnsi="ARIAL"/>
                <w:sz w:val="18"/>
              </w:rPr>
            </w:pPr>
            <w:r>
              <w:rPr>
                <w:rFonts w:ascii="ARIAL" w:hAnsi="ARIAL"/>
                <w:sz w:val="18"/>
              </w:rPr>
              <w:t xml:space="preserve">WHAT DOES IT MEAN IF MULTIPLE MEMBERS OF MY HOUSEHOLD ARE STOCKHOLDERS BUT WE ONLY RECEIVED ONE NOTICE OR FULL SET OF PROXY MATERIALS IN THE MAIL?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b/>
              </w:rPr>
            </w:pPr>
            <w:r>
              <w:rPr>
                <w:b/>
              </w:rPr>
              <w:t>A:</w:t>
            </w:r>
          </w:p>
        </w:tc>
        <w:tc>
          <w:tcPr>
            <w:tcW w:w="9956" w:type="dxa"/>
            <w:tcBorders/>
            <w:vAlign w:val="center"/>
          </w:tcPr>
          <w:p>
            <w:pPr>
              <w:pStyle w:val="TableContents"/>
              <w:bidi w:val="0"/>
              <w:spacing w:before="0" w:after="0"/>
              <w:jc w:val="left"/>
              <w:rPr>
                <w:rFonts w:ascii="ARIAL" w:hAnsi="ARIAL"/>
                <w:sz w:val="18"/>
              </w:rPr>
            </w:pPr>
            <w:r>
              <w:rPr>
                <w:rFonts w:ascii="ARIAL" w:hAnsi="ARIAL"/>
                <w:sz w:val="18"/>
              </w:rPr>
              <w:t xml:space="preserve">We have adopted a procedure called “householding,” which the SEC has approved. Under this procedure, we deliver a single copy of the Notice and, if applicable, the proxy materials to multiple stockholders who share the same address unless we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  6  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18"/>
              </w:rPr>
            </w:pPr>
            <w:r>
              <w:rPr>
                <w:rFonts w:ascii="ARIAL" w:hAnsi="ARIAL"/>
                <w:sz w:val="18"/>
              </w:rPr>
              <w:t xml:space="preserve">received contrary instructions from one or more of the stockholders. This procedure reduces our printing costs, mailing costs, and fees. Stockholders who participate in householding will continue to be able to access and receive separate proxy cards. Upon written request, we will deliver promptly a separate copy of the Notice and, if applicable, the proxy materials to any stockholder at a shared address to which we delivered a single copy of any of these documents. To receive a separate copy of the Notice and, if applicable, the proxy materials, stockholders should send their requests to our principal executive offices (see below for address), Attention: Corporate Secretary. Stockholders who hold shares in street name (as described below) may contact their brokerage firm, bank, broker-dealer, or other similar organization to request information about householding.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275"/>
        <w:gridCol w:w="7340"/>
      </w:tblGrid>
      <w:tr>
        <w:trPr/>
        <w:tc>
          <w:tcPr>
            <w:tcW w:w="275" w:type="dxa"/>
            <w:tcBorders/>
            <w:vAlign w:val="center"/>
          </w:tcPr>
          <w:p>
            <w:pPr>
              <w:pStyle w:val="TableContents"/>
              <w:bidi w:val="0"/>
              <w:spacing w:before="0" w:after="283"/>
              <w:jc w:val="left"/>
              <w:rPr/>
            </w:pPr>
            <w:r>
              <w:rPr/>
              <w:t>Q:</w:t>
            </w:r>
          </w:p>
        </w:tc>
        <w:tc>
          <w:tcPr>
            <w:tcW w:w="7340" w:type="dxa"/>
            <w:tcBorders/>
            <w:vAlign w:val="center"/>
          </w:tcPr>
          <w:p>
            <w:pPr>
              <w:pStyle w:val="TableContents"/>
              <w:bidi w:val="0"/>
              <w:spacing w:before="0" w:after="0"/>
              <w:jc w:val="left"/>
              <w:rPr>
                <w:rFonts w:ascii="ARIAL" w:hAnsi="ARIAL"/>
                <w:sz w:val="18"/>
              </w:rPr>
            </w:pPr>
            <w:r>
              <w:rPr>
                <w:rFonts w:ascii="ARIAL" w:hAnsi="ARIAL"/>
                <w:sz w:val="18"/>
              </w:rPr>
              <w:t xml:space="preserve">WHAT IS THE MAILING ADDRESS FOR FLYWIRE’S PRINCIPAL EXECUTIVE OFFICES?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b/>
              </w:rPr>
            </w:pPr>
            <w:r>
              <w:rPr>
                <w:b/>
              </w:rPr>
              <w:t>A:</w:t>
            </w:r>
          </w:p>
        </w:tc>
        <w:tc>
          <w:tcPr>
            <w:tcW w:w="9931" w:type="dxa"/>
            <w:tcBorders/>
            <w:vAlign w:val="center"/>
          </w:tcPr>
          <w:p>
            <w:pPr>
              <w:pStyle w:val="TableContents"/>
              <w:bidi w:val="0"/>
              <w:spacing w:before="0" w:after="0"/>
              <w:jc w:val="left"/>
              <w:rPr>
                <w:rFonts w:ascii="ARIAL" w:hAnsi="ARIAL"/>
                <w:sz w:val="18"/>
              </w:rPr>
            </w:pPr>
            <w:r>
              <w:rPr>
                <w:rFonts w:ascii="ARIAL" w:hAnsi="ARIAL"/>
                <w:sz w:val="18"/>
              </w:rPr>
              <w:t xml:space="preserve">Our principal executive offices are located at 141 Tremont St., 10th Floor, Boston, MA 02111. The telephone number at that location is (617) 329-4524. </w:t>
            </w:r>
          </w:p>
        </w:tc>
      </w:tr>
    </w:tbl>
    <w:p>
      <w:pPr>
        <w:pStyle w:val="TextBody"/>
        <w:bidi w:val="0"/>
        <w:spacing w:before="200" w:after="0"/>
        <w:jc w:val="left"/>
        <w:rPr>
          <w:rFonts w:ascii="ARIAL" w:hAnsi="ARIAL"/>
          <w:sz w:val="18"/>
        </w:rPr>
      </w:pPr>
      <w:r>
        <w:rPr>
          <w:rFonts w:ascii="ARIAL" w:hAnsi="ARIAL"/>
          <w:sz w:val="18"/>
        </w:rPr>
        <w:t xml:space="preserve">Any written requests for additional information, copies of the proxy materials and 2024 Annual Report, notices of stockholder proposals, recommendations for candidates to our Board of Directors, communications to our Board of Directors or any other communications should be sent to the address above. </w:t>
      </w:r>
    </w:p>
    <w:p>
      <w:pPr>
        <w:pStyle w:val="TextBody"/>
        <w:bidi w:val="0"/>
        <w:spacing w:before="280" w:after="0"/>
        <w:jc w:val="center"/>
        <w:rPr>
          <w:rFonts w:ascii="ARIAL" w:hAnsi="ARIAL"/>
          <w:b/>
          <w:sz w:val="18"/>
        </w:rPr>
      </w:pPr>
      <w:bookmarkStart w:id="9" w:name="toc917810_7"/>
      <w:bookmarkEnd w:id="9"/>
      <w:r>
        <w:rPr>
          <w:rFonts w:ascii="ARIAL" w:hAnsi="ARIAL"/>
          <w:b/>
          <w:sz w:val="18"/>
        </w:rPr>
        <w:t xml:space="preserve">IMPORTANT NOTICE REGARDING THE AVAILABILITY OF PROXY MATERIALS FOR THE </w:t>
      </w:r>
    </w:p>
    <w:p>
      <w:pPr>
        <w:pStyle w:val="TextBody"/>
        <w:bidi w:val="0"/>
        <w:spacing w:before="0" w:after="0"/>
        <w:jc w:val="center"/>
        <w:rPr>
          <w:rFonts w:ascii="ARIAL" w:hAnsi="ARIAL"/>
          <w:b/>
          <w:sz w:val="18"/>
        </w:rPr>
      </w:pPr>
      <w:r>
        <w:rPr>
          <w:rFonts w:ascii="ARIAL" w:hAnsi="ARIAL"/>
          <w:b/>
          <w:sz w:val="18"/>
        </w:rPr>
        <w:t xml:space="preserve">STOCKHOLDER MEETING TO BE HELD ON JUNE 3, 2025. </w:t>
      </w:r>
    </w:p>
    <w:p>
      <w:pPr>
        <w:pStyle w:val="TextBody"/>
        <w:bidi w:val="0"/>
        <w:spacing w:before="240" w:after="0"/>
        <w:jc w:val="center"/>
        <w:rPr>
          <w:rFonts w:ascii="ARIAL" w:hAnsi="ARIAL"/>
          <w:b/>
          <w:sz w:val="18"/>
        </w:rPr>
      </w:pPr>
      <w:r>
        <w:rPr>
          <w:rFonts w:ascii="ARIAL" w:hAnsi="ARIAL"/>
          <w:b/>
          <w:sz w:val="18"/>
        </w:rPr>
        <w:t xml:space="preserve">The proxy statement and the 2024 Annual Report are available on-line at www.proxyvote.com.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  7  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393FF"/>
          <w:sz w:val="18"/>
        </w:rPr>
      </w:pPr>
      <w:bookmarkStart w:id="10" w:name="toc917810_8"/>
      <w:bookmarkEnd w:id="10"/>
      <w:r>
        <w:rPr>
          <w:rFonts w:ascii="ARIAL" w:hAnsi="ARIAL"/>
          <w:b/>
          <w:color w:val="2393FF"/>
          <w:sz w:val="18"/>
        </w:rPr>
        <w:t xml:space="preserve">PROPOSAL ONE </w:t>
      </w:r>
    </w:p>
    <w:p>
      <w:pPr>
        <w:pStyle w:val="TextBody"/>
        <w:bidi w:val="0"/>
        <w:spacing w:before="120" w:after="0"/>
        <w:jc w:val="left"/>
        <w:rPr>
          <w:rFonts w:ascii="ARIAL" w:hAnsi="ARIAL"/>
          <w:b/>
          <w:color w:val="2393FF"/>
          <w:sz w:val="56"/>
        </w:rPr>
      </w:pPr>
      <w:r>
        <w:rPr>
          <w:rFonts w:ascii="ARIAL" w:hAnsi="ARIAL"/>
          <w:b/>
          <w:color w:val="2393FF"/>
          <w:sz w:val="56"/>
        </w:rPr>
        <w:t xml:space="preserve">Election of Directors </w:t>
      </w:r>
    </w:p>
    <w:p>
      <w:pPr>
        <w:pStyle w:val="TextBody"/>
        <w:bidi w:val="0"/>
        <w:spacing w:before="0" w:after="0"/>
        <w:jc w:val="left"/>
        <w:rPr/>
      </w:pPr>
      <w:r>
        <w:rPr/>
        <w:t> </w:t>
      </w:r>
    </w:p>
    <w:p>
      <w:pPr>
        <w:pStyle w:val="TextBody"/>
        <w:bidi w:val="0"/>
        <w:spacing w:lineRule="atLeast" w:line="142" w:before="0" w:after="40"/>
        <w:jc w:val="left"/>
        <w:rPr>
          <w:bdr w:val="single" w:sz="8" w:space="1" w:color="2393FF"/>
        </w:rPr>
      </w:pPr>
      <w:r>
        <w:rPr>
          <w:bdr w:val="single" w:sz="8" w:space="1" w:color="2393FF"/>
        </w:rPr>
        <w:t> </w:t>
      </w:r>
    </w:p>
    <w:p>
      <w:pPr>
        <w:pStyle w:val="TextBody"/>
        <w:bidi w:val="0"/>
        <w:spacing w:before="200" w:after="0"/>
        <w:jc w:val="left"/>
        <w:rPr>
          <w:rFonts w:ascii="ARIAL" w:hAnsi="ARIAL"/>
          <w:sz w:val="18"/>
        </w:rPr>
      </w:pPr>
      <w:bookmarkStart w:id="11" w:name="toc917810_9"/>
      <w:bookmarkEnd w:id="11"/>
      <w:r>
        <w:rPr>
          <w:rFonts w:ascii="ARIAL" w:hAnsi="ARIAL"/>
          <w:sz w:val="18"/>
        </w:rPr>
        <w:t xml:space="preserve">GENERAL </w:t>
      </w:r>
    </w:p>
    <w:p>
      <w:pPr>
        <w:pStyle w:val="TextBody"/>
        <w:bidi w:val="0"/>
        <w:spacing w:before="200" w:after="0"/>
        <w:jc w:val="left"/>
        <w:rPr>
          <w:rFonts w:ascii="ARIAL" w:hAnsi="ARIAL"/>
          <w:sz w:val="18"/>
        </w:rPr>
      </w:pPr>
      <w:r>
        <w:rPr>
          <w:rFonts w:ascii="ARIAL" w:hAnsi="ARIAL"/>
          <w:sz w:val="18"/>
        </w:rPr>
        <w:t xml:space="preserve">Our Board of Directors may establish the authorized number of directors from time to time by resolution. Our Board of Directors is currently comprised of eight members who are divided into three classes with staggered three-year terms. A director serves in office until his or her respective successor is duly elected and qualified or until his or her earlier death, resignation or removal. This classification of the Board of Directors into three classes with staggered three-year terms may have the effect of delaying or preventing changes in our control or management. Your proxy cannot be voted for a greater number of persons than the number of nominees named in this proxy statement. </w:t>
      </w:r>
    </w:p>
    <w:p>
      <w:pPr>
        <w:pStyle w:val="TextBody"/>
        <w:bidi w:val="0"/>
        <w:spacing w:before="200" w:after="0"/>
        <w:jc w:val="left"/>
        <w:rPr>
          <w:rFonts w:ascii="ARIAL" w:hAnsi="ARIAL"/>
          <w:sz w:val="18"/>
        </w:rPr>
      </w:pPr>
      <w:bookmarkStart w:id="12" w:name="toc917810_10"/>
      <w:bookmarkEnd w:id="12"/>
      <w:r>
        <w:rPr>
          <w:rFonts w:ascii="ARIAL" w:hAnsi="ARIAL"/>
          <w:sz w:val="18"/>
        </w:rPr>
        <w:t xml:space="preserve">NOMINEES FOR ELECTION AS CLASS I DIRECTORS AT THE ANNUAL MEETING </w:t>
      </w:r>
    </w:p>
    <w:p>
      <w:pPr>
        <w:pStyle w:val="TextBody"/>
        <w:bidi w:val="0"/>
        <w:spacing w:before="200" w:after="0"/>
        <w:jc w:val="left"/>
        <w:rPr>
          <w:rFonts w:ascii="ARIAL" w:hAnsi="ARIAL"/>
          <w:sz w:val="18"/>
        </w:rPr>
      </w:pPr>
      <w:r>
        <w:rPr>
          <w:rFonts w:ascii="ARIAL" w:hAnsi="ARIAL"/>
          <w:sz w:val="18"/>
        </w:rPr>
        <w:t xml:space="preserve">This year’s nominees for election to the Board of Directors as our Class I directors to serve for a term of three years expiring at the 2028 annual meeting of stockholders, or until their successors have been duly elected and qualified or until their earlier death, resignation or removal, are provided below. All of the nominees listed below are currently directors of the Company. The age of each director as of the Record Date is set forth below. Each of the nominees has agreed to serve as a director if elected, and we have no reason to believe that any nominee will be unable to serve if elected. </w:t>
      </w:r>
    </w:p>
    <w:p>
      <w:pPr>
        <w:pStyle w:val="TextBody"/>
        <w:bidi w:val="0"/>
        <w:spacing w:before="0" w:after="0"/>
        <w:jc w:val="left"/>
        <w:rPr/>
      </w:pPr>
      <w:r>
        <w:rPr/>
        <w:t> </w:t>
      </w:r>
    </w:p>
    <w:tbl>
      <w:tblPr>
        <w:tblW w:w="4905" w:type="dxa"/>
        <w:jc w:val="left"/>
        <w:tblInd w:w="0" w:type="dxa"/>
        <w:tblLayout w:type="fixed"/>
        <w:tblCellMar>
          <w:top w:w="0" w:type="dxa"/>
          <w:left w:w="0" w:type="dxa"/>
          <w:bottom w:w="0" w:type="dxa"/>
          <w:right w:w="0" w:type="dxa"/>
        </w:tblCellMar>
      </w:tblPr>
      <w:tblGrid>
        <w:gridCol w:w="1775"/>
        <w:gridCol w:w="120"/>
        <w:gridCol w:w="545"/>
        <w:gridCol w:w="240"/>
        <w:gridCol w:w="2225"/>
      </w:tblGrid>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b/>
              </w:rPr>
            </w:pPr>
            <w:r>
              <w:rPr>
                <w:b/>
              </w:rPr>
              <w:t>AGE</w:t>
            </w:r>
          </w:p>
        </w:tc>
        <w:tc>
          <w:tcPr>
            <w:tcW w:w="24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right"/>
              <w:rPr>
                <w:b/>
              </w:rPr>
            </w:pPr>
            <w:r>
              <w:rPr>
                <w:b/>
              </w:rPr>
              <w:t>DIRECTOR SINCE </w:t>
            </w:r>
          </w:p>
        </w:tc>
      </w:tr>
      <w:tr>
        <w:trPr/>
        <w:tc>
          <w:tcPr>
            <w:tcW w:w="1775" w:type="dxa"/>
            <w:tcBorders/>
            <w:shd w:fill="E8F4FF" w:val="clear"/>
            <w:vAlign w:val="center"/>
          </w:tcPr>
          <w:p>
            <w:pPr>
              <w:pStyle w:val="TableContents"/>
              <w:bidi w:val="0"/>
              <w:spacing w:before="0" w:after="283"/>
              <w:jc w:val="left"/>
              <w:rPr>
                <w:sz w:val="4"/>
                <w:szCs w:val="4"/>
              </w:rPr>
            </w:pPr>
            <w:r>
              <w:rPr>
                <w:sz w:val="4"/>
                <w:szCs w:val="4"/>
              </w:rPr>
            </w:r>
          </w:p>
        </w:tc>
        <w:tc>
          <w:tcPr>
            <w:tcW w:w="665" w:type="dxa"/>
            <w:gridSpan w:val="2"/>
            <w:tcBorders/>
            <w:shd w:fill="E8F4FF" w:val="clear"/>
            <w:vAlign w:val="center"/>
          </w:tcPr>
          <w:p>
            <w:pPr>
              <w:pStyle w:val="TableContents"/>
              <w:bidi w:val="0"/>
              <w:spacing w:before="0" w:after="283"/>
              <w:jc w:val="left"/>
              <w:rPr>
                <w:sz w:val="4"/>
                <w:szCs w:val="4"/>
              </w:rPr>
            </w:pPr>
            <w:r>
              <w:rPr>
                <w:sz w:val="4"/>
                <w:szCs w:val="4"/>
              </w:rPr>
            </w:r>
          </w:p>
        </w:tc>
        <w:tc>
          <w:tcPr>
            <w:tcW w:w="2465"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1775" w:type="dxa"/>
            <w:tcBorders/>
            <w:shd w:fill="E8F4FF" w:val="clear"/>
            <w:vAlign w:val="center"/>
          </w:tcPr>
          <w:p>
            <w:pPr>
              <w:pStyle w:val="TableContents"/>
              <w:bidi w:val="0"/>
              <w:spacing w:before="0" w:after="283"/>
              <w:jc w:val="left"/>
              <w:rPr>
                <w:b/>
                <w:color w:val="2393FF"/>
              </w:rPr>
            </w:pPr>
            <w:r>
              <w:rPr>
                <w:b/>
                <w:color w:val="2393FF"/>
              </w:rPr>
              <w:t>Michael Massaro</w:t>
            </w:r>
          </w:p>
        </w:tc>
        <w:tc>
          <w:tcPr>
            <w:tcW w:w="120" w:type="dxa"/>
            <w:tcBorders/>
            <w:shd w:fill="E8F4FF" w:val="clear"/>
            <w:vAlign w:val="center"/>
          </w:tcPr>
          <w:p>
            <w:pPr>
              <w:pStyle w:val="TableContents"/>
              <w:bidi w:val="0"/>
              <w:spacing w:before="0" w:after="283"/>
              <w:jc w:val="left"/>
              <w:rPr/>
            </w:pPr>
            <w:r>
              <w:rPr/>
              <w:t>  </w:t>
            </w:r>
          </w:p>
        </w:tc>
        <w:tc>
          <w:tcPr>
            <w:tcW w:w="545" w:type="dxa"/>
            <w:tcBorders/>
            <w:shd w:fill="E8F4FF" w:val="clear"/>
            <w:vAlign w:val="center"/>
          </w:tcPr>
          <w:p>
            <w:pPr>
              <w:pStyle w:val="TableContents"/>
              <w:bidi w:val="0"/>
              <w:spacing w:before="0" w:after="283"/>
              <w:jc w:val="center"/>
              <w:rPr/>
            </w:pPr>
            <w:r>
              <w:rPr/>
              <w:t>46</w:t>
            </w:r>
          </w:p>
        </w:tc>
        <w:tc>
          <w:tcPr>
            <w:tcW w:w="240" w:type="dxa"/>
            <w:tcBorders/>
            <w:shd w:fill="E8F4FF" w:val="clear"/>
            <w:vAlign w:val="center"/>
          </w:tcPr>
          <w:p>
            <w:pPr>
              <w:pStyle w:val="TableContents"/>
              <w:bidi w:val="0"/>
              <w:spacing w:before="0" w:after="283"/>
              <w:jc w:val="left"/>
              <w:rPr/>
            </w:pPr>
            <w:r>
              <w:rPr/>
              <w:t>    </w:t>
            </w:r>
          </w:p>
        </w:tc>
        <w:tc>
          <w:tcPr>
            <w:tcW w:w="2225" w:type="dxa"/>
            <w:tcBorders/>
            <w:shd w:fill="E8F4FF" w:val="clear"/>
            <w:vAlign w:val="center"/>
          </w:tcPr>
          <w:p>
            <w:pPr>
              <w:pStyle w:val="TableContents"/>
              <w:bidi w:val="0"/>
              <w:spacing w:before="0" w:after="283"/>
              <w:jc w:val="center"/>
              <w:rPr/>
            </w:pPr>
            <w:r>
              <w:rPr/>
              <w:t>2013</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2393FF"/>
            </w:tcBorders>
            <w:tcMar>
              <w:bottom w:w="120" w:type="dxa"/>
            </w:tcMar>
            <w:vAlign w:val="center"/>
          </w:tcPr>
          <w:p>
            <w:pPr>
              <w:pStyle w:val="TableContents"/>
              <w:bidi w:val="0"/>
              <w:spacing w:before="0" w:after="283"/>
              <w:jc w:val="left"/>
              <w:rPr>
                <w:b/>
                <w:color w:val="2393FF"/>
              </w:rPr>
            </w:pPr>
            <w:r>
              <w:rPr>
                <w:b/>
                <w:color w:val="2393FF"/>
              </w:rPr>
              <w:t>Diane Offereins</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545" w:type="dxa"/>
            <w:tcBorders>
              <w:bottom w:val="single" w:sz="6" w:space="0" w:color="2393FF"/>
            </w:tcBorders>
            <w:tcMar>
              <w:bottom w:w="120" w:type="dxa"/>
            </w:tcMar>
            <w:vAlign w:val="center"/>
          </w:tcPr>
          <w:p>
            <w:pPr>
              <w:pStyle w:val="TableContents"/>
              <w:bidi w:val="0"/>
              <w:spacing w:before="0" w:after="283"/>
              <w:jc w:val="center"/>
              <w:rPr/>
            </w:pPr>
            <w:r>
              <w:rPr/>
              <w:t>67</w:t>
            </w:r>
          </w:p>
        </w:tc>
        <w:tc>
          <w:tcPr>
            <w:tcW w:w="240" w:type="dxa"/>
            <w:tcBorders>
              <w:bottom w:val="single" w:sz="6" w:space="0" w:color="2393FF"/>
            </w:tcBorders>
            <w:tcMar>
              <w:bottom w:w="28" w:type="dxa"/>
            </w:tcMar>
            <w:vAlign w:val="center"/>
          </w:tcPr>
          <w:p>
            <w:pPr>
              <w:pStyle w:val="TableContents"/>
              <w:bidi w:val="0"/>
              <w:spacing w:before="0" w:after="283"/>
              <w:jc w:val="left"/>
              <w:rPr/>
            </w:pPr>
            <w:r>
              <w:rPr/>
              <w:t>    </w:t>
            </w:r>
          </w:p>
        </w:tc>
        <w:tc>
          <w:tcPr>
            <w:tcW w:w="2225" w:type="dxa"/>
            <w:tcBorders>
              <w:bottom w:val="single" w:sz="6" w:space="0" w:color="2393FF"/>
            </w:tcBorders>
            <w:tcMar>
              <w:bottom w:w="120" w:type="dxa"/>
            </w:tcMar>
            <w:vAlign w:val="center"/>
          </w:tcPr>
          <w:p>
            <w:pPr>
              <w:pStyle w:val="TableContents"/>
              <w:bidi w:val="0"/>
              <w:spacing w:before="0" w:after="283"/>
              <w:jc w:val="center"/>
              <w:rPr/>
            </w:pPr>
            <w:r>
              <w:rPr/>
              <w:t>2023</w:t>
            </w:r>
          </w:p>
        </w:tc>
      </w:tr>
    </w:tbl>
    <w:p>
      <w:pPr>
        <w:pStyle w:val="TextBody"/>
        <w:bidi w:val="0"/>
        <w:spacing w:before="200" w:after="0"/>
        <w:jc w:val="left"/>
        <w:rPr>
          <w:rFonts w:ascii="ARIAL" w:hAnsi="ARIAL"/>
          <w:sz w:val="18"/>
        </w:rPr>
      </w:pPr>
      <w:r>
        <w:rPr>
          <w:rFonts w:ascii="ARIAL" w:hAnsi="ARIAL"/>
          <w:sz w:val="18"/>
        </w:rPr>
        <w:t xml:space="preserve">The following is additional information about each of the nominees as of the date of this proxy statement, including their business experience, public company director positions held currently or at any time during the last five years, involvement in certain legal or administrative proceedings, if applicable, and the experiences, qualifications, attributes or skills that caused our Nominating and Corporate Governance Committee and our Board of Directors to determine that the nominees should serve as one of our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4"/>
        <w:gridCol w:w="60"/>
        <w:gridCol w:w="7791"/>
      </w:tblGrid>
      <w:tr>
        <w:trPr/>
        <w:tc>
          <w:tcPr>
            <w:tcW w:w="23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91" w:type="dxa"/>
            <w:tcBorders/>
            <w:vAlign w:val="center"/>
          </w:tcPr>
          <w:p>
            <w:pPr>
              <w:pStyle w:val="TableContents"/>
              <w:bidi w:val="0"/>
              <w:spacing w:before="0" w:after="283"/>
              <w:jc w:val="left"/>
              <w:rPr>
                <w:sz w:val="4"/>
                <w:szCs w:val="4"/>
              </w:rPr>
            </w:pPr>
            <w:r>
              <w:rPr>
                <w:sz w:val="4"/>
                <w:szCs w:val="4"/>
              </w:rPr>
            </w:r>
          </w:p>
        </w:tc>
      </w:tr>
      <w:tr>
        <w:trPr/>
        <w:tc>
          <w:tcPr>
            <w:tcW w:w="2354" w:type="dxa"/>
            <w:vMerge w:val="restart"/>
            <w:tcBorders/>
            <w:vAlign w:val="center"/>
          </w:tcPr>
          <w:p>
            <w:pPr>
              <w:pStyle w:val="TableContents"/>
              <w:bidi w:val="0"/>
              <w:spacing w:before="0" w:after="0"/>
              <w:jc w:val="left"/>
              <w:rPr/>
            </w:pPr>
            <w:r>
              <w:rPr/>
              <w:drawing>
                <wp:inline distT="0" distB="0" distL="0" distR="0">
                  <wp:extent cx="1481455" cy="148145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81455" cy="1481455"/>
                          </a:xfrm>
                          <a:prstGeom prst="rect">
                            <a:avLst/>
                          </a:prstGeom>
                        </pic:spPr>
                      </pic:pic>
                    </a:graphicData>
                  </a:graphic>
                </wp:inline>
              </w:drawing>
            </w:r>
            <w:r>
              <w:rPr/>
              <w:t xml:space="preserve"> </w:t>
            </w:r>
          </w:p>
          <w:p>
            <w:pPr>
              <w:pStyle w:val="TableContents"/>
              <w:bidi w:val="0"/>
              <w:spacing w:before="0" w:after="0"/>
              <w:jc w:val="left"/>
              <w:rPr>
                <w:rFonts w:ascii="ARIAL" w:hAnsi="ARIAL"/>
                <w:color w:val="2393FF"/>
                <w:sz w:val="36"/>
              </w:rPr>
            </w:pPr>
            <w:r>
              <w:rPr>
                <w:rFonts w:ascii="ARIAL" w:hAnsi="ARIAL"/>
                <w:color w:val="2393FF"/>
                <w:sz w:val="36"/>
              </w:rPr>
              <w:t>Michael</w:t>
            </w:r>
          </w:p>
          <w:p>
            <w:pPr>
              <w:pStyle w:val="TableContents"/>
              <w:bidi w:val="0"/>
              <w:spacing w:before="0" w:after="20"/>
              <w:jc w:val="left"/>
              <w:rPr>
                <w:rFonts w:ascii="ARIAL" w:hAnsi="ARIAL"/>
                <w:b/>
                <w:color w:val="2393FF"/>
                <w:sz w:val="36"/>
              </w:rPr>
            </w:pPr>
            <w:r>
              <w:rPr>
                <w:rFonts w:ascii="ARIAL" w:hAnsi="ARIAL"/>
                <w:b/>
                <w:color w:val="2393FF"/>
                <w:sz w:val="36"/>
              </w:rPr>
              <w:t>Massaro</w:t>
            </w:r>
          </w:p>
        </w:tc>
        <w:tc>
          <w:tcPr>
            <w:tcW w:w="60" w:type="dxa"/>
            <w:tcBorders/>
            <w:vAlign w:val="center"/>
          </w:tcPr>
          <w:p>
            <w:pPr>
              <w:pStyle w:val="TableContents"/>
              <w:bidi w:val="0"/>
              <w:spacing w:before="0" w:after="283"/>
              <w:jc w:val="left"/>
              <w:rPr/>
            </w:pPr>
            <w:r>
              <w:rPr/>
              <w:t> </w:t>
            </w:r>
          </w:p>
        </w:tc>
        <w:tc>
          <w:tcPr>
            <w:tcW w:w="7791" w:type="dxa"/>
            <w:tcBorders/>
            <w:vAlign w:val="center"/>
          </w:tcPr>
          <w:p>
            <w:pPr>
              <w:pStyle w:val="TableContents"/>
              <w:bidi w:val="0"/>
              <w:spacing w:before="0" w:after="0"/>
              <w:jc w:val="left"/>
              <w:rPr>
                <w:rFonts w:ascii="ARIAL" w:hAnsi="ARIAL"/>
                <w:sz w:val="20"/>
              </w:rPr>
            </w:pPr>
            <w:r>
              <w:rPr>
                <w:rFonts w:ascii="ARIAL" w:hAnsi="ARIAL"/>
                <w:sz w:val="20"/>
              </w:rPr>
              <w:t>Age: 46 | Director since: 2013</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93FF"/>
                <w:sz w:val="18"/>
              </w:rPr>
              <w:t>Mr.</w:t>
            </w:r>
            <w:r>
              <w:rPr>
                <w:rFonts w:ascii="ARIAL" w:hAnsi="ARIAL"/>
                <w:b/>
                <w:sz w:val="18"/>
              </w:rPr>
              <w:t> </w:t>
            </w:r>
            <w:r>
              <w:rPr>
                <w:rFonts w:ascii="ARIAL" w:hAnsi="ARIAL"/>
                <w:b/>
                <w:color w:val="2393FF"/>
                <w:sz w:val="18"/>
              </w:rPr>
              <w:t>Massaro</w:t>
            </w:r>
            <w:r>
              <w:rPr>
                <w:rFonts w:ascii="ARIAL" w:hAnsi="ARIAL"/>
                <w:b/>
                <w:sz w:val="18"/>
              </w:rPr>
              <w:t xml:space="preserve"> </w:t>
            </w:r>
            <w:r>
              <w:rPr>
                <w:rFonts w:ascii="ARIAL" w:hAnsi="ARIAL"/>
                <w:sz w:val="18"/>
              </w:rPr>
              <w:t>has served as our Chief Executive Officer and a member of our Board of Directors since December 2013. Prior to being appointed as our Chief Executive Officer, Mr. Massaro served as our Vice President, Sales and Business Development from March 2012 to December 2013. Mr. Massaro has over 20 years of background in global payments, mobile software and hardware, and e-billing at high growth technology companies, including edocs, Inc. (later acquired by Siebel Systems) and Carrier IQ. Mr. Massaro began his career as part of the technical risk services practice at PricewaterhouseCoopers LLP. He earned his Bachelor of Science degree in Management Information Systems from Babson College.</w:t>
            </w:r>
          </w:p>
          <w:p>
            <w:pPr>
              <w:pStyle w:val="TableContents"/>
              <w:bidi w:val="0"/>
              <w:spacing w:before="0" w:after="20"/>
              <w:jc w:val="left"/>
              <w:rPr/>
            </w:pPr>
            <w:r>
              <w:rPr/>
              <w:t> </w:t>
            </w:r>
          </w:p>
        </w:tc>
      </w:tr>
      <w:tr>
        <w:trPr/>
        <w:tc>
          <w:tcPr>
            <w:tcW w:w="2354" w:type="dxa"/>
            <w:vMerge w:val="continue"/>
            <w:tcBorders/>
            <w:vAlign w:val="center"/>
          </w:tcPr>
          <w:p>
            <w:pPr>
              <w:pStyle w:val="Normal"/>
              <w:bidi w:val="0"/>
              <w:jc w:val="left"/>
              <w:rPr/>
            </w:pPr>
            <w:r>
              <w:rPr/>
            </w:r>
          </w:p>
        </w:tc>
        <w:tc>
          <w:tcPr>
            <w:tcW w:w="60" w:type="dxa"/>
            <w:tcBorders/>
            <w:shd w:fill="E8F4FF" w:val="clear"/>
            <w:vAlign w:val="center"/>
          </w:tcPr>
          <w:p>
            <w:pPr>
              <w:pStyle w:val="TableContents"/>
              <w:bidi w:val="0"/>
              <w:spacing w:before="0" w:after="283"/>
              <w:jc w:val="left"/>
              <w:rPr/>
            </w:pPr>
            <w:r>
              <w:rPr/>
              <w:t> </w:t>
            </w:r>
          </w:p>
        </w:tc>
        <w:tc>
          <w:tcPr>
            <w:tcW w:w="7791" w:type="dxa"/>
            <w:tcBorders/>
            <w:shd w:fill="E8F4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393FF"/>
                <w:sz w:val="18"/>
              </w:rPr>
            </w:pPr>
            <w:r>
              <w:rPr>
                <w:rFonts w:ascii="ARIAL" w:hAnsi="ARIAL"/>
                <w:b/>
                <w:color w:val="2393FF"/>
                <w:sz w:val="18"/>
              </w:rPr>
              <w:t>Mr. Massaro’s extensive knowledge of our business, as well as his years of experience in the payments industry, including executive leadership in several companies, contributed to our conclusion that he should serve as a member of our Board of Directors.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  8  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52"/>
        <w:gridCol w:w="60"/>
        <w:gridCol w:w="7793"/>
      </w:tblGrid>
      <w:tr>
        <w:trPr/>
        <w:tc>
          <w:tcPr>
            <w:tcW w:w="2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93" w:type="dxa"/>
            <w:tcBorders/>
            <w:vAlign w:val="center"/>
          </w:tcPr>
          <w:p>
            <w:pPr>
              <w:pStyle w:val="TableContents"/>
              <w:bidi w:val="0"/>
              <w:spacing w:before="0" w:after="283"/>
              <w:jc w:val="left"/>
              <w:rPr>
                <w:sz w:val="4"/>
                <w:szCs w:val="4"/>
              </w:rPr>
            </w:pPr>
            <w:r>
              <w:rPr>
                <w:sz w:val="4"/>
                <w:szCs w:val="4"/>
              </w:rPr>
            </w:r>
          </w:p>
        </w:tc>
      </w:tr>
      <w:tr>
        <w:trPr/>
        <w:tc>
          <w:tcPr>
            <w:tcW w:w="2352" w:type="dxa"/>
            <w:vMerge w:val="restart"/>
            <w:tcBorders/>
            <w:vAlign w:val="center"/>
          </w:tcPr>
          <w:p>
            <w:pPr>
              <w:pStyle w:val="TableContents"/>
              <w:bidi w:val="0"/>
              <w:spacing w:before="0" w:after="0"/>
              <w:jc w:val="left"/>
              <w:rPr/>
            </w:pPr>
            <w:r>
              <w:rPr/>
              <w:drawing>
                <wp:inline distT="0" distB="0" distL="0" distR="0">
                  <wp:extent cx="1481455" cy="148145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81455" cy="1481455"/>
                          </a:xfrm>
                          <a:prstGeom prst="rect">
                            <a:avLst/>
                          </a:prstGeom>
                        </pic:spPr>
                      </pic:pic>
                    </a:graphicData>
                  </a:graphic>
                </wp:inline>
              </w:drawing>
            </w:r>
            <w:r>
              <w:rPr/>
              <w:t xml:space="preserve"> </w:t>
            </w:r>
          </w:p>
          <w:p>
            <w:pPr>
              <w:pStyle w:val="TableContents"/>
              <w:bidi w:val="0"/>
              <w:spacing w:before="0" w:after="0"/>
              <w:jc w:val="left"/>
              <w:rPr>
                <w:rFonts w:ascii="ARIAL" w:hAnsi="ARIAL"/>
                <w:color w:val="2393FF"/>
                <w:sz w:val="36"/>
              </w:rPr>
            </w:pPr>
            <w:r>
              <w:rPr>
                <w:rFonts w:ascii="ARIAL" w:hAnsi="ARIAL"/>
                <w:color w:val="2393FF"/>
                <w:sz w:val="36"/>
              </w:rPr>
              <w:t>Diane</w:t>
            </w:r>
          </w:p>
          <w:p>
            <w:pPr>
              <w:pStyle w:val="TableContents"/>
              <w:bidi w:val="0"/>
              <w:spacing w:before="0" w:after="20"/>
              <w:jc w:val="left"/>
              <w:rPr>
                <w:rFonts w:ascii="ARIAL" w:hAnsi="ARIAL"/>
                <w:b/>
                <w:color w:val="2393FF"/>
                <w:sz w:val="36"/>
              </w:rPr>
            </w:pPr>
            <w:r>
              <w:rPr>
                <w:rFonts w:ascii="ARIAL" w:hAnsi="ARIAL"/>
                <w:b/>
                <w:color w:val="2393FF"/>
                <w:sz w:val="36"/>
              </w:rPr>
              <w:t>Offereins</w:t>
            </w:r>
          </w:p>
        </w:tc>
        <w:tc>
          <w:tcPr>
            <w:tcW w:w="60" w:type="dxa"/>
            <w:tcBorders/>
            <w:vAlign w:val="center"/>
          </w:tcPr>
          <w:p>
            <w:pPr>
              <w:pStyle w:val="TableContents"/>
              <w:bidi w:val="0"/>
              <w:spacing w:before="0" w:after="283"/>
              <w:jc w:val="left"/>
              <w:rPr/>
            </w:pPr>
            <w:r>
              <w:rPr/>
              <w:t> </w:t>
            </w:r>
          </w:p>
        </w:tc>
        <w:tc>
          <w:tcPr>
            <w:tcW w:w="7793" w:type="dxa"/>
            <w:tcBorders/>
            <w:vAlign w:val="center"/>
          </w:tcPr>
          <w:p>
            <w:pPr>
              <w:pStyle w:val="TableContents"/>
              <w:bidi w:val="0"/>
              <w:spacing w:before="0" w:after="0"/>
              <w:jc w:val="left"/>
              <w:rPr>
                <w:rFonts w:ascii="ARIAL" w:hAnsi="ARIAL"/>
                <w:sz w:val="20"/>
              </w:rPr>
            </w:pPr>
            <w:r>
              <w:rPr>
                <w:rFonts w:ascii="ARIAL" w:hAnsi="ARIAL"/>
                <w:sz w:val="20"/>
              </w:rPr>
              <w:t>Age: 67 | Director since: 2023</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93FF"/>
                <w:sz w:val="18"/>
              </w:rPr>
              <w:t>Ms. Offereins</w:t>
            </w:r>
            <w:r>
              <w:rPr>
                <w:rFonts w:ascii="ARIAL" w:hAnsi="ARIAL"/>
                <w:sz w:val="18"/>
              </w:rPr>
              <w:t xml:space="preserve"> has served as a member of our Board of Directors since January 2023. Ms. Offereins served as the former Executive Vice President and President, Payment Services at Discover Financial Services, where she was responsible for the growth of the Discover Global Network, consisting of three payment networks - Discover Network, Diners Club International and PULSE from 2009 until her retirement in June 2023. Ms. Offereins previously held several positions within the company, including Executive Vice President, Payment Services and Executive Vice President and Chief Information Officer. Prior to Discover, Ms. Offereins held leadership positions at MBNA America, Bank of America and SouthEast Bank. Ms. Offereins is on the Board of Directors of Brighthouse Financial, Inc., where she chairs the Compensation and Human Capital Committee and serves on the Finance and Risk and Nominating and Corporate Governance Committees. She earned her B.B.A. in Accounting from Loyola University of New Orleans.</w:t>
            </w:r>
          </w:p>
          <w:p>
            <w:pPr>
              <w:pStyle w:val="TableContents"/>
              <w:bidi w:val="0"/>
              <w:spacing w:before="0" w:after="20"/>
              <w:jc w:val="left"/>
              <w:rPr/>
            </w:pPr>
            <w:r>
              <w:rPr/>
              <w:t> </w:t>
            </w:r>
          </w:p>
        </w:tc>
      </w:tr>
      <w:tr>
        <w:trPr/>
        <w:tc>
          <w:tcPr>
            <w:tcW w:w="2352" w:type="dxa"/>
            <w:vMerge w:val="continue"/>
            <w:tcBorders/>
            <w:vAlign w:val="center"/>
          </w:tcPr>
          <w:p>
            <w:pPr>
              <w:pStyle w:val="Normal"/>
              <w:bidi w:val="0"/>
              <w:jc w:val="left"/>
              <w:rPr/>
            </w:pPr>
            <w:r>
              <w:rPr/>
            </w:r>
          </w:p>
        </w:tc>
        <w:tc>
          <w:tcPr>
            <w:tcW w:w="60" w:type="dxa"/>
            <w:tcBorders/>
            <w:shd w:fill="E8F4FF" w:val="clear"/>
            <w:vAlign w:val="center"/>
          </w:tcPr>
          <w:p>
            <w:pPr>
              <w:pStyle w:val="TableContents"/>
              <w:bidi w:val="0"/>
              <w:spacing w:before="0" w:after="283"/>
              <w:jc w:val="left"/>
              <w:rPr/>
            </w:pPr>
            <w:r>
              <w:rPr/>
              <w:t> </w:t>
            </w:r>
          </w:p>
        </w:tc>
        <w:tc>
          <w:tcPr>
            <w:tcW w:w="7793" w:type="dxa"/>
            <w:tcBorders/>
            <w:shd w:fill="E8F4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393FF"/>
                <w:sz w:val="18"/>
              </w:rPr>
            </w:pPr>
            <w:r>
              <w:rPr>
                <w:rFonts w:ascii="ARIAL" w:hAnsi="ARIAL"/>
                <w:b/>
                <w:color w:val="2393FF"/>
                <w:sz w:val="18"/>
              </w:rPr>
              <w:t>We believe Ms. Offereins is qualified to serve on our Board of Directors because of her extensive background in payments, financial services and cybersecurity.</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00" w:after="0"/>
        <w:jc w:val="left"/>
        <w:rPr>
          <w:rFonts w:ascii="ARIAL" w:hAnsi="ARIAL"/>
          <w:sz w:val="18"/>
        </w:rPr>
      </w:pPr>
      <w:bookmarkStart w:id="13" w:name="toc917810_11"/>
      <w:bookmarkEnd w:id="13"/>
      <w:r>
        <w:rPr>
          <w:rFonts w:ascii="ARIAL" w:hAnsi="ARIAL"/>
          <w:sz w:val="18"/>
        </w:rPr>
        <w:t xml:space="preserve">REQUIRED VOTE AND RECOMMENDATION OF THE BOARD OF DIRECTORS FOR PROPOSAL 1 </w:t>
      </w:r>
    </w:p>
    <w:p>
      <w:pPr>
        <w:pStyle w:val="TextBody"/>
        <w:bidi w:val="0"/>
        <w:spacing w:before="200" w:after="0"/>
        <w:jc w:val="left"/>
        <w:rPr>
          <w:rFonts w:ascii="ARIAL" w:hAnsi="ARIAL"/>
          <w:sz w:val="18"/>
        </w:rPr>
      </w:pPr>
      <w:r>
        <w:rPr>
          <w:rFonts w:ascii="ARIAL" w:hAnsi="ARIAL"/>
          <w:sz w:val="18"/>
        </w:rPr>
        <w:t xml:space="preserve">The affirmative vote of a plurality of the votes cast at the Annual Meeting is required for the election of our Class I directors. The two nominees receiving the most “FOR” votes among votes properly cast in person or by proxy will be elected to the Board of Directors as Class I directors. You may vote “FOR” or “WITHHOLD” on each of the nominees for election as director. Shares represented by signed proxy cards will be voted on Proposal 1 “FOR” the election of Michael Massaro and Diane Offereins to the Board of Directors at the Annual Meeting, unless otherwise marked on the card. A broker non-vote or a properly executed proxy marked “WITHHOLD” with respect to the election of a Class I director will not be voted with respect to such director, although it will be counted for purposes of determining whether there is a quorum.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E8F4FF" w:val="clear"/>
            <w:vAlign w:val="center"/>
          </w:tcPr>
          <w:p>
            <w:pPr>
              <w:pStyle w:val="TableContents"/>
              <w:bidi w:val="0"/>
              <w:spacing w:before="0" w:after="283"/>
              <w:jc w:val="left"/>
              <w:rPr>
                <w:sz w:val="4"/>
                <w:szCs w:val="4"/>
              </w:rPr>
            </w:pPr>
            <w:r>
              <w:rPr>
                <w:sz w:val="4"/>
                <w:szCs w:val="4"/>
              </w:rPr>
            </w:r>
          </w:p>
        </w:tc>
      </w:tr>
      <w:tr>
        <w:trPr/>
        <w:tc>
          <w:tcPr>
            <w:tcW w:w="10205" w:type="dxa"/>
            <w:tcBorders/>
            <w:shd w:fill="E8F4FF" w:val="clear"/>
            <w:vAlign w:val="center"/>
          </w:tcPr>
          <w:p>
            <w:pPr>
              <w:pStyle w:val="TableContents"/>
              <w:bidi w:val="0"/>
              <w:spacing w:before="0" w:after="283"/>
              <w:jc w:val="center"/>
              <w:rPr>
                <w:b/>
                <w:color w:val="2393FF"/>
              </w:rPr>
            </w:pPr>
            <w:r>
              <w:rPr>
                <w:b/>
                <w:color w:val="2393FF"/>
              </w:rPr>
              <w:t xml:space="preserve">Our Board of Directors unanimously recommends a vote “FOR” each of the Class I nominees named above.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  9  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bookmarkStart w:id="14" w:name="toc917810_12"/>
      <w:bookmarkEnd w:id="14"/>
      <w:r>
        <w:rPr>
          <w:rFonts w:ascii="ARIAL" w:hAnsi="ARIAL"/>
          <w:sz w:val="18"/>
        </w:rPr>
        <w:t xml:space="preserve">CONTINUING DIRECTORS NOT STANDING FOR ELECTION </w:t>
      </w:r>
    </w:p>
    <w:p>
      <w:pPr>
        <w:pStyle w:val="TextBody"/>
        <w:bidi w:val="0"/>
        <w:spacing w:before="200" w:after="0"/>
        <w:jc w:val="left"/>
        <w:rPr>
          <w:rFonts w:ascii="ARIAL" w:hAnsi="ARIAL"/>
          <w:sz w:val="18"/>
        </w:rPr>
      </w:pPr>
      <w:r>
        <w:rPr>
          <w:rFonts w:ascii="ARIAL" w:hAnsi="ARIAL"/>
          <w:sz w:val="18"/>
        </w:rPr>
        <w:t xml:space="preserve">Certain information about those directors whose terms do not expire at the Annual Meeting is furnished below, including their business experience, public company director positions held currently or at any time during the last five years, involvement in certain legal or administrative proceedings, if applicable, and the experiences, qualifications, attributes or skills that caused our Nominating and Corporate Governance committee and our Board of Directors to determine that the directors should serve as one of our directors. The age of each director as of the Record Date is set forth below. </w:t>
      </w:r>
    </w:p>
    <w:p>
      <w:pPr>
        <w:pStyle w:val="TextBody"/>
        <w:bidi w:val="0"/>
        <w:spacing w:before="200" w:after="0"/>
        <w:jc w:val="left"/>
        <w:rPr>
          <w:rFonts w:ascii="ARIAL" w:hAnsi="ARIAL"/>
          <w:color w:val="2393FF"/>
          <w:sz w:val="20"/>
        </w:rPr>
      </w:pPr>
      <w:r>
        <w:rPr>
          <w:rFonts w:ascii="ARIAL" w:hAnsi="ARIAL"/>
          <w:color w:val="2393FF"/>
          <w:sz w:val="20"/>
        </w:rPr>
        <w:t xml:space="preserve">Incumbent Class II Directors Whose Term Expires in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2"/>
        <w:gridCol w:w="60"/>
        <w:gridCol w:w="7793"/>
      </w:tblGrid>
      <w:tr>
        <w:trPr/>
        <w:tc>
          <w:tcPr>
            <w:tcW w:w="2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93" w:type="dxa"/>
            <w:tcBorders/>
            <w:vAlign w:val="center"/>
          </w:tcPr>
          <w:p>
            <w:pPr>
              <w:pStyle w:val="TableContents"/>
              <w:bidi w:val="0"/>
              <w:spacing w:before="0" w:after="283"/>
              <w:jc w:val="left"/>
              <w:rPr>
                <w:sz w:val="4"/>
                <w:szCs w:val="4"/>
              </w:rPr>
            </w:pPr>
            <w:r>
              <w:rPr>
                <w:sz w:val="4"/>
                <w:szCs w:val="4"/>
              </w:rPr>
            </w:r>
          </w:p>
        </w:tc>
      </w:tr>
      <w:tr>
        <w:trPr/>
        <w:tc>
          <w:tcPr>
            <w:tcW w:w="2352" w:type="dxa"/>
            <w:vMerge w:val="restart"/>
            <w:tcBorders/>
            <w:vAlign w:val="center"/>
          </w:tcPr>
          <w:p>
            <w:pPr>
              <w:pStyle w:val="TableContents"/>
              <w:bidi w:val="0"/>
              <w:spacing w:before="0" w:after="0"/>
              <w:jc w:val="left"/>
              <w:rPr/>
            </w:pPr>
            <w:r>
              <w:rPr/>
              <w:drawing>
                <wp:inline distT="0" distB="0" distL="0" distR="0">
                  <wp:extent cx="1481455" cy="148145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81455" cy="1481455"/>
                          </a:xfrm>
                          <a:prstGeom prst="rect">
                            <a:avLst/>
                          </a:prstGeom>
                        </pic:spPr>
                      </pic:pic>
                    </a:graphicData>
                  </a:graphic>
                </wp:inline>
              </w:drawing>
            </w:r>
            <w:r>
              <w:rPr/>
              <w:t xml:space="preserve"> </w:t>
            </w:r>
          </w:p>
          <w:p>
            <w:pPr>
              <w:pStyle w:val="TableContents"/>
              <w:bidi w:val="0"/>
              <w:spacing w:before="0" w:after="0"/>
              <w:jc w:val="left"/>
              <w:rPr>
                <w:rFonts w:ascii="ARIAL" w:hAnsi="ARIAL"/>
                <w:color w:val="2393FF"/>
                <w:sz w:val="36"/>
              </w:rPr>
            </w:pPr>
            <w:r>
              <w:rPr>
                <w:rFonts w:ascii="ARIAL" w:hAnsi="ARIAL"/>
                <w:color w:val="2393FF"/>
                <w:sz w:val="36"/>
              </w:rPr>
              <w:t>Alex</w:t>
            </w:r>
          </w:p>
          <w:p>
            <w:pPr>
              <w:pStyle w:val="TableContents"/>
              <w:bidi w:val="0"/>
              <w:spacing w:before="0" w:after="20"/>
              <w:jc w:val="left"/>
              <w:rPr>
                <w:rFonts w:ascii="ARIAL" w:hAnsi="ARIAL"/>
                <w:b/>
                <w:color w:val="2393FF"/>
                <w:sz w:val="36"/>
              </w:rPr>
            </w:pPr>
            <w:r>
              <w:rPr>
                <w:rFonts w:ascii="ARIAL" w:hAnsi="ARIAL"/>
                <w:b/>
                <w:color w:val="2393FF"/>
                <w:sz w:val="36"/>
              </w:rPr>
              <w:t>Finkelstein</w:t>
            </w:r>
          </w:p>
        </w:tc>
        <w:tc>
          <w:tcPr>
            <w:tcW w:w="60" w:type="dxa"/>
            <w:tcBorders/>
            <w:vAlign w:val="center"/>
          </w:tcPr>
          <w:p>
            <w:pPr>
              <w:pStyle w:val="TableContents"/>
              <w:bidi w:val="0"/>
              <w:spacing w:before="0" w:after="283"/>
              <w:jc w:val="left"/>
              <w:rPr/>
            </w:pPr>
            <w:r>
              <w:rPr/>
              <w:t> </w:t>
            </w:r>
          </w:p>
        </w:tc>
        <w:tc>
          <w:tcPr>
            <w:tcW w:w="7793" w:type="dxa"/>
            <w:tcBorders/>
            <w:vAlign w:val="center"/>
          </w:tcPr>
          <w:p>
            <w:pPr>
              <w:pStyle w:val="TableContents"/>
              <w:bidi w:val="0"/>
              <w:spacing w:before="0" w:after="0"/>
              <w:jc w:val="left"/>
              <w:rPr>
                <w:rFonts w:ascii="ARIAL" w:hAnsi="ARIAL"/>
                <w:sz w:val="20"/>
              </w:rPr>
            </w:pPr>
            <w:r>
              <w:rPr>
                <w:rFonts w:ascii="ARIAL" w:hAnsi="ARIAL"/>
                <w:sz w:val="20"/>
              </w:rPr>
              <w:t>Age: 49 | Director since: 2011</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color w:val="2393FF"/>
                <w:sz w:val="18"/>
              </w:rPr>
              <w:t xml:space="preserve">Mr. Finkelstein </w:t>
            </w:r>
            <w:r>
              <w:rPr>
                <w:rFonts w:ascii="ARIAL" w:hAnsi="ARIAL"/>
                <w:sz w:val="18"/>
              </w:rPr>
              <w:t>has served as a member of our Board of Directors since 2011. Mr. Finkelstein has served as a General Partner at Spark Capital, a venture capital firm, since 2005. Mr. Finkelstein began his career at Cambridge Associates before joining two early-stage venture capital firms. After a few years, he took a break from the venture capital industry to write and sell a number of original television shows to networks including FOX, Discovery, and E!. Mr. Finkelstein later returned to the venture capital industry and joined Spark at its inception. Mr. Finkelstein earned his Bachelor of Arts in Political Science from Middlebury College.</w:t>
            </w:r>
          </w:p>
        </w:tc>
      </w:tr>
      <w:tr>
        <w:trPr/>
        <w:tc>
          <w:tcPr>
            <w:tcW w:w="2352" w:type="dxa"/>
            <w:vMerge w:val="continue"/>
            <w:tcBorders/>
            <w:vAlign w:val="center"/>
          </w:tcPr>
          <w:p>
            <w:pPr>
              <w:pStyle w:val="Normal"/>
              <w:bidi w:val="0"/>
              <w:jc w:val="left"/>
              <w:rPr/>
            </w:pPr>
            <w:r>
              <w:rPr/>
            </w:r>
          </w:p>
        </w:tc>
        <w:tc>
          <w:tcPr>
            <w:tcW w:w="60" w:type="dxa"/>
            <w:tcBorders/>
            <w:shd w:fill="E8F4FF" w:val="clear"/>
            <w:vAlign w:val="center"/>
          </w:tcPr>
          <w:p>
            <w:pPr>
              <w:pStyle w:val="TableContents"/>
              <w:bidi w:val="0"/>
              <w:spacing w:before="0" w:after="283"/>
              <w:jc w:val="left"/>
              <w:rPr/>
            </w:pPr>
            <w:r>
              <w:rPr/>
              <w:t> </w:t>
            </w:r>
          </w:p>
        </w:tc>
        <w:tc>
          <w:tcPr>
            <w:tcW w:w="7793" w:type="dxa"/>
            <w:tcBorders/>
            <w:shd w:fill="E8F4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393FF"/>
                <w:sz w:val="18"/>
              </w:rPr>
            </w:pPr>
            <w:r>
              <w:rPr>
                <w:rFonts w:ascii="ARIAL" w:hAnsi="ARIAL"/>
                <w:b/>
                <w:color w:val="2393FF"/>
                <w:sz w:val="18"/>
              </w:rPr>
              <w:t>We believe Mr. Finkelstein is qualified to serve on our Board of Directors because of his extensive business experience with technology companies, including experience in the formation, development and business strategy of multiple companies.</w:t>
            </w:r>
          </w:p>
          <w:p>
            <w:pPr>
              <w:pStyle w:val="TableContents"/>
              <w:bidi w:val="0"/>
              <w:spacing w:before="0" w:after="0"/>
              <w:jc w:val="left"/>
              <w:rPr/>
            </w:pPr>
            <w:r>
              <w:rPr/>
              <w:t> </w:t>
            </w:r>
          </w:p>
          <w:p>
            <w:pPr>
              <w:pStyle w:val="TableContents"/>
              <w:bidi w:val="0"/>
              <w:spacing w:before="0" w:after="20"/>
              <w:jc w:val="left"/>
              <w:rPr/>
            </w:pPr>
            <w:r>
              <w:rPr/>
              <w:t> </w:t>
            </w:r>
          </w:p>
        </w:tc>
      </w:tr>
      <w:tr>
        <w:trPr/>
        <w:tc>
          <w:tcPr>
            <w:tcW w:w="2352" w:type="dxa"/>
            <w:tcBorders/>
            <w:vAlign w:val="center"/>
          </w:tcPr>
          <w:p>
            <w:pPr>
              <w:pStyle w:val="TableContents"/>
              <w:bidi w:val="0"/>
              <w:spacing w:before="0" w:after="283"/>
              <w:jc w:val="left"/>
              <w:rPr>
                <w:sz w:val="4"/>
                <w:szCs w:val="4"/>
              </w:rPr>
            </w:pPr>
            <w:r>
              <w:rPr>
                <w:sz w:val="4"/>
                <w:szCs w:val="4"/>
              </w:rPr>
            </w:r>
          </w:p>
        </w:tc>
        <w:tc>
          <w:tcPr>
            <w:tcW w:w="7853" w:type="dxa"/>
            <w:gridSpan w:val="2"/>
            <w:tcBorders/>
            <w:vAlign w:val="center"/>
          </w:tcPr>
          <w:p>
            <w:pPr>
              <w:pStyle w:val="TableContents"/>
              <w:bidi w:val="0"/>
              <w:spacing w:before="0" w:after="283"/>
              <w:jc w:val="left"/>
              <w:rPr>
                <w:sz w:val="4"/>
                <w:szCs w:val="4"/>
              </w:rPr>
            </w:pPr>
            <w:r>
              <w:rPr>
                <w:sz w:val="4"/>
                <w:szCs w:val="4"/>
              </w:rPr>
            </w:r>
          </w:p>
        </w:tc>
      </w:tr>
      <w:tr>
        <w:trPr/>
        <w:tc>
          <w:tcPr>
            <w:tcW w:w="2352" w:type="dxa"/>
            <w:vMerge w:val="restart"/>
            <w:tcBorders/>
            <w:vAlign w:val="center"/>
          </w:tcPr>
          <w:p>
            <w:pPr>
              <w:pStyle w:val="TableContents"/>
              <w:bidi w:val="0"/>
              <w:spacing w:before="0" w:after="0"/>
              <w:jc w:val="left"/>
              <w:rPr/>
            </w:pPr>
            <w:r>
              <w:rPr/>
              <w:drawing>
                <wp:inline distT="0" distB="0" distL="0" distR="0">
                  <wp:extent cx="1481455" cy="148145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81455" cy="1481455"/>
                          </a:xfrm>
                          <a:prstGeom prst="rect">
                            <a:avLst/>
                          </a:prstGeom>
                        </pic:spPr>
                      </pic:pic>
                    </a:graphicData>
                  </a:graphic>
                </wp:inline>
              </w:drawing>
            </w:r>
            <w:r>
              <w:rPr/>
              <w:t xml:space="preserve"> </w:t>
            </w:r>
          </w:p>
          <w:p>
            <w:pPr>
              <w:pStyle w:val="TableContents"/>
              <w:bidi w:val="0"/>
              <w:spacing w:before="0" w:after="0"/>
              <w:jc w:val="left"/>
              <w:rPr>
                <w:rFonts w:ascii="ARIAL" w:hAnsi="ARIAL"/>
                <w:color w:val="2393FF"/>
                <w:sz w:val="36"/>
              </w:rPr>
            </w:pPr>
            <w:r>
              <w:rPr>
                <w:rFonts w:ascii="ARIAL" w:hAnsi="ARIAL"/>
                <w:color w:val="2393FF"/>
                <w:sz w:val="36"/>
              </w:rPr>
              <w:t>Matthew</w:t>
            </w:r>
          </w:p>
          <w:p>
            <w:pPr>
              <w:pStyle w:val="TableContents"/>
              <w:bidi w:val="0"/>
              <w:spacing w:before="0" w:after="20"/>
              <w:jc w:val="left"/>
              <w:rPr>
                <w:rFonts w:ascii="ARIAL" w:hAnsi="ARIAL"/>
                <w:b/>
                <w:color w:val="2393FF"/>
                <w:sz w:val="36"/>
              </w:rPr>
            </w:pPr>
            <w:r>
              <w:rPr>
                <w:rFonts w:ascii="ARIAL" w:hAnsi="ARIAL"/>
                <w:b/>
                <w:color w:val="2393FF"/>
                <w:sz w:val="36"/>
              </w:rPr>
              <w:t>Harris</w:t>
            </w:r>
          </w:p>
        </w:tc>
        <w:tc>
          <w:tcPr>
            <w:tcW w:w="60" w:type="dxa"/>
            <w:tcBorders/>
            <w:vAlign w:val="center"/>
          </w:tcPr>
          <w:p>
            <w:pPr>
              <w:pStyle w:val="TableContents"/>
              <w:bidi w:val="0"/>
              <w:spacing w:before="0" w:after="283"/>
              <w:jc w:val="left"/>
              <w:rPr/>
            </w:pPr>
            <w:r>
              <w:rPr/>
              <w:t> </w:t>
            </w:r>
          </w:p>
        </w:tc>
        <w:tc>
          <w:tcPr>
            <w:tcW w:w="7793" w:type="dxa"/>
            <w:tcBorders/>
            <w:vAlign w:val="center"/>
          </w:tcPr>
          <w:p>
            <w:pPr>
              <w:pStyle w:val="TableContents"/>
              <w:bidi w:val="0"/>
              <w:spacing w:before="0" w:after="0"/>
              <w:jc w:val="left"/>
              <w:rPr>
                <w:rFonts w:ascii="ARIAL" w:hAnsi="ARIAL"/>
                <w:sz w:val="20"/>
              </w:rPr>
            </w:pPr>
            <w:r>
              <w:rPr>
                <w:rFonts w:ascii="ARIAL" w:hAnsi="ARIAL"/>
                <w:sz w:val="20"/>
              </w:rPr>
              <w:t>Age: 52 | Director since: 2015</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93FF"/>
                <w:sz w:val="18"/>
              </w:rPr>
              <w:t xml:space="preserve">Mr. Harris </w:t>
            </w:r>
            <w:r>
              <w:rPr>
                <w:rFonts w:ascii="ARIAL" w:hAnsi="ARIAL"/>
                <w:sz w:val="18"/>
              </w:rPr>
              <w:t>has served as a member of our Board of Directors since January 2015. Mr. Harris joined Bain Capital Ventures in September 2012 to lead the New York City office, where he currently serves as a Partner. Mr. Harris focuses on business services companies, with a particular interest in financial services. Mr. Harris served as a member of the board of directors of AvidXchange Holdings, Inc., a provider of accounts payable automation software and payment solutions for middle market businesses and their suppliers, from July 2015 to March 2024. Mr. Harris has also served as a member of the board of directors of BTRS Holdings Inc. (f/k/a Factor Systems, Inc. (dba Billtrust)), a provider of cloud-based software and integrated payment processing solutions, until December 2022. Prior to joining Bain Capital Ventures, Mr. Harris founded Village Ventures, Inc., an early-stage venture capital firm focused on the media and financial services sectors, and served as Managing Director from January 2000 to September 2012. Mr. Harris holds a Bachelor of Arts degree from Williams College.</w:t>
            </w:r>
          </w:p>
          <w:p>
            <w:pPr>
              <w:pStyle w:val="TableContents"/>
              <w:bidi w:val="0"/>
              <w:spacing w:before="0" w:after="20"/>
              <w:jc w:val="left"/>
              <w:rPr/>
            </w:pPr>
            <w:r>
              <w:rPr/>
              <w:t> </w:t>
            </w:r>
          </w:p>
        </w:tc>
      </w:tr>
      <w:tr>
        <w:trPr/>
        <w:tc>
          <w:tcPr>
            <w:tcW w:w="2352" w:type="dxa"/>
            <w:vMerge w:val="continue"/>
            <w:tcBorders/>
            <w:vAlign w:val="center"/>
          </w:tcPr>
          <w:p>
            <w:pPr>
              <w:pStyle w:val="Normal"/>
              <w:bidi w:val="0"/>
              <w:jc w:val="left"/>
              <w:rPr/>
            </w:pPr>
            <w:r>
              <w:rPr/>
            </w:r>
          </w:p>
        </w:tc>
        <w:tc>
          <w:tcPr>
            <w:tcW w:w="60" w:type="dxa"/>
            <w:tcBorders/>
            <w:shd w:fill="E8F4FF" w:val="clear"/>
            <w:vAlign w:val="center"/>
          </w:tcPr>
          <w:p>
            <w:pPr>
              <w:pStyle w:val="TableContents"/>
              <w:bidi w:val="0"/>
              <w:spacing w:before="0" w:after="283"/>
              <w:jc w:val="left"/>
              <w:rPr/>
            </w:pPr>
            <w:r>
              <w:rPr/>
              <w:t> </w:t>
            </w:r>
          </w:p>
        </w:tc>
        <w:tc>
          <w:tcPr>
            <w:tcW w:w="7793" w:type="dxa"/>
            <w:tcBorders/>
            <w:shd w:fill="E8F4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393FF"/>
                <w:sz w:val="18"/>
              </w:rPr>
            </w:pPr>
            <w:r>
              <w:rPr>
                <w:rFonts w:ascii="ARIAL" w:hAnsi="ARIAL"/>
                <w:b/>
                <w:color w:val="2393FF"/>
                <w:sz w:val="18"/>
              </w:rPr>
              <w:t xml:space="preserve">We believe Mr. Harris is qualified to serve on our Board of Directors because of his extensive business experience with technology companies, including experience in the formation, development and business strategy of multiple companies in the payments sector.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  10  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52"/>
        <w:gridCol w:w="60"/>
        <w:gridCol w:w="7793"/>
      </w:tblGrid>
      <w:tr>
        <w:trPr/>
        <w:tc>
          <w:tcPr>
            <w:tcW w:w="2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93" w:type="dxa"/>
            <w:tcBorders/>
            <w:vAlign w:val="center"/>
          </w:tcPr>
          <w:p>
            <w:pPr>
              <w:pStyle w:val="TableContents"/>
              <w:bidi w:val="0"/>
              <w:spacing w:before="0" w:after="283"/>
              <w:jc w:val="left"/>
              <w:rPr>
                <w:sz w:val="4"/>
                <w:szCs w:val="4"/>
              </w:rPr>
            </w:pPr>
            <w:r>
              <w:rPr>
                <w:sz w:val="4"/>
                <w:szCs w:val="4"/>
              </w:rPr>
            </w:r>
          </w:p>
        </w:tc>
      </w:tr>
      <w:tr>
        <w:trPr/>
        <w:tc>
          <w:tcPr>
            <w:tcW w:w="2352" w:type="dxa"/>
            <w:vMerge w:val="restart"/>
            <w:tcBorders/>
            <w:vAlign w:val="center"/>
          </w:tcPr>
          <w:p>
            <w:pPr>
              <w:pStyle w:val="TableContents"/>
              <w:bidi w:val="0"/>
              <w:spacing w:before="0" w:after="0"/>
              <w:jc w:val="left"/>
              <w:rPr/>
            </w:pPr>
            <w:r>
              <w:rPr/>
              <w:drawing>
                <wp:inline distT="0" distB="0" distL="0" distR="0">
                  <wp:extent cx="1481455" cy="14814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81455" cy="1481455"/>
                          </a:xfrm>
                          <a:prstGeom prst="rect">
                            <a:avLst/>
                          </a:prstGeom>
                        </pic:spPr>
                      </pic:pic>
                    </a:graphicData>
                  </a:graphic>
                </wp:inline>
              </w:drawing>
            </w:r>
            <w:r>
              <w:rPr/>
              <w:t xml:space="preserve"> </w:t>
            </w:r>
          </w:p>
          <w:p>
            <w:pPr>
              <w:pStyle w:val="TableContents"/>
              <w:bidi w:val="0"/>
              <w:spacing w:before="0" w:after="0"/>
              <w:jc w:val="left"/>
              <w:rPr>
                <w:rFonts w:ascii="ARIAL" w:hAnsi="ARIAL"/>
                <w:color w:val="2393FF"/>
                <w:sz w:val="36"/>
              </w:rPr>
            </w:pPr>
            <w:r>
              <w:rPr>
                <w:rFonts w:ascii="ARIAL" w:hAnsi="ARIAL"/>
                <w:color w:val="2393FF"/>
                <w:sz w:val="36"/>
              </w:rPr>
              <w:t>Gretchen</w:t>
            </w:r>
          </w:p>
          <w:p>
            <w:pPr>
              <w:pStyle w:val="TableContents"/>
              <w:bidi w:val="0"/>
              <w:spacing w:before="0" w:after="20"/>
              <w:jc w:val="left"/>
              <w:rPr>
                <w:rFonts w:ascii="ARIAL" w:hAnsi="ARIAL"/>
                <w:b/>
                <w:color w:val="2393FF"/>
                <w:sz w:val="36"/>
              </w:rPr>
            </w:pPr>
            <w:r>
              <w:rPr>
                <w:rFonts w:ascii="ARIAL" w:hAnsi="ARIAL"/>
                <w:b/>
                <w:color w:val="2393FF"/>
                <w:sz w:val="36"/>
              </w:rPr>
              <w:t>Howard</w:t>
            </w:r>
          </w:p>
        </w:tc>
        <w:tc>
          <w:tcPr>
            <w:tcW w:w="60" w:type="dxa"/>
            <w:tcBorders/>
            <w:vAlign w:val="center"/>
          </w:tcPr>
          <w:p>
            <w:pPr>
              <w:pStyle w:val="TableContents"/>
              <w:bidi w:val="0"/>
              <w:spacing w:before="0" w:after="283"/>
              <w:jc w:val="left"/>
              <w:rPr/>
            </w:pPr>
            <w:r>
              <w:rPr/>
              <w:t> </w:t>
            </w:r>
          </w:p>
        </w:tc>
        <w:tc>
          <w:tcPr>
            <w:tcW w:w="7793" w:type="dxa"/>
            <w:tcBorders/>
            <w:vAlign w:val="center"/>
          </w:tcPr>
          <w:p>
            <w:pPr>
              <w:pStyle w:val="TableContents"/>
              <w:bidi w:val="0"/>
              <w:spacing w:before="0" w:after="0"/>
              <w:jc w:val="left"/>
              <w:rPr>
                <w:rFonts w:ascii="ARIAL" w:hAnsi="ARIAL"/>
                <w:sz w:val="20"/>
              </w:rPr>
            </w:pPr>
            <w:r>
              <w:rPr>
                <w:rFonts w:ascii="ARIAL" w:hAnsi="ARIAL"/>
                <w:sz w:val="20"/>
              </w:rPr>
              <w:t>Age: 51 | Director since: 2023</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93FF"/>
                <w:sz w:val="18"/>
              </w:rPr>
              <w:t xml:space="preserve">Ms. Howard </w:t>
            </w:r>
            <w:r>
              <w:rPr>
                <w:rFonts w:ascii="ARIAL" w:hAnsi="ARIAL"/>
                <w:sz w:val="18"/>
              </w:rPr>
              <w:t>has served as a member of our Board of Directors since September 2023. Ms. Howard served as the former Chief Operating Officer of Robinhood Markets, Inc. from January 2019 until January 2024, where among other functions, she oversaw brokerage, cash compliance and operations, human resources and recruiting, customer trust and safety, as well as customer support and business strategy. Prior to her leadership role at Robinhood, Ms. Howard was a Partner with CapitalG, Alphabet Inc.’s growth equity fund from 2014 to 2019. Prior to her time at CapitalG, Ms. Howard held various senior management positions at Google and Fidelity Investments. Ms. Howard is on the Board of Directors of AllTrails, a mobile app connecting people to the outdoors, and Thumbtack, Inc., a home services website/app. She is also a member of the Board of Trustees at Williams College and a former board member of the YMCA of San Francisco. She holds a B.A. from Williams College and an M.B.A. from Harvard Business School.</w:t>
            </w:r>
          </w:p>
          <w:p>
            <w:pPr>
              <w:pStyle w:val="TableContents"/>
              <w:bidi w:val="0"/>
              <w:spacing w:before="0" w:after="20"/>
              <w:jc w:val="left"/>
              <w:rPr/>
            </w:pPr>
            <w:r>
              <w:rPr/>
              <w:t> </w:t>
            </w:r>
          </w:p>
        </w:tc>
      </w:tr>
      <w:tr>
        <w:trPr/>
        <w:tc>
          <w:tcPr>
            <w:tcW w:w="2352" w:type="dxa"/>
            <w:vMerge w:val="continue"/>
            <w:tcBorders/>
            <w:vAlign w:val="center"/>
          </w:tcPr>
          <w:p>
            <w:pPr>
              <w:pStyle w:val="Normal"/>
              <w:bidi w:val="0"/>
              <w:jc w:val="left"/>
              <w:rPr/>
            </w:pPr>
            <w:r>
              <w:rPr/>
            </w:r>
          </w:p>
        </w:tc>
        <w:tc>
          <w:tcPr>
            <w:tcW w:w="60" w:type="dxa"/>
            <w:tcBorders/>
            <w:shd w:fill="E8F4FF" w:val="clear"/>
            <w:vAlign w:val="center"/>
          </w:tcPr>
          <w:p>
            <w:pPr>
              <w:pStyle w:val="TableContents"/>
              <w:bidi w:val="0"/>
              <w:spacing w:before="0" w:after="283"/>
              <w:jc w:val="left"/>
              <w:rPr/>
            </w:pPr>
            <w:r>
              <w:rPr/>
              <w:t> </w:t>
            </w:r>
          </w:p>
        </w:tc>
        <w:tc>
          <w:tcPr>
            <w:tcW w:w="7793" w:type="dxa"/>
            <w:tcBorders/>
            <w:shd w:fill="E8F4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393FF"/>
                <w:sz w:val="18"/>
              </w:rPr>
            </w:pPr>
            <w:r>
              <w:rPr>
                <w:rFonts w:ascii="ARIAL" w:hAnsi="ARIAL"/>
                <w:b/>
                <w:color w:val="2393FF"/>
                <w:sz w:val="18"/>
              </w:rPr>
              <w:t>We believe Ms. Howard is qualified to serve on our Board of Directors because of her extensive business experience with technology companies, including experience in the formation, development and business strategy of multiple companies in the payments sector.</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00" w:after="0"/>
        <w:jc w:val="left"/>
        <w:rPr>
          <w:rFonts w:ascii="ARIAL" w:hAnsi="ARIAL"/>
          <w:color w:val="2393FF"/>
          <w:sz w:val="20"/>
        </w:rPr>
      </w:pPr>
      <w:r>
        <w:rPr>
          <w:rFonts w:ascii="ARIAL" w:hAnsi="ARIAL"/>
          <w:color w:val="2393FF"/>
          <w:sz w:val="20"/>
        </w:rPr>
        <w:t xml:space="preserve">Incumbent Class III Directors Whose Term Expires in 2027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3"/>
        <w:gridCol w:w="60"/>
        <w:gridCol w:w="7792"/>
      </w:tblGrid>
      <w:tr>
        <w:trPr/>
        <w:tc>
          <w:tcPr>
            <w:tcW w:w="2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92" w:type="dxa"/>
            <w:tcBorders/>
            <w:vAlign w:val="center"/>
          </w:tcPr>
          <w:p>
            <w:pPr>
              <w:pStyle w:val="TableContents"/>
              <w:bidi w:val="0"/>
              <w:spacing w:before="0" w:after="283"/>
              <w:jc w:val="left"/>
              <w:rPr>
                <w:sz w:val="4"/>
                <w:szCs w:val="4"/>
              </w:rPr>
            </w:pPr>
            <w:r>
              <w:rPr>
                <w:sz w:val="4"/>
                <w:szCs w:val="4"/>
              </w:rPr>
            </w:r>
          </w:p>
        </w:tc>
      </w:tr>
      <w:tr>
        <w:trPr/>
        <w:tc>
          <w:tcPr>
            <w:tcW w:w="2353" w:type="dxa"/>
            <w:vMerge w:val="restart"/>
            <w:tcBorders/>
            <w:vAlign w:val="center"/>
          </w:tcPr>
          <w:p>
            <w:pPr>
              <w:pStyle w:val="TableContents"/>
              <w:bidi w:val="0"/>
              <w:spacing w:before="0" w:after="0"/>
              <w:jc w:val="left"/>
              <w:rPr/>
            </w:pPr>
            <w:r>
              <w:rPr/>
              <w:drawing>
                <wp:inline distT="0" distB="0" distL="0" distR="0">
                  <wp:extent cx="1482090" cy="148145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82090" cy="1481455"/>
                          </a:xfrm>
                          <a:prstGeom prst="rect">
                            <a:avLst/>
                          </a:prstGeom>
                        </pic:spPr>
                      </pic:pic>
                    </a:graphicData>
                  </a:graphic>
                </wp:inline>
              </w:drawing>
            </w:r>
            <w:r>
              <w:rPr/>
              <w:t xml:space="preserve"> </w:t>
            </w:r>
          </w:p>
          <w:p>
            <w:pPr>
              <w:pStyle w:val="TableContents"/>
              <w:bidi w:val="0"/>
              <w:spacing w:before="0" w:after="0"/>
              <w:jc w:val="left"/>
              <w:rPr>
                <w:rFonts w:ascii="ARIAL" w:hAnsi="ARIAL"/>
                <w:color w:val="2393FF"/>
                <w:sz w:val="36"/>
              </w:rPr>
            </w:pPr>
            <w:r>
              <w:rPr>
                <w:rFonts w:ascii="ARIAL" w:hAnsi="ARIAL"/>
                <w:color w:val="2393FF"/>
                <w:sz w:val="36"/>
              </w:rPr>
              <w:t>Phillip</w:t>
            </w:r>
          </w:p>
          <w:p>
            <w:pPr>
              <w:pStyle w:val="TableContents"/>
              <w:bidi w:val="0"/>
              <w:spacing w:before="0" w:after="20"/>
              <w:jc w:val="left"/>
              <w:rPr>
                <w:rFonts w:ascii="ARIAL" w:hAnsi="ARIAL"/>
                <w:b/>
                <w:color w:val="2393FF"/>
                <w:sz w:val="36"/>
              </w:rPr>
            </w:pPr>
            <w:r>
              <w:rPr>
                <w:rFonts w:ascii="ARIAL" w:hAnsi="ARIAL"/>
                <w:b/>
                <w:color w:val="2393FF"/>
                <w:sz w:val="36"/>
              </w:rPr>
              <w:t>Riese</w:t>
            </w:r>
          </w:p>
        </w:tc>
        <w:tc>
          <w:tcPr>
            <w:tcW w:w="60" w:type="dxa"/>
            <w:tcBorders/>
            <w:vAlign w:val="center"/>
          </w:tcPr>
          <w:p>
            <w:pPr>
              <w:pStyle w:val="TableContents"/>
              <w:bidi w:val="0"/>
              <w:spacing w:before="0" w:after="283"/>
              <w:jc w:val="left"/>
              <w:rPr/>
            </w:pPr>
            <w:r>
              <w:rPr/>
              <w:t> </w:t>
            </w:r>
          </w:p>
        </w:tc>
        <w:tc>
          <w:tcPr>
            <w:tcW w:w="7792" w:type="dxa"/>
            <w:tcBorders/>
            <w:vAlign w:val="center"/>
          </w:tcPr>
          <w:p>
            <w:pPr>
              <w:pStyle w:val="TableContents"/>
              <w:bidi w:val="0"/>
              <w:spacing w:before="0" w:after="0"/>
              <w:jc w:val="left"/>
              <w:rPr>
                <w:rFonts w:ascii="ARIAL" w:hAnsi="ARIAL"/>
                <w:sz w:val="20"/>
              </w:rPr>
            </w:pPr>
            <w:r>
              <w:rPr>
                <w:rFonts w:ascii="ARIAL" w:hAnsi="ARIAL"/>
                <w:sz w:val="20"/>
              </w:rPr>
              <w:t>Age: 75 | Director since: 2013</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93FF"/>
                <w:sz w:val="18"/>
              </w:rPr>
              <w:t>Mr. Riese</w:t>
            </w:r>
            <w:r>
              <w:rPr>
                <w:rFonts w:ascii="ARIAL" w:hAnsi="ARIAL"/>
                <w:sz w:val="18"/>
              </w:rPr>
              <w:t xml:space="preserve"> has served as a member and Chair of our Board of Directors since August 2013. In November 1998, Mr. Riese established Riese &amp; Others, offering his personal services as a board member and advisor with a focus on global emerging and disruptive companies primarily in financial services. He frequently invests in those companies alongside a variety of venture capital and private equity firms. Prior to forming Riese &amp; Others, Mr. Riese spent 18 years at American Express, ultimately serving as the president of the Consumer Card Group and chairman of American Express Centurion Bank. Before joining American Express, Mr. Riese was a division executive at Chase Manhattan Bank, after being a partner at M.C. Geffen and Associates, a consulting firm in South Africa. Mr. Riese serves as a board member for a number of public and private companies, including Remitly, Betterment LLC and Cross River Bank. Mr. Riese holds a Bachelor’s degree in Commerce from Leeds University in England, a M.B.A. from the University of Cape Town in South Africa and a Master of Science degree from Massachusetts Institute of Technology’s Sloan School of Management.</w:t>
            </w:r>
          </w:p>
          <w:p>
            <w:pPr>
              <w:pStyle w:val="TableContents"/>
              <w:bidi w:val="0"/>
              <w:spacing w:before="0" w:after="20"/>
              <w:jc w:val="left"/>
              <w:rPr/>
            </w:pPr>
            <w:r>
              <w:rPr/>
              <w:t> </w:t>
            </w:r>
          </w:p>
        </w:tc>
      </w:tr>
      <w:tr>
        <w:trPr/>
        <w:tc>
          <w:tcPr>
            <w:tcW w:w="2353" w:type="dxa"/>
            <w:vMerge w:val="continue"/>
            <w:tcBorders/>
            <w:vAlign w:val="center"/>
          </w:tcPr>
          <w:p>
            <w:pPr>
              <w:pStyle w:val="Normal"/>
              <w:bidi w:val="0"/>
              <w:jc w:val="left"/>
              <w:rPr/>
            </w:pPr>
            <w:r>
              <w:rPr/>
            </w:r>
          </w:p>
        </w:tc>
        <w:tc>
          <w:tcPr>
            <w:tcW w:w="60" w:type="dxa"/>
            <w:tcBorders/>
            <w:shd w:fill="E8F4FF" w:val="clear"/>
            <w:vAlign w:val="center"/>
          </w:tcPr>
          <w:p>
            <w:pPr>
              <w:pStyle w:val="TableContents"/>
              <w:bidi w:val="0"/>
              <w:spacing w:before="0" w:after="283"/>
              <w:jc w:val="left"/>
              <w:rPr/>
            </w:pPr>
            <w:r>
              <w:rPr/>
              <w:t> </w:t>
            </w:r>
          </w:p>
        </w:tc>
        <w:tc>
          <w:tcPr>
            <w:tcW w:w="7792" w:type="dxa"/>
            <w:tcBorders/>
            <w:shd w:fill="E8F4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393FF"/>
                <w:sz w:val="18"/>
              </w:rPr>
            </w:pPr>
            <w:r>
              <w:rPr>
                <w:rFonts w:ascii="ARIAL" w:hAnsi="ARIAL"/>
                <w:b/>
                <w:color w:val="2393FF"/>
                <w:sz w:val="18"/>
              </w:rPr>
              <w:t>We believe Mr. Riese is qualified to serve on our Board of Directors because of his extensive experience in the payments industry and his senior management experience.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  11  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53"/>
        <w:gridCol w:w="60"/>
        <w:gridCol w:w="7792"/>
      </w:tblGrid>
      <w:tr>
        <w:trPr/>
        <w:tc>
          <w:tcPr>
            <w:tcW w:w="2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92" w:type="dxa"/>
            <w:tcBorders/>
            <w:vAlign w:val="center"/>
          </w:tcPr>
          <w:p>
            <w:pPr>
              <w:pStyle w:val="TableContents"/>
              <w:bidi w:val="0"/>
              <w:spacing w:before="0" w:after="283"/>
              <w:jc w:val="left"/>
              <w:rPr>
                <w:sz w:val="4"/>
                <w:szCs w:val="4"/>
              </w:rPr>
            </w:pPr>
            <w:r>
              <w:rPr>
                <w:sz w:val="4"/>
                <w:szCs w:val="4"/>
              </w:rPr>
            </w:r>
          </w:p>
        </w:tc>
      </w:tr>
      <w:tr>
        <w:trPr/>
        <w:tc>
          <w:tcPr>
            <w:tcW w:w="2353" w:type="dxa"/>
            <w:vMerge w:val="restart"/>
            <w:tcBorders/>
            <w:vAlign w:val="center"/>
          </w:tcPr>
          <w:p>
            <w:pPr>
              <w:pStyle w:val="TableContents"/>
              <w:bidi w:val="0"/>
              <w:spacing w:before="0" w:after="0"/>
              <w:jc w:val="left"/>
              <w:rPr/>
            </w:pPr>
            <w:r>
              <w:rPr/>
              <w:drawing>
                <wp:inline distT="0" distB="0" distL="0" distR="0">
                  <wp:extent cx="1481455" cy="148145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81455" cy="1481455"/>
                          </a:xfrm>
                          <a:prstGeom prst="rect">
                            <a:avLst/>
                          </a:prstGeom>
                        </pic:spPr>
                      </pic:pic>
                    </a:graphicData>
                  </a:graphic>
                </wp:inline>
              </w:drawing>
            </w:r>
            <w:r>
              <w:rPr/>
              <w:t xml:space="preserve"> </w:t>
            </w:r>
          </w:p>
          <w:p>
            <w:pPr>
              <w:pStyle w:val="TableContents"/>
              <w:bidi w:val="0"/>
              <w:spacing w:before="0" w:after="0"/>
              <w:jc w:val="left"/>
              <w:rPr>
                <w:rFonts w:ascii="ARIAL" w:hAnsi="ARIAL"/>
                <w:color w:val="2393FF"/>
                <w:sz w:val="36"/>
              </w:rPr>
            </w:pPr>
            <w:r>
              <w:rPr>
                <w:rFonts w:ascii="ARIAL" w:hAnsi="ARIAL"/>
                <w:color w:val="2393FF"/>
                <w:sz w:val="36"/>
              </w:rPr>
              <w:t>Edwin</w:t>
            </w:r>
          </w:p>
          <w:p>
            <w:pPr>
              <w:pStyle w:val="TableContents"/>
              <w:bidi w:val="0"/>
              <w:spacing w:before="0" w:after="20"/>
              <w:jc w:val="left"/>
              <w:rPr>
                <w:rFonts w:ascii="ARIAL" w:hAnsi="ARIAL"/>
                <w:b/>
                <w:color w:val="2393FF"/>
                <w:sz w:val="36"/>
              </w:rPr>
            </w:pPr>
            <w:r>
              <w:rPr>
                <w:rFonts w:ascii="ARIAL" w:hAnsi="ARIAL"/>
                <w:b/>
                <w:color w:val="2393FF"/>
                <w:sz w:val="36"/>
              </w:rPr>
              <w:t>Santos</w:t>
            </w:r>
          </w:p>
        </w:tc>
        <w:tc>
          <w:tcPr>
            <w:tcW w:w="60" w:type="dxa"/>
            <w:tcBorders/>
            <w:vAlign w:val="center"/>
          </w:tcPr>
          <w:p>
            <w:pPr>
              <w:pStyle w:val="TableContents"/>
              <w:bidi w:val="0"/>
              <w:spacing w:before="0" w:after="283"/>
              <w:jc w:val="left"/>
              <w:rPr/>
            </w:pPr>
            <w:r>
              <w:rPr/>
              <w:t> </w:t>
            </w:r>
          </w:p>
        </w:tc>
        <w:tc>
          <w:tcPr>
            <w:tcW w:w="7792" w:type="dxa"/>
            <w:tcBorders/>
            <w:vAlign w:val="center"/>
          </w:tcPr>
          <w:p>
            <w:pPr>
              <w:pStyle w:val="TableContents"/>
              <w:bidi w:val="0"/>
              <w:spacing w:before="0" w:after="0"/>
              <w:jc w:val="left"/>
              <w:rPr>
                <w:rFonts w:ascii="ARIAL" w:hAnsi="ARIAL"/>
                <w:sz w:val="20"/>
              </w:rPr>
            </w:pPr>
            <w:r>
              <w:rPr>
                <w:rFonts w:ascii="ARIAL" w:hAnsi="ARIAL"/>
                <w:sz w:val="20"/>
              </w:rPr>
              <w:t>Age: 65 | Director since: 2021</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93FF"/>
                <w:sz w:val="18"/>
              </w:rPr>
              <w:t>Mr. Santos</w:t>
            </w:r>
            <w:r>
              <w:rPr>
                <w:rFonts w:ascii="ARIAL" w:hAnsi="ARIAL"/>
                <w:sz w:val="18"/>
              </w:rPr>
              <w:t xml:space="preserve"> has served as a member of our Board of Directors since April 2021. Mr. Santos has had a distinguished career in banking, with experience in risk management, corporate governance, management advisory services, acquisitions, and reengineering efforts. He served for many years in various positions of significant responsibility with FleetBoston Financial Group, and more recently served as Group Executive Vice President and General Auditor for Citizens Financial Group prior to his retirement in 2009. Mr. Santos currently serves as a member of the boards of directors of the Providence Mutual Fire Insurance Company and Washington Trust Bancorp Inc. He is also the former President of the Board of Trustees of Rocky Hill School, and a member of the Bryant University Board of Trustees. Mr. Santos holds a Bachelor’s degree in Business Administration and Accounting from Bryant University.</w:t>
            </w:r>
          </w:p>
          <w:p>
            <w:pPr>
              <w:pStyle w:val="TableContents"/>
              <w:bidi w:val="0"/>
              <w:spacing w:before="0" w:after="20"/>
              <w:jc w:val="left"/>
              <w:rPr/>
            </w:pPr>
            <w:r>
              <w:rPr/>
              <w:t> </w:t>
            </w:r>
          </w:p>
        </w:tc>
      </w:tr>
      <w:tr>
        <w:trPr/>
        <w:tc>
          <w:tcPr>
            <w:tcW w:w="2353" w:type="dxa"/>
            <w:vMerge w:val="continue"/>
            <w:tcBorders/>
            <w:vAlign w:val="center"/>
          </w:tcPr>
          <w:p>
            <w:pPr>
              <w:pStyle w:val="Normal"/>
              <w:bidi w:val="0"/>
              <w:jc w:val="left"/>
              <w:rPr/>
            </w:pPr>
            <w:r>
              <w:rPr/>
            </w:r>
          </w:p>
        </w:tc>
        <w:tc>
          <w:tcPr>
            <w:tcW w:w="60" w:type="dxa"/>
            <w:tcBorders/>
            <w:shd w:fill="E8F4FF" w:val="clear"/>
            <w:vAlign w:val="center"/>
          </w:tcPr>
          <w:p>
            <w:pPr>
              <w:pStyle w:val="TableContents"/>
              <w:bidi w:val="0"/>
              <w:spacing w:before="0" w:after="283"/>
              <w:jc w:val="left"/>
              <w:rPr/>
            </w:pPr>
            <w:r>
              <w:rPr/>
              <w:t> </w:t>
            </w:r>
          </w:p>
        </w:tc>
        <w:tc>
          <w:tcPr>
            <w:tcW w:w="7792" w:type="dxa"/>
            <w:tcBorders/>
            <w:shd w:fill="E8F4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393FF"/>
                <w:sz w:val="18"/>
              </w:rPr>
            </w:pPr>
            <w:r>
              <w:rPr>
                <w:rFonts w:ascii="ARIAL" w:hAnsi="ARIAL"/>
                <w:b/>
                <w:color w:val="2393FF"/>
                <w:sz w:val="18"/>
              </w:rPr>
              <w:t>We believe Mr. Santos is qualified to serve on our Board of Directors because of his professional competency and broad experience in the financial services industry.</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2"/>
        <w:gridCol w:w="60"/>
        <w:gridCol w:w="7793"/>
      </w:tblGrid>
      <w:tr>
        <w:trPr/>
        <w:tc>
          <w:tcPr>
            <w:tcW w:w="2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93" w:type="dxa"/>
            <w:tcBorders/>
            <w:vAlign w:val="center"/>
          </w:tcPr>
          <w:p>
            <w:pPr>
              <w:pStyle w:val="TableContents"/>
              <w:bidi w:val="0"/>
              <w:spacing w:before="0" w:after="283"/>
              <w:jc w:val="left"/>
              <w:rPr>
                <w:sz w:val="4"/>
                <w:szCs w:val="4"/>
              </w:rPr>
            </w:pPr>
            <w:r>
              <w:rPr>
                <w:sz w:val="4"/>
                <w:szCs w:val="4"/>
              </w:rPr>
            </w:r>
          </w:p>
        </w:tc>
      </w:tr>
      <w:tr>
        <w:trPr/>
        <w:tc>
          <w:tcPr>
            <w:tcW w:w="2352" w:type="dxa"/>
            <w:vMerge w:val="restart"/>
            <w:tcBorders/>
            <w:vAlign w:val="center"/>
          </w:tcPr>
          <w:p>
            <w:pPr>
              <w:pStyle w:val="TableContents"/>
              <w:bidi w:val="0"/>
              <w:spacing w:before="0" w:after="0"/>
              <w:jc w:val="left"/>
              <w:rPr/>
            </w:pPr>
            <w:r>
              <w:rPr/>
              <w:drawing>
                <wp:inline distT="0" distB="0" distL="0" distR="0">
                  <wp:extent cx="1481455" cy="148145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81455" cy="1481455"/>
                          </a:xfrm>
                          <a:prstGeom prst="rect">
                            <a:avLst/>
                          </a:prstGeom>
                        </pic:spPr>
                      </pic:pic>
                    </a:graphicData>
                  </a:graphic>
                </wp:inline>
              </w:drawing>
            </w:r>
            <w:r>
              <w:rPr/>
              <w:t xml:space="preserve"> </w:t>
            </w:r>
          </w:p>
          <w:p>
            <w:pPr>
              <w:pStyle w:val="TableContents"/>
              <w:bidi w:val="0"/>
              <w:spacing w:before="0" w:after="0"/>
              <w:jc w:val="left"/>
              <w:rPr>
                <w:rFonts w:ascii="ARIAL" w:hAnsi="ARIAL"/>
                <w:color w:val="2393FF"/>
                <w:sz w:val="36"/>
              </w:rPr>
            </w:pPr>
            <w:r>
              <w:rPr>
                <w:rFonts w:ascii="ARIAL" w:hAnsi="ARIAL"/>
                <w:color w:val="2393FF"/>
                <w:sz w:val="36"/>
              </w:rPr>
              <w:t>Carleigh</w:t>
            </w:r>
          </w:p>
          <w:p>
            <w:pPr>
              <w:pStyle w:val="TableContents"/>
              <w:bidi w:val="0"/>
              <w:spacing w:before="0" w:after="20"/>
              <w:jc w:val="left"/>
              <w:rPr>
                <w:rFonts w:ascii="ARIAL" w:hAnsi="ARIAL"/>
                <w:b/>
                <w:color w:val="2393FF"/>
                <w:sz w:val="36"/>
              </w:rPr>
            </w:pPr>
            <w:r>
              <w:rPr>
                <w:rFonts w:ascii="ARIAL" w:hAnsi="ARIAL"/>
                <w:b/>
                <w:color w:val="2393FF"/>
                <w:sz w:val="36"/>
              </w:rPr>
              <w:t>Jaques</w:t>
            </w:r>
          </w:p>
        </w:tc>
        <w:tc>
          <w:tcPr>
            <w:tcW w:w="60" w:type="dxa"/>
            <w:tcBorders/>
            <w:vAlign w:val="center"/>
          </w:tcPr>
          <w:p>
            <w:pPr>
              <w:pStyle w:val="TableContents"/>
              <w:bidi w:val="0"/>
              <w:spacing w:before="0" w:after="283"/>
              <w:jc w:val="left"/>
              <w:rPr/>
            </w:pPr>
            <w:r>
              <w:rPr/>
              <w:t> </w:t>
            </w:r>
          </w:p>
        </w:tc>
        <w:tc>
          <w:tcPr>
            <w:tcW w:w="7793" w:type="dxa"/>
            <w:tcBorders/>
            <w:vAlign w:val="center"/>
          </w:tcPr>
          <w:p>
            <w:pPr>
              <w:pStyle w:val="TableContents"/>
              <w:bidi w:val="0"/>
              <w:spacing w:before="0" w:after="0"/>
              <w:jc w:val="left"/>
              <w:rPr>
                <w:rFonts w:ascii="ARIAL" w:hAnsi="ARIAL"/>
                <w:sz w:val="20"/>
              </w:rPr>
            </w:pPr>
            <w:r>
              <w:rPr>
                <w:rFonts w:ascii="ARIAL" w:hAnsi="ARIAL"/>
                <w:sz w:val="20"/>
              </w:rPr>
              <w:t>Age: 57 | Director since: 2024</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93FF"/>
                <w:sz w:val="18"/>
              </w:rPr>
              <w:t xml:space="preserve">Ms. Jaques </w:t>
            </w:r>
            <w:r>
              <w:rPr>
                <w:rFonts w:ascii="ARIAL" w:hAnsi="ARIAL"/>
                <w:sz w:val="18"/>
              </w:rPr>
              <w:t>has served as a member of our Board of Directors since November 2024. Ms. Jaques previously led multiple strategic and operational teams at Visa, Inc., where she was most recently the SVP, Global Head of Risk &amp; Identity Solutions. In this role, she accelerated the growth of Visa’s global fraud detection business, which supports financial institutions and merchants with capabilities to make real-time decisions and authenticate account holders across Visa. Prior to that, Ms. Jaques was SVP and Global Head of Acceptance Solutions at Visa, where she led the transformation of the company’s merchant and acquirer capabilities including Tap to Phone, urban mobility and merchant digital solutions. In her prior role as SVP and GM of Visa’s Cybersource business, Ms. Jaques led one of the world’s largest digital gateways, including its international expansion, sales model transformation and entry into new markets, such as face to face acceptance. Prior to joining Visa, Ms. Jaques was a technology investment banker. Ms. Jaques holds a B.A. from the University of Michigan and an MBA from The Wharton School at the University of Pennsylvania.</w:t>
            </w:r>
          </w:p>
          <w:p>
            <w:pPr>
              <w:pStyle w:val="TableContents"/>
              <w:bidi w:val="0"/>
              <w:spacing w:before="0" w:after="20"/>
              <w:jc w:val="left"/>
              <w:rPr/>
            </w:pPr>
            <w:r>
              <w:rPr/>
              <w:t> </w:t>
            </w:r>
          </w:p>
        </w:tc>
      </w:tr>
      <w:tr>
        <w:trPr/>
        <w:tc>
          <w:tcPr>
            <w:tcW w:w="2352" w:type="dxa"/>
            <w:vMerge w:val="continue"/>
            <w:tcBorders/>
            <w:vAlign w:val="center"/>
          </w:tcPr>
          <w:p>
            <w:pPr>
              <w:pStyle w:val="Normal"/>
              <w:bidi w:val="0"/>
              <w:jc w:val="left"/>
              <w:rPr/>
            </w:pPr>
            <w:r>
              <w:rPr/>
            </w:r>
          </w:p>
        </w:tc>
        <w:tc>
          <w:tcPr>
            <w:tcW w:w="60" w:type="dxa"/>
            <w:tcBorders/>
            <w:shd w:fill="E8F4FF" w:val="clear"/>
            <w:vAlign w:val="center"/>
          </w:tcPr>
          <w:p>
            <w:pPr>
              <w:pStyle w:val="TableContents"/>
              <w:bidi w:val="0"/>
              <w:spacing w:before="0" w:after="283"/>
              <w:jc w:val="left"/>
              <w:rPr/>
            </w:pPr>
            <w:r>
              <w:rPr/>
              <w:t> </w:t>
            </w:r>
          </w:p>
        </w:tc>
        <w:tc>
          <w:tcPr>
            <w:tcW w:w="7793" w:type="dxa"/>
            <w:tcBorders/>
            <w:shd w:fill="E8F4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393FF"/>
                <w:sz w:val="18"/>
              </w:rPr>
            </w:pPr>
            <w:r>
              <w:rPr>
                <w:rFonts w:ascii="ARIAL" w:hAnsi="ARIAL"/>
                <w:b/>
                <w:color w:val="2393FF"/>
                <w:sz w:val="18"/>
              </w:rPr>
              <w:t>We believe Ms. Jaques is qualified to serve on our Board of Directors because of her broad experience in risk management and financial expertise, as well as the payments and financial services industry.</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40" w:after="0"/>
        <w:jc w:val="left"/>
        <w:rPr>
          <w:rFonts w:ascii="ARIAL" w:hAnsi="ARIAL"/>
          <w:sz w:val="18"/>
        </w:rPr>
      </w:pPr>
      <w:r>
        <w:rPr>
          <w:rFonts w:ascii="ARIAL" w:hAnsi="ARIAL"/>
          <w:sz w:val="18"/>
        </w:rPr>
        <w:t xml:space="preserve">There are no family relationships among any of our directors or executive officers. See “Corporate Governance” below for additional information regarding our Board of Directors.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  12  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393FF"/>
          <w:sz w:val="18"/>
        </w:rPr>
      </w:pPr>
      <w:bookmarkStart w:id="15" w:name="toc917810_13"/>
      <w:bookmarkEnd w:id="15"/>
      <w:r>
        <w:rPr>
          <w:rFonts w:ascii="ARIAL" w:hAnsi="ARIAL"/>
          <w:b/>
          <w:color w:val="2393FF"/>
          <w:sz w:val="18"/>
        </w:rPr>
        <w:t xml:space="preserve">PROPOSAL TWO: </w:t>
      </w:r>
    </w:p>
    <w:p>
      <w:pPr>
        <w:pStyle w:val="TextBody"/>
        <w:bidi w:val="0"/>
        <w:spacing w:before="120" w:after="0"/>
        <w:jc w:val="left"/>
        <w:rPr>
          <w:rFonts w:ascii="ARIAL" w:hAnsi="ARIAL"/>
          <w:b/>
          <w:color w:val="2393FF"/>
          <w:sz w:val="56"/>
        </w:rPr>
      </w:pPr>
      <w:r>
        <w:rPr>
          <w:rFonts w:ascii="ARIAL" w:hAnsi="ARIAL"/>
          <w:b/>
          <w:color w:val="2393FF"/>
          <w:sz w:val="56"/>
        </w:rPr>
        <w:t xml:space="preserve">Ratification of the Appointment of Independent Registered Public Accounting Firm </w:t>
      </w:r>
    </w:p>
    <w:p>
      <w:pPr>
        <w:pStyle w:val="TextBody"/>
        <w:bidi w:val="0"/>
        <w:spacing w:before="0" w:after="0"/>
        <w:jc w:val="left"/>
        <w:rPr/>
      </w:pPr>
      <w:r>
        <w:rPr/>
        <w:t> </w:t>
      </w:r>
    </w:p>
    <w:p>
      <w:pPr>
        <w:pStyle w:val="TextBody"/>
        <w:bidi w:val="0"/>
        <w:spacing w:lineRule="atLeast" w:line="142" w:before="0" w:after="40"/>
        <w:jc w:val="left"/>
        <w:rPr>
          <w:bdr w:val="single" w:sz="2" w:space="1" w:color="2393FF"/>
        </w:rPr>
      </w:pPr>
      <w:r>
        <w:rPr>
          <w:bdr w:val="single" w:sz="2" w:space="1" w:color="2393FF"/>
        </w:rPr>
        <w:t> </w:t>
      </w:r>
    </w:p>
    <w:p>
      <w:pPr>
        <w:pStyle w:val="TextBody"/>
        <w:bidi w:val="0"/>
        <w:spacing w:before="100" w:after="0"/>
        <w:jc w:val="left"/>
        <w:rPr>
          <w:rFonts w:ascii="ARIAL" w:hAnsi="ARIAL"/>
          <w:sz w:val="18"/>
        </w:rPr>
      </w:pPr>
      <w:bookmarkStart w:id="16" w:name="toc917810_14"/>
      <w:bookmarkEnd w:id="16"/>
      <w:r>
        <w:rPr>
          <w:rFonts w:ascii="ARIAL" w:hAnsi="ARIAL"/>
          <w:sz w:val="18"/>
        </w:rPr>
        <w:t xml:space="preserve">GENERAL </w:t>
      </w:r>
    </w:p>
    <w:p>
      <w:pPr>
        <w:pStyle w:val="TextBody"/>
        <w:bidi w:val="0"/>
        <w:spacing w:before="200" w:after="0"/>
        <w:jc w:val="left"/>
        <w:rPr>
          <w:rFonts w:ascii="ARIAL" w:hAnsi="ARIAL"/>
          <w:sz w:val="18"/>
        </w:rPr>
      </w:pPr>
      <w:r>
        <w:rPr>
          <w:rFonts w:ascii="ARIAL" w:hAnsi="ARIAL"/>
          <w:sz w:val="18"/>
        </w:rPr>
        <w:t xml:space="preserve">Our Audit Committee has appointed the firm of PricewaterhouseCoopers LLP, independent registered public accountants, to audit our financial statements for the year ending December 31, 2025. PricewaterhouseCoopers LLP has audited our financial statements since the fiscal year ended December 31, 2019. </w:t>
      </w:r>
    </w:p>
    <w:p>
      <w:pPr>
        <w:pStyle w:val="TextBody"/>
        <w:bidi w:val="0"/>
        <w:spacing w:before="200" w:after="0"/>
        <w:jc w:val="left"/>
        <w:rPr>
          <w:rFonts w:ascii="ARIAL" w:hAnsi="ARIAL"/>
          <w:sz w:val="18"/>
        </w:rPr>
      </w:pPr>
      <w:r>
        <w:rPr>
          <w:rFonts w:ascii="ARIAL" w:hAnsi="ARIAL"/>
          <w:sz w:val="18"/>
        </w:rPr>
        <w:t xml:space="preserve">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Flywire and its stockholders. At the Annual Meeting, the stockholders are being asked to ratify the appointment of PricewaterhouseCoopers LLP as our independent registered public accounting firm for the year ending December 31, 2025. Our Audit Committee is submitting the selection of PricewaterhouseCoopers LLP to our stockholders because we value our stockholders’ views on our independent registered public accounting firm and as a matter of good corporate governance. Representatives of PricewaterhouseCoopers LLP are expected to be present at the Annual Meeting and they will have an opportunity to make statements and will be available to respond to appropriate questions from stockholders. </w:t>
      </w:r>
    </w:p>
    <w:p>
      <w:pPr>
        <w:pStyle w:val="TextBody"/>
        <w:bidi w:val="0"/>
        <w:spacing w:before="200" w:after="0"/>
        <w:jc w:val="left"/>
        <w:rPr>
          <w:rFonts w:ascii="ARIAL" w:hAnsi="ARIAL"/>
          <w:sz w:val="18"/>
        </w:rPr>
      </w:pPr>
      <w:r>
        <w:rPr>
          <w:rFonts w:ascii="ARIAL" w:hAnsi="ARIAL"/>
          <w:sz w:val="18"/>
        </w:rPr>
        <w:t xml:space="preserve">If this proposal does not receive a “FOR” vote from the holders of a majority of the shares of common stock present in person or represented by proxy at the Annual Meeting and voted “FOR” or “AGAINST” the proposal, the Audit Committee would reconsider the appointment. Abstentions and broker non-votes will have no effect on this matter. </w:t>
      </w:r>
    </w:p>
    <w:p>
      <w:pPr>
        <w:pStyle w:val="TextBody"/>
        <w:bidi w:val="0"/>
        <w:spacing w:before="200" w:after="0"/>
        <w:jc w:val="left"/>
        <w:rPr>
          <w:rFonts w:ascii="ARIAL" w:hAnsi="ARIAL"/>
          <w:sz w:val="18"/>
        </w:rPr>
      </w:pPr>
      <w:bookmarkStart w:id="17" w:name="toc917810_15"/>
      <w:bookmarkEnd w:id="17"/>
      <w:r>
        <w:rPr>
          <w:rFonts w:ascii="ARIAL" w:hAnsi="ARIAL"/>
          <w:sz w:val="18"/>
        </w:rPr>
        <w:t xml:space="preserve">PRINCIPAL ACCOUNTING FEES AND SERVICES </w:t>
      </w:r>
    </w:p>
    <w:p>
      <w:pPr>
        <w:pStyle w:val="TextBody"/>
        <w:bidi w:val="0"/>
        <w:spacing w:before="200" w:after="0"/>
        <w:jc w:val="left"/>
        <w:rPr>
          <w:rFonts w:ascii="ARIAL" w:hAnsi="ARIAL"/>
          <w:sz w:val="18"/>
        </w:rPr>
      </w:pPr>
      <w:r>
        <w:rPr>
          <w:rFonts w:ascii="ARIAL" w:hAnsi="ARIAL"/>
          <w:sz w:val="18"/>
        </w:rPr>
        <w:t xml:space="preserve">The following table sets forth all fees paid or accrued by us for professional audit services and other services rendered by PricewaterhouseCoopers LLP during the years ended December 31, 2024 and 2023: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880"/>
        <w:gridCol w:w="120"/>
        <w:gridCol w:w="60"/>
        <w:gridCol w:w="980"/>
        <w:gridCol w:w="60"/>
        <w:gridCol w:w="240"/>
        <w:gridCol w:w="60"/>
        <w:gridCol w:w="980"/>
        <w:gridCol w:w="75"/>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b/>
              </w:rPr>
            </w:pPr>
            <w:r>
              <w:rPr>
                <w:b/>
              </w:rPr>
              <w:t>2024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b/>
              </w:rPr>
            </w:pPr>
            <w:r>
              <w:rPr>
                <w:b/>
              </w:rPr>
              <w:t xml:space="preserve">2023 ($) </w:t>
            </w:r>
          </w:p>
        </w:tc>
        <w:tc>
          <w:tcPr>
            <w:tcW w:w="75" w:type="dxa"/>
            <w:tcBorders/>
            <w:vAlign w:val="center"/>
          </w:tcPr>
          <w:p>
            <w:pPr>
              <w:pStyle w:val="TableContents"/>
              <w:bidi w:val="0"/>
              <w:spacing w:before="0" w:after="283"/>
              <w:jc w:val="left"/>
              <w:rPr/>
            </w:pPr>
            <w:r>
              <w:rPr/>
              <w:t> </w:t>
            </w:r>
          </w:p>
        </w:tc>
      </w:tr>
      <w:tr>
        <w:trPr/>
        <w:tc>
          <w:tcPr>
            <w:tcW w:w="1880" w:type="dxa"/>
            <w:tcBorders/>
            <w:shd w:fill="E8F4FF" w:val="clear"/>
            <w:vAlign w:val="center"/>
          </w:tcPr>
          <w:p>
            <w:pPr>
              <w:pStyle w:val="TableContents"/>
              <w:bidi w:val="0"/>
              <w:spacing w:before="0" w:after="283"/>
              <w:jc w:val="left"/>
              <w:rPr>
                <w:sz w:val="4"/>
                <w:szCs w:val="4"/>
              </w:rPr>
            </w:pPr>
            <w:r>
              <w:rPr>
                <w:sz w:val="4"/>
                <w:szCs w:val="4"/>
              </w:rPr>
            </w:r>
          </w:p>
        </w:tc>
        <w:tc>
          <w:tcPr>
            <w:tcW w:w="1220" w:type="dxa"/>
            <w:gridSpan w:val="4"/>
            <w:tcBorders/>
            <w:shd w:fill="E8F4FF" w:val="clear"/>
            <w:vAlign w:val="center"/>
          </w:tcPr>
          <w:p>
            <w:pPr>
              <w:pStyle w:val="TableContents"/>
              <w:bidi w:val="0"/>
              <w:spacing w:before="0" w:after="283"/>
              <w:jc w:val="left"/>
              <w:rPr>
                <w:sz w:val="4"/>
                <w:szCs w:val="4"/>
              </w:rPr>
            </w:pPr>
            <w:r>
              <w:rPr>
                <w:sz w:val="4"/>
                <w:szCs w:val="4"/>
              </w:rPr>
            </w:r>
          </w:p>
        </w:tc>
        <w:tc>
          <w:tcPr>
            <w:tcW w:w="135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880" w:type="dxa"/>
            <w:tcBorders/>
            <w:shd w:fill="E8F4FF" w:val="clear"/>
            <w:vAlign w:val="center"/>
          </w:tcPr>
          <w:p>
            <w:pPr>
              <w:pStyle w:val="TableContents"/>
              <w:bidi w:val="0"/>
              <w:spacing w:before="0" w:after="0"/>
              <w:jc w:val="left"/>
              <w:rPr>
                <w:color w:val="2393FF"/>
              </w:rPr>
            </w:pPr>
            <w:r>
              <w:rPr>
                <w:color w:val="2393FF"/>
              </w:rPr>
              <w:t> </w:t>
            </w:r>
            <w:r>
              <w:rPr>
                <w:rFonts w:ascii="ARIAL" w:hAnsi="ARIAL"/>
                <w:b/>
                <w:color w:val="2393FF"/>
                <w:sz w:val="16"/>
              </w:rPr>
              <w:t>Audit Fees(1)</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980" w:type="dxa"/>
            <w:tcBorders/>
            <w:shd w:fill="E8F4FF" w:val="clear"/>
            <w:vAlign w:val="center"/>
          </w:tcPr>
          <w:p>
            <w:pPr>
              <w:pStyle w:val="TableContents"/>
              <w:bidi w:val="0"/>
              <w:spacing w:before="0" w:after="283"/>
              <w:jc w:val="right"/>
              <w:rPr/>
            </w:pPr>
            <w:r>
              <w:rPr/>
              <w:t>3,269,960</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980" w:type="dxa"/>
            <w:tcBorders/>
            <w:shd w:fill="E8F4FF" w:val="clear"/>
            <w:vAlign w:val="center"/>
          </w:tcPr>
          <w:p>
            <w:pPr>
              <w:pStyle w:val="TableContents"/>
              <w:bidi w:val="0"/>
              <w:spacing w:before="0" w:after="283"/>
              <w:jc w:val="right"/>
              <w:rPr/>
            </w:pPr>
            <w:r>
              <w:rPr/>
              <w:t>3,815,904</w:t>
            </w:r>
          </w:p>
        </w:tc>
        <w:tc>
          <w:tcPr>
            <w:tcW w:w="75" w:type="dxa"/>
            <w:tcBorders/>
            <w:shd w:fill="E8F4FF" w:val="cle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0"/>
              <w:jc w:val="left"/>
              <w:rPr>
                <w:color w:val="2393FF"/>
              </w:rPr>
            </w:pPr>
            <w:r>
              <w:rPr>
                <w:color w:val="2393FF"/>
              </w:rPr>
              <w:t> </w:t>
            </w:r>
            <w:r>
              <w:rPr>
                <w:rFonts w:ascii="ARIAL" w:hAnsi="ARIAL"/>
                <w:b/>
                <w:color w:val="2393FF"/>
                <w:sz w:val="16"/>
              </w:rPr>
              <w:t>Audit-Related Fees(2)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176,089</w:t>
            </w:r>
          </w:p>
        </w:tc>
        <w:tc>
          <w:tcPr>
            <w:tcW w:w="75" w:type="dxa"/>
            <w:tcBorders/>
            <w:vAlign w:val="center"/>
          </w:tcPr>
          <w:p>
            <w:pPr>
              <w:pStyle w:val="TableContents"/>
              <w:bidi w:val="0"/>
              <w:spacing w:before="0" w:after="283"/>
              <w:jc w:val="left"/>
              <w:rPr/>
            </w:pPr>
            <w:r>
              <w:rPr/>
              <w:t> </w:t>
            </w:r>
          </w:p>
        </w:tc>
      </w:tr>
      <w:tr>
        <w:trPr/>
        <w:tc>
          <w:tcPr>
            <w:tcW w:w="1880" w:type="dxa"/>
            <w:tcBorders/>
            <w:shd w:fill="E8F4FF" w:val="clear"/>
            <w:vAlign w:val="center"/>
          </w:tcPr>
          <w:p>
            <w:pPr>
              <w:pStyle w:val="TableContents"/>
              <w:bidi w:val="0"/>
              <w:spacing w:before="0" w:after="283"/>
              <w:jc w:val="left"/>
              <w:rPr>
                <w:sz w:val="4"/>
                <w:szCs w:val="4"/>
              </w:rPr>
            </w:pPr>
            <w:r>
              <w:rPr>
                <w:sz w:val="4"/>
                <w:szCs w:val="4"/>
              </w:rPr>
            </w:r>
          </w:p>
        </w:tc>
        <w:tc>
          <w:tcPr>
            <w:tcW w:w="1220" w:type="dxa"/>
            <w:gridSpan w:val="4"/>
            <w:tcBorders/>
            <w:shd w:fill="E8F4FF" w:val="clear"/>
            <w:vAlign w:val="center"/>
          </w:tcPr>
          <w:p>
            <w:pPr>
              <w:pStyle w:val="TableContents"/>
              <w:bidi w:val="0"/>
              <w:spacing w:before="0" w:after="283"/>
              <w:jc w:val="left"/>
              <w:rPr>
                <w:sz w:val="4"/>
                <w:szCs w:val="4"/>
              </w:rPr>
            </w:pPr>
            <w:r>
              <w:rPr>
                <w:sz w:val="4"/>
                <w:szCs w:val="4"/>
              </w:rPr>
            </w:r>
          </w:p>
        </w:tc>
        <w:tc>
          <w:tcPr>
            <w:tcW w:w="135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880" w:type="dxa"/>
            <w:tcBorders/>
            <w:shd w:fill="E8F4FF" w:val="clear"/>
            <w:vAlign w:val="center"/>
          </w:tcPr>
          <w:p>
            <w:pPr>
              <w:pStyle w:val="TableContents"/>
              <w:bidi w:val="0"/>
              <w:spacing w:before="0" w:after="0"/>
              <w:jc w:val="left"/>
              <w:rPr>
                <w:color w:val="2393FF"/>
              </w:rPr>
            </w:pPr>
            <w:r>
              <w:rPr>
                <w:color w:val="2393FF"/>
              </w:rPr>
              <w:t> </w:t>
            </w:r>
            <w:r>
              <w:rPr>
                <w:rFonts w:ascii="ARIAL" w:hAnsi="ARIAL"/>
                <w:b/>
                <w:color w:val="2393FF"/>
                <w:sz w:val="16"/>
              </w:rPr>
              <w:t>Tax Fees(3)</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980" w:type="dxa"/>
            <w:tcBorders/>
            <w:shd w:fill="E8F4FF" w:val="clear"/>
            <w:vAlign w:val="center"/>
          </w:tcPr>
          <w:p>
            <w:pPr>
              <w:pStyle w:val="TableContents"/>
              <w:bidi w:val="0"/>
              <w:spacing w:before="0" w:after="283"/>
              <w:jc w:val="right"/>
              <w:rPr/>
            </w:pPr>
            <w:r>
              <w:rPr/>
              <w:t>915,000</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980" w:type="dxa"/>
            <w:tcBorders/>
            <w:shd w:fill="E8F4FF" w:val="clear"/>
            <w:vAlign w:val="center"/>
          </w:tcPr>
          <w:p>
            <w:pPr>
              <w:pStyle w:val="TableContents"/>
              <w:bidi w:val="0"/>
              <w:spacing w:before="0" w:after="283"/>
              <w:jc w:val="right"/>
              <w:rPr/>
            </w:pPr>
            <w:r>
              <w:rPr/>
              <w:t>630,002</w:t>
            </w:r>
          </w:p>
        </w:tc>
        <w:tc>
          <w:tcPr>
            <w:tcW w:w="75" w:type="dxa"/>
            <w:tcBorders/>
            <w:shd w:fill="E8F4FF" w:val="cle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0"/>
              <w:jc w:val="left"/>
              <w:rPr>
                <w:color w:val="2393FF"/>
              </w:rPr>
            </w:pPr>
            <w:r>
              <w:rPr>
                <w:color w:val="2393FF"/>
              </w:rPr>
              <w:t> </w:t>
            </w:r>
            <w:r>
              <w:rPr>
                <w:rFonts w:ascii="ARIAL" w:hAnsi="ARIAL"/>
                <w:b/>
                <w:color w:val="2393FF"/>
                <w:sz w:val="16"/>
              </w:rPr>
              <w:t>All Other Fees(4)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2,125</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2,125</w:t>
            </w:r>
          </w:p>
        </w:tc>
        <w:tc>
          <w:tcPr>
            <w:tcW w:w="75" w:type="dxa"/>
            <w:tcBorders/>
            <w:vAlign w:val="center"/>
          </w:tcPr>
          <w:p>
            <w:pPr>
              <w:pStyle w:val="TableContents"/>
              <w:bidi w:val="0"/>
              <w:spacing w:before="0" w:after="283"/>
              <w:jc w:val="left"/>
              <w:rPr/>
            </w:pPr>
            <w:r>
              <w:rPr/>
              <w:t> </w:t>
            </w:r>
          </w:p>
        </w:tc>
      </w:tr>
      <w:tr>
        <w:trPr/>
        <w:tc>
          <w:tcPr>
            <w:tcW w:w="1880" w:type="dxa"/>
            <w:tcBorders/>
            <w:shd w:fill="E8F4FF" w:val="clear"/>
            <w:vAlign w:val="center"/>
          </w:tcPr>
          <w:p>
            <w:pPr>
              <w:pStyle w:val="TableContents"/>
              <w:bidi w:val="0"/>
              <w:spacing w:before="0" w:after="283"/>
              <w:jc w:val="left"/>
              <w:rPr>
                <w:sz w:val="4"/>
                <w:szCs w:val="4"/>
              </w:rPr>
            </w:pPr>
            <w:r>
              <w:rPr>
                <w:sz w:val="4"/>
                <w:szCs w:val="4"/>
              </w:rPr>
            </w:r>
          </w:p>
        </w:tc>
        <w:tc>
          <w:tcPr>
            <w:tcW w:w="1220" w:type="dxa"/>
            <w:gridSpan w:val="4"/>
            <w:tcBorders/>
            <w:shd w:fill="E8F4FF" w:val="clear"/>
            <w:vAlign w:val="center"/>
          </w:tcPr>
          <w:p>
            <w:pPr>
              <w:pStyle w:val="TableContents"/>
              <w:bidi w:val="0"/>
              <w:spacing w:before="0" w:after="283"/>
              <w:jc w:val="left"/>
              <w:rPr>
                <w:sz w:val="4"/>
                <w:szCs w:val="4"/>
              </w:rPr>
            </w:pPr>
            <w:r>
              <w:rPr>
                <w:sz w:val="4"/>
                <w:szCs w:val="4"/>
              </w:rPr>
            </w:r>
          </w:p>
        </w:tc>
        <w:tc>
          <w:tcPr>
            <w:tcW w:w="135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2393FF"/>
            </w:tcBorders>
            <w:shd w:fill="E8F4FF" w:val="clear"/>
            <w:tcMar>
              <w:bottom w:w="120" w:type="dxa"/>
            </w:tcMar>
            <w:vAlign w:val="center"/>
          </w:tcPr>
          <w:p>
            <w:pPr>
              <w:pStyle w:val="TableContents"/>
              <w:bidi w:val="0"/>
              <w:spacing w:before="0" w:after="0"/>
              <w:jc w:val="left"/>
              <w:rPr>
                <w:color w:val="2393FF"/>
              </w:rPr>
            </w:pPr>
            <w:r>
              <w:rPr>
                <w:color w:val="2393FF"/>
              </w:rPr>
              <w:t> </w:t>
            </w:r>
            <w:r>
              <w:rPr>
                <w:rFonts w:ascii="ARIAL" w:hAnsi="ARIAL"/>
                <w:b/>
                <w:color w:val="2393FF"/>
                <w:sz w:val="16"/>
              </w:rPr>
              <w:t>Total Fees</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980" w:type="dxa"/>
            <w:tcBorders>
              <w:bottom w:val="single" w:sz="6" w:space="0" w:color="2393FF"/>
            </w:tcBorders>
            <w:shd w:fill="E8F4FF" w:val="clear"/>
            <w:tcMar>
              <w:bottom w:w="120" w:type="dxa"/>
            </w:tcMar>
            <w:vAlign w:val="center"/>
          </w:tcPr>
          <w:p>
            <w:pPr>
              <w:pStyle w:val="TableContents"/>
              <w:bidi w:val="0"/>
              <w:spacing w:before="0" w:after="283"/>
              <w:jc w:val="right"/>
              <w:rPr/>
            </w:pPr>
            <w:r>
              <w:rPr/>
              <w:t>4,187,085</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24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980" w:type="dxa"/>
            <w:tcBorders>
              <w:bottom w:val="single" w:sz="6" w:space="0" w:color="2393FF"/>
            </w:tcBorders>
            <w:shd w:fill="E8F4FF" w:val="clear"/>
            <w:tcMar>
              <w:bottom w:w="120" w:type="dxa"/>
            </w:tcMar>
            <w:vAlign w:val="center"/>
          </w:tcPr>
          <w:p>
            <w:pPr>
              <w:pStyle w:val="TableContents"/>
              <w:bidi w:val="0"/>
              <w:spacing w:before="0" w:after="283"/>
              <w:jc w:val="right"/>
              <w:rPr/>
            </w:pPr>
            <w:r>
              <w:rPr/>
              <w:t>4,624,120</w:t>
            </w:r>
          </w:p>
        </w:tc>
        <w:tc>
          <w:tcPr>
            <w:tcW w:w="75"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color w:val="333333"/>
              </w:rPr>
            </w:pPr>
            <w:r>
              <w:rPr>
                <w:color w:val="333333"/>
              </w:rPr>
              <w:t>(1)</w:t>
            </w:r>
          </w:p>
        </w:tc>
        <w:tc>
          <w:tcPr>
            <w:tcW w:w="9957"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Consists of fees billed for professional services rendered in connection with the annual audit of our consolidated financial statements and internal controls over financial reporting, including audited financial statements presented in the 2024 Annual Report, reviews of our interim unaudited consolidated financial statements included in our quarterly reports, and issuances of consents and services normally provided in connection with regulatory filings. Fees billed for the year ended December 31, 2023 also included services rendered in connection with our follow-on public offering in August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color w:val="333333"/>
              </w:rPr>
            </w:pPr>
            <w:r>
              <w:rPr>
                <w:color w:val="333333"/>
              </w:rPr>
              <w:t>(2)</w:t>
            </w:r>
          </w:p>
        </w:tc>
        <w:tc>
          <w:tcPr>
            <w:tcW w:w="9948"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Consists of fees billed for assurance services that are reasonably related to the performance of the audit or review of our consolidated financial statements and are not reported under “Audit Fees”. For the year ended December 31, 2024, there were no audit-related fees incurred for professional services. For the year ended December 31, 2023, services rendered related to acquisition due diligence procedures.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color w:val="333333"/>
              </w:rPr>
            </w:pPr>
            <w:r>
              <w:rPr>
                <w:color w:val="333333"/>
              </w:rPr>
              <w:t>(3)</w:t>
            </w:r>
          </w:p>
        </w:tc>
        <w:tc>
          <w:tcPr>
            <w:tcW w:w="9931"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Consists of fees billed for professional services for tax compliance, tax advice and tax planning. For both the years ended December 31, 2024 and December 31, 2023, these services included assistance regarding federal, state and international tax compliance. </w:t>
            </w:r>
          </w:p>
        </w:tc>
      </w:tr>
    </w:tbl>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305"/>
        <w:gridCol w:w="6215"/>
      </w:tblGrid>
      <w:tr>
        <w:trPr/>
        <w:tc>
          <w:tcPr>
            <w:tcW w:w="305" w:type="dxa"/>
            <w:tcBorders/>
            <w:vAlign w:val="center"/>
          </w:tcPr>
          <w:p>
            <w:pPr>
              <w:pStyle w:val="TableContents"/>
              <w:bidi w:val="0"/>
              <w:spacing w:before="0" w:after="283"/>
              <w:jc w:val="left"/>
              <w:rPr>
                <w:color w:val="333333"/>
              </w:rPr>
            </w:pPr>
            <w:r>
              <w:rPr>
                <w:color w:val="333333"/>
              </w:rPr>
              <w:t>(4)</w:t>
            </w:r>
          </w:p>
        </w:tc>
        <w:tc>
          <w:tcPr>
            <w:tcW w:w="621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Consists of fees for permitted products and services other than those that meet the criteria above.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  13  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bookmarkStart w:id="18" w:name="toc917810_16"/>
      <w:bookmarkEnd w:id="18"/>
      <w:r>
        <w:rPr>
          <w:rFonts w:ascii="ARIAL" w:hAnsi="ARIAL"/>
          <w:sz w:val="18"/>
        </w:rPr>
        <w:t xml:space="preserve">PRE-APPROVAL OF AUDIT AND NON-AUDIT SERVICES </w:t>
      </w:r>
    </w:p>
    <w:p>
      <w:pPr>
        <w:pStyle w:val="TextBody"/>
        <w:bidi w:val="0"/>
        <w:spacing w:before="200" w:after="0"/>
        <w:jc w:val="left"/>
        <w:rPr>
          <w:rFonts w:ascii="ARIAL" w:hAnsi="ARIAL"/>
          <w:sz w:val="18"/>
        </w:rPr>
      </w:pPr>
      <w:r>
        <w:rPr>
          <w:rFonts w:ascii="ARIAL" w:hAnsi="ARIAL"/>
          <w:sz w:val="18"/>
        </w:rPr>
        <w:t xml:space="preserve">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of the Audit Committee if such approval is needed on a time urgent basis) generally pre-approves of all audit and permissible non-audit services provided by the independent registered public accounting firm. These services may include audit services, audit-related services, tax services and other services. </w:t>
      </w:r>
    </w:p>
    <w:p>
      <w:pPr>
        <w:pStyle w:val="TextBody"/>
        <w:bidi w:val="0"/>
        <w:spacing w:before="0" w:after="0"/>
        <w:jc w:val="left"/>
        <w:rPr/>
      </w:pPr>
      <w:r>
        <w:rPr/>
        <w:t> </w:t>
      </w:r>
    </w:p>
    <w:p>
      <w:pPr>
        <w:pStyle w:val="TextBody"/>
        <w:pBdr/>
        <w:bidi w:val="0"/>
        <w:spacing w:before="0" w:after="120"/>
        <w:jc w:val="left"/>
        <w:rPr>
          <w:rFonts w:ascii="ARIAL" w:hAnsi="ARIAL"/>
          <w:b/>
          <w:color w:val="2393FF"/>
          <w:sz w:val="18"/>
          <w:shd w:fill="E8F4FF" w:val="clear"/>
        </w:rPr>
      </w:pPr>
      <w:r>
        <w:rPr>
          <w:rFonts w:ascii="ARIAL" w:hAnsi="ARIAL"/>
          <w:b/>
          <w:color w:val="2393FF"/>
          <w:sz w:val="18"/>
          <w:shd w:fill="E8F4FF" w:val="clear"/>
        </w:rPr>
        <w:t xml:space="preserve">Our Board of Directors unanimously recommends a vote “FOR” ratification of the appointment of PricewaterhouseCoopers LLP as our independent registered public accounting firm for the year ending December 31, 2025.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  14  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393FF"/>
          <w:sz w:val="18"/>
        </w:rPr>
      </w:pPr>
      <w:bookmarkStart w:id="19" w:name="toc917810_17"/>
      <w:bookmarkEnd w:id="19"/>
      <w:r>
        <w:rPr>
          <w:rFonts w:ascii="ARIAL" w:hAnsi="ARIAL"/>
          <w:b/>
          <w:color w:val="2393FF"/>
          <w:sz w:val="18"/>
        </w:rPr>
        <w:t xml:space="preserve">PROPOSAL THREE: </w:t>
      </w:r>
    </w:p>
    <w:p>
      <w:pPr>
        <w:pStyle w:val="TextBody"/>
        <w:bidi w:val="0"/>
        <w:spacing w:before="0" w:after="0"/>
        <w:jc w:val="left"/>
        <w:rPr>
          <w:rFonts w:ascii="ARIAL" w:hAnsi="ARIAL"/>
          <w:b/>
          <w:color w:val="2393FF"/>
          <w:sz w:val="56"/>
        </w:rPr>
      </w:pPr>
      <w:r>
        <w:rPr>
          <w:rFonts w:ascii="ARIAL" w:hAnsi="ARIAL"/>
          <w:b/>
          <w:color w:val="2393FF"/>
          <w:sz w:val="56"/>
        </w:rPr>
        <w:t xml:space="preserve">Advisory Vote On Executive Compensation </w:t>
      </w:r>
    </w:p>
    <w:p>
      <w:pPr>
        <w:pStyle w:val="TextBody"/>
        <w:bidi w:val="0"/>
        <w:spacing w:before="0" w:after="0"/>
        <w:jc w:val="left"/>
        <w:rPr/>
      </w:pPr>
      <w:r>
        <w:rPr/>
        <w:t> </w:t>
      </w:r>
    </w:p>
    <w:p>
      <w:pPr>
        <w:pStyle w:val="TextBody"/>
        <w:bidi w:val="0"/>
        <w:spacing w:lineRule="atLeast" w:line="142" w:before="0" w:after="40"/>
        <w:jc w:val="left"/>
        <w:rPr>
          <w:bdr w:val="single" w:sz="2" w:space="1" w:color="2393FF"/>
        </w:rPr>
      </w:pPr>
      <w:r>
        <w:rPr>
          <w:bdr w:val="single" w:sz="2" w:space="1" w:color="2393FF"/>
        </w:rPr>
        <w:t> </w:t>
      </w:r>
    </w:p>
    <w:p>
      <w:pPr>
        <w:pStyle w:val="TextBody"/>
        <w:bidi w:val="0"/>
        <w:spacing w:before="200" w:after="0"/>
        <w:jc w:val="left"/>
        <w:rPr>
          <w:rFonts w:ascii="ARIAL" w:hAnsi="ARIAL"/>
          <w:sz w:val="18"/>
        </w:rPr>
      </w:pPr>
      <w:r>
        <w:rPr>
          <w:rFonts w:ascii="ARIAL" w:hAnsi="ARIAL"/>
          <w:sz w:val="18"/>
        </w:rPr>
        <w:t xml:space="preserve">In accordance with Section 14A of the Exchange Act and as a matter of good corporate governance, our Board of Directors is providing the stockholders with the opportunity to vote to approve, on a non-binding, advisory basis, the compensation of our named executive officers as described in the section below entitled “Executive Officer Compensation” and accompanying compensation tables, and as discussed in the related narrative disclosure below. This advisory vote is commonly referred to as a “say-on-pay” vote. Stockholders may express their views on the design and effectiveness of our executive compensation program by abstaining or voting “For” or “Against” approval, on a non-binding, advisory basis, of the compensation of our named executive officers. This vote is not intended to address any specific element of compensation, but rather the overall compensation of the named executive officers. </w:t>
      </w:r>
    </w:p>
    <w:p>
      <w:pPr>
        <w:pStyle w:val="TextBody"/>
        <w:bidi w:val="0"/>
        <w:spacing w:before="200" w:after="0"/>
        <w:jc w:val="left"/>
        <w:rPr>
          <w:rFonts w:ascii="ARIAL" w:hAnsi="ARIAL"/>
          <w:sz w:val="18"/>
        </w:rPr>
      </w:pPr>
      <w:r>
        <w:rPr>
          <w:rFonts w:ascii="ARIAL" w:hAnsi="ARIAL"/>
          <w:sz w:val="18"/>
        </w:rPr>
        <w:t xml:space="preserve">COMPENSATION PROGRAM AND PHILOSOPHY </w:t>
      </w:r>
    </w:p>
    <w:p>
      <w:pPr>
        <w:pStyle w:val="TextBody"/>
        <w:bidi w:val="0"/>
        <w:spacing w:before="200" w:after="0"/>
        <w:jc w:val="left"/>
        <w:rPr>
          <w:rFonts w:ascii="ARIAL" w:hAnsi="ARIAL"/>
          <w:sz w:val="18"/>
        </w:rPr>
      </w:pPr>
      <w:r>
        <w:rPr>
          <w:rFonts w:ascii="ARIAL" w:hAnsi="ARIAL"/>
          <w:sz w:val="18"/>
        </w:rPr>
        <w:t xml:space="preserve">Our executive compensation philosophy and programs are designed to be market-competitive, enabling Flywire to attract and retain top talent in a highly-competitive global technology market. We believe that our executive compensation programs foster a performance-oriented culture that aligns our executives’ interests with those of our stockholders over the long term. We believe that the compensation of our executives is both appropriate for and responsive to the goal of improving stockholder value. Specifically, our total executive compensation is heavily weighted toward equity incentive compensation. </w:t>
      </w:r>
    </w:p>
    <w:p>
      <w:pPr>
        <w:pStyle w:val="TextBody"/>
        <w:bidi w:val="0"/>
        <w:spacing w:before="200" w:after="0"/>
        <w:jc w:val="left"/>
        <w:rPr>
          <w:rFonts w:ascii="ARIAL" w:hAnsi="ARIAL"/>
          <w:sz w:val="18"/>
        </w:rPr>
      </w:pPr>
      <w:r>
        <w:rPr>
          <w:rFonts w:ascii="ARIAL" w:hAnsi="ARIAL"/>
          <w:sz w:val="18"/>
        </w:rPr>
        <w:t xml:space="preserve">COMPENSATION DISCUSSION AND ANALYSIS </w:t>
      </w:r>
    </w:p>
    <w:p>
      <w:pPr>
        <w:pStyle w:val="TextBody"/>
        <w:bidi w:val="0"/>
        <w:spacing w:before="200" w:after="0"/>
        <w:jc w:val="left"/>
        <w:rPr>
          <w:rFonts w:ascii="ARIAL" w:hAnsi="ARIAL"/>
          <w:sz w:val="18"/>
        </w:rPr>
      </w:pPr>
      <w:r>
        <w:rPr>
          <w:rFonts w:ascii="ARIAL" w:hAnsi="ARIAL"/>
          <w:sz w:val="18"/>
        </w:rPr>
        <w:t xml:space="preserve">Stockholders are urged to read the “Compensation Discussion and Analysis” section of this Proxy Statement and the tables and narrative discussion that follow for detail about our executive compensation programs, including information about the fiscal year 2024 compensation of our named executive officers. </w:t>
      </w:r>
    </w:p>
    <w:p>
      <w:pPr>
        <w:pStyle w:val="TextBody"/>
        <w:bidi w:val="0"/>
        <w:spacing w:before="200" w:after="0"/>
        <w:jc w:val="left"/>
        <w:rPr>
          <w:rFonts w:ascii="ARIAL" w:hAnsi="ARIAL"/>
          <w:sz w:val="18"/>
        </w:rPr>
      </w:pPr>
      <w:r>
        <w:rPr>
          <w:rFonts w:ascii="ARIAL" w:hAnsi="ARIAL"/>
          <w:sz w:val="18"/>
        </w:rPr>
        <w:t xml:space="preserve">REQUIRED VOTE AND RECOMMENDATION OF THE BOARD OF DIRECTORS FOR PROPOSAL 3 </w:t>
      </w:r>
    </w:p>
    <w:p>
      <w:pPr>
        <w:pStyle w:val="TextBody"/>
        <w:bidi w:val="0"/>
        <w:spacing w:before="200" w:after="0"/>
        <w:jc w:val="left"/>
        <w:rPr>
          <w:rFonts w:ascii="ARIAL" w:hAnsi="ARIAL"/>
          <w:sz w:val="18"/>
        </w:rPr>
      </w:pPr>
      <w:r>
        <w:rPr>
          <w:rFonts w:ascii="ARIAL" w:hAnsi="ARIAL"/>
          <w:sz w:val="18"/>
        </w:rPr>
        <w:t xml:space="preserve">A “FOR” vote from the holders of a majority of the shares of common stock present in person or represented by proxy at the Annual Meeting and voted “FOR” or “AGAINST” the proposal is required to approve, on a non-binding, advisory basis, the compensation of our named executive officers. Abstentions and broker non-votes will not be counted “For” or “Against” this proposal and will have no effect on this proposal. </w:t>
      </w:r>
    </w:p>
    <w:p>
      <w:pPr>
        <w:pStyle w:val="TextBody"/>
        <w:bidi w:val="0"/>
        <w:spacing w:before="200" w:after="0"/>
        <w:jc w:val="left"/>
        <w:rPr>
          <w:rFonts w:ascii="ARIAL" w:hAnsi="ARIAL"/>
          <w:sz w:val="18"/>
        </w:rPr>
      </w:pPr>
      <w:r>
        <w:rPr>
          <w:rFonts w:ascii="ARIAL" w:hAnsi="ARIAL"/>
          <w:sz w:val="18"/>
        </w:rPr>
        <w:t xml:space="preserve">Because say-on-pay votes are advisory and non-binding, voting results cannot overrule any decisions made by the Board of Directors or People &amp; Compensation Committee. However, our People &amp; Compensation Committee will take into account the outcome of the vote when considering future compensation arrangements for our named executive officers. </w:t>
      </w:r>
    </w:p>
    <w:p>
      <w:pPr>
        <w:pStyle w:val="TextBody"/>
        <w:bidi w:val="0"/>
        <w:spacing w:before="0" w:after="0"/>
        <w:jc w:val="left"/>
        <w:rPr/>
      </w:pPr>
      <w:r>
        <w:rPr/>
        <w:t> </w:t>
      </w:r>
    </w:p>
    <w:p>
      <w:pPr>
        <w:pStyle w:val="TextBody"/>
        <w:pBdr/>
        <w:bidi w:val="0"/>
        <w:spacing w:before="0" w:after="120"/>
        <w:jc w:val="left"/>
        <w:rPr>
          <w:rFonts w:ascii="ARIAL" w:hAnsi="ARIAL"/>
          <w:b/>
          <w:color w:val="2393FF"/>
          <w:sz w:val="18"/>
          <w:shd w:fill="E8F4FF" w:val="clear"/>
        </w:rPr>
      </w:pPr>
      <w:r>
        <w:rPr>
          <w:rFonts w:ascii="ARIAL" w:hAnsi="ARIAL"/>
          <w:b/>
          <w:color w:val="2393FF"/>
          <w:sz w:val="18"/>
          <w:shd w:fill="E8F4FF" w:val="clear"/>
        </w:rPr>
        <w:t xml:space="preserve">The Board of Directors unanimously recommends a vote “FOR” approval, on a non-binding, advisory basis, of the compensation of our named executive officers.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  15  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393FF"/>
          <w:sz w:val="56"/>
        </w:rPr>
      </w:pPr>
      <w:bookmarkStart w:id="20" w:name="toc917810_18"/>
      <w:bookmarkEnd w:id="20"/>
      <w:r>
        <w:rPr>
          <w:rFonts w:ascii="ARIAL" w:hAnsi="ARIAL"/>
          <w:b/>
          <w:color w:val="2393FF"/>
          <w:sz w:val="56"/>
        </w:rPr>
        <w:t xml:space="preserve">Corporate Governance </w:t>
      </w:r>
    </w:p>
    <w:p>
      <w:pPr>
        <w:pStyle w:val="TextBody"/>
        <w:bidi w:val="0"/>
        <w:spacing w:before="0" w:after="0"/>
        <w:jc w:val="left"/>
        <w:rPr/>
      </w:pPr>
      <w:r>
        <w:rPr/>
        <w:t> </w:t>
      </w:r>
    </w:p>
    <w:p>
      <w:pPr>
        <w:pStyle w:val="TextBody"/>
        <w:bidi w:val="0"/>
        <w:spacing w:lineRule="atLeast" w:line="142" w:before="0" w:after="40"/>
        <w:jc w:val="left"/>
        <w:rPr>
          <w:bdr w:val="single" w:sz="2" w:space="1" w:color="2393FF"/>
        </w:rPr>
      </w:pPr>
      <w:r>
        <w:rPr>
          <w:bdr w:val="single" w:sz="2" w:space="1" w:color="2393FF"/>
        </w:rPr>
        <w:t> </w:t>
      </w:r>
    </w:p>
    <w:p>
      <w:pPr>
        <w:pStyle w:val="TextBody"/>
        <w:bidi w:val="0"/>
        <w:spacing w:before="200" w:after="0"/>
        <w:jc w:val="left"/>
        <w:rPr>
          <w:rFonts w:ascii="ARIAL" w:hAnsi="ARIAL"/>
          <w:sz w:val="18"/>
        </w:rPr>
      </w:pPr>
      <w:bookmarkStart w:id="21" w:name="toc917810_19"/>
      <w:bookmarkEnd w:id="21"/>
      <w:r>
        <w:rPr>
          <w:rFonts w:ascii="ARIAL" w:hAnsi="ARIAL"/>
          <w:sz w:val="18"/>
        </w:rPr>
        <w:t xml:space="preserve">CODE OF CONDUCT </w:t>
      </w:r>
    </w:p>
    <w:p>
      <w:pPr>
        <w:pStyle w:val="TextBody"/>
        <w:bidi w:val="0"/>
        <w:spacing w:before="200" w:after="0"/>
        <w:jc w:val="left"/>
        <w:rPr>
          <w:rFonts w:ascii="ARIAL" w:hAnsi="ARIAL"/>
          <w:sz w:val="18"/>
        </w:rPr>
      </w:pPr>
      <w:r>
        <w:rPr>
          <w:rFonts w:ascii="ARIAL" w:hAnsi="ARIAL"/>
          <w:sz w:val="18"/>
        </w:rPr>
        <w:t xml:space="preserve">Our Board of Directors adopted a code of business conduct that applies to each of our directors, officers and employees. The full text of our code of business conduct is posted on the investor relations section of our website at https://ir.flywire.com. Any waiver of the code of business conduct for an executive officer or director may be granted only by our Board of Directors or a committee thereof and must be timely disclosed as required by applicable law. We have implemented whistleblower procedures that establish formal protocols for receiving and handling complaints from employees. Any concerns regarding accounting or auditing matters reported under these procedures will be communicated promptly to the Audit Committee. </w:t>
      </w:r>
    </w:p>
    <w:p>
      <w:pPr>
        <w:pStyle w:val="TextBody"/>
        <w:bidi w:val="0"/>
        <w:spacing w:before="200" w:after="0"/>
        <w:jc w:val="left"/>
        <w:rPr>
          <w:rFonts w:ascii="ARIAL" w:hAnsi="ARIAL"/>
          <w:sz w:val="18"/>
        </w:rPr>
      </w:pPr>
      <w:bookmarkStart w:id="22" w:name="toc917810_19a"/>
      <w:bookmarkEnd w:id="22"/>
      <w:r>
        <w:rPr>
          <w:rFonts w:ascii="ARIAL" w:hAnsi="ARIAL"/>
          <w:sz w:val="18"/>
        </w:rPr>
        <w:t xml:space="preserve">IMPACT INITIATIVES </w:t>
      </w:r>
    </w:p>
    <w:p>
      <w:pPr>
        <w:pStyle w:val="TextBody"/>
        <w:bidi w:val="0"/>
        <w:spacing w:before="200" w:after="0"/>
        <w:jc w:val="left"/>
        <w:rPr>
          <w:rFonts w:ascii="ARIAL" w:hAnsi="ARIAL"/>
          <w:sz w:val="18"/>
        </w:rPr>
      </w:pPr>
      <w:r>
        <w:rPr>
          <w:rFonts w:ascii="ARIAL" w:hAnsi="ARIAL"/>
          <w:sz w:val="18"/>
        </w:rPr>
        <w:t xml:space="preserve">In December 2022, we released our inaugural ESG report (our Impact Report), our first comprehensive summary of how we integrate social impact initiatives into our business strategy. The report provides baseline metrics as well as a detailed overview of the core tenets of our ESG program, which are shaped by many defining principles – from social impact and community engagement, to governance and oversight, and much more. Our Impact Report is based on global best practices, and aligns with metrics set forth by the Sustainability Accounting Standards Board standards as well as the Global Reporting Initiative standards. </w:t>
      </w:r>
    </w:p>
    <w:p>
      <w:pPr>
        <w:pStyle w:val="TextBody"/>
        <w:bidi w:val="0"/>
        <w:spacing w:before="200" w:after="0"/>
        <w:jc w:val="left"/>
        <w:rPr>
          <w:rFonts w:ascii="ARIAL" w:hAnsi="ARIAL"/>
          <w:sz w:val="18"/>
        </w:rPr>
      </w:pPr>
      <w:r>
        <w:rPr>
          <w:rFonts w:ascii="ARIAL" w:hAnsi="ARIAL"/>
          <w:sz w:val="18"/>
        </w:rPr>
        <w:t xml:space="preserve">Some of our investments to drive impact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Affordability and accessibility:</w:t>
            </w:r>
            <w:r>
              <w:rPr>
                <w:rFonts w:ascii="ARIAL" w:hAnsi="ARIAL"/>
                <w:sz w:val="18"/>
              </w:rPr>
              <w:t xml:space="preserve"> Our payments technology and software enables our clients’ payers to set up payment plans, helping to make high-value transactions like medical bills and education expenses more accessible and affordable.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Employee wellness:</w:t>
            </w:r>
            <w:r>
              <w:rPr>
                <w:rFonts w:ascii="ARIAL" w:hAnsi="ARIAL"/>
                <w:sz w:val="18"/>
              </w:rPr>
              <w:t xml:space="preserve"> Our employees, who we call FlyMates, represent varying nationalities and spoken languages throughout the world. Our Employee Resource Groups (ERGs) – open to all FlyMates – are devoted to promoting FlyMate well being, shared interests and community connection. Through our ERGs and other supporting programs, we are able to better serve our varied, global community of FlyMates where they live and work, and to deliver rich, compelling and meaningful experiences that engage and care for FlyMates. In addition, our “FlyBrid” model empowers FlyMates to adopt flexible working arrangements between remote and in-office work environments and provides tools and capabilities for remote collaboration.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Career development and training:</w:t>
            </w:r>
            <w:r>
              <w:rPr>
                <w:rFonts w:ascii="ARIAL" w:hAnsi="ARIAL"/>
                <w:sz w:val="18"/>
              </w:rPr>
              <w:t xml:space="preserve"> In 2024, FlyMates spent more than 6,100 hours on company-sponsored career development and training programs. These initiatives are available to all FlyMates, including part-time and contract employees. We continue to enhance our career development and skills training policies by offering new programs focused on enriching FlyMates’ careers and growing them both personally and professionally.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Social impact and community engagement:</w:t>
            </w:r>
            <w:r>
              <w:rPr>
                <w:rFonts w:ascii="ARIAL" w:hAnsi="ARIAL"/>
                <w:sz w:val="18"/>
              </w:rPr>
              <w:t xml:space="preserve"> A cornerstone of our social impact and community engagement efforts is The Flywire Charitable Foundation, which is committed to improving access to quality education and healthcare. We recently established a company-match donation program to foster purposeful philanthropy to non-profit organizations around the world. We also provide paid volunteer time off – “FlyBetter Days” – to positively contribute to the community, enhance work culture and retain talented people.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Data privacy, security and compliance:</w:t>
            </w:r>
            <w:r>
              <w:rPr>
                <w:rFonts w:ascii="ARIAL" w:hAnsi="ARIAL"/>
                <w:sz w:val="18"/>
              </w:rPr>
              <w:t xml:space="preserve"> Our dedicated compliance and risk management function, overseen by our Chief Compliance Officer and Chief Information Officer with Audit Committee and Board-level oversight, has been built over more than a decade, providing payers and clients with confidence in our solutions.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Governance and ethics:</w:t>
            </w:r>
            <w:r>
              <w:rPr>
                <w:rFonts w:ascii="ARIAL" w:hAnsi="ARIAL"/>
                <w:sz w:val="18"/>
              </w:rPr>
              <w:t xml:space="preserve"> We are committed to ethical and compliant business practices and good corporate governance for the long-term success of Flywire and our stockholders. We have a Code of Conduct that is actively enforced and mandatory training across a spectrum of important topics, including anti-money laundering, anti-corruption, financial controls, confidentiality, sexual harassment and discrimination, and information security best practices. </w:t>
            </w:r>
          </w:p>
        </w:tc>
      </w:tr>
    </w:tbl>
    <w:p>
      <w:pPr>
        <w:pStyle w:val="TextBody"/>
        <w:bidi w:val="0"/>
        <w:spacing w:before="200" w:after="0"/>
        <w:jc w:val="left"/>
        <w:rPr>
          <w:rFonts w:ascii="ARIAL" w:hAnsi="ARIAL"/>
          <w:sz w:val="18"/>
        </w:rPr>
      </w:pPr>
      <w:bookmarkStart w:id="23" w:name="toc917810_20"/>
      <w:bookmarkEnd w:id="23"/>
      <w:r>
        <w:rPr>
          <w:rFonts w:ascii="ARIAL" w:hAnsi="ARIAL"/>
          <w:sz w:val="18"/>
        </w:rPr>
        <w:t xml:space="preserve">BOARD COMPOSITION </w:t>
      </w:r>
    </w:p>
    <w:p>
      <w:pPr>
        <w:pStyle w:val="TextBody"/>
        <w:bidi w:val="0"/>
        <w:spacing w:before="200" w:after="0"/>
        <w:jc w:val="left"/>
        <w:rPr>
          <w:rFonts w:ascii="ARIAL" w:hAnsi="ARIAL"/>
          <w:sz w:val="18"/>
        </w:rPr>
      </w:pPr>
      <w:r>
        <w:rPr>
          <w:rFonts w:ascii="ARIAL" w:hAnsi="ARIAL"/>
          <w:sz w:val="18"/>
        </w:rPr>
        <w:t xml:space="preserve">Our business affairs are managed under the direction of our Board of Directors, which is currently composed of eight members. All of our directors, other than Mr. Massaro, are independent within the meaning of the listing rules of The Nasdaq Stock Market (Nasdaq).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  16  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 The classification of our Board of Directors may have the effect of delaying or preventing changes in our control or management. </w:t>
      </w:r>
    </w:p>
    <w:p>
      <w:pPr>
        <w:pStyle w:val="TextBody"/>
        <w:bidi w:val="0"/>
        <w:spacing w:before="200" w:after="0"/>
        <w:jc w:val="left"/>
        <w:rPr>
          <w:rFonts w:ascii="ARIAL" w:hAnsi="ARIAL"/>
          <w:sz w:val="18"/>
        </w:rPr>
      </w:pPr>
      <w:r>
        <w:rPr>
          <w:rFonts w:ascii="ARIAL" w:hAnsi="ARIAL"/>
          <w:sz w:val="18"/>
        </w:rPr>
        <w:t xml:space="preserve">In determining the composition of our Board, our Board of Directors and Nominating and Corporate Governance Committee are committed to ensuring that our directors maintain effective and independent oversight of our business and can competently represent the interests of our stockholders. </w:t>
      </w:r>
    </w:p>
    <w:p>
      <w:pPr>
        <w:pStyle w:val="TextBody"/>
        <w:bidi w:val="0"/>
        <w:spacing w:before="200" w:after="0"/>
        <w:jc w:val="left"/>
        <w:rPr>
          <w:rFonts w:ascii="ARIAL" w:hAnsi="ARIAL"/>
          <w:sz w:val="18"/>
        </w:rPr>
      </w:pPr>
      <w:bookmarkStart w:id="24" w:name="toc917810_21"/>
      <w:bookmarkEnd w:id="24"/>
      <w:r>
        <w:rPr>
          <w:rFonts w:ascii="ARIAL" w:hAnsi="ARIAL"/>
          <w:sz w:val="18"/>
        </w:rPr>
        <w:t xml:space="preserve">DIRECTOR INDEPENDENCE </w:t>
      </w:r>
    </w:p>
    <w:p>
      <w:pPr>
        <w:pStyle w:val="TextBody"/>
        <w:bidi w:val="0"/>
        <w:spacing w:before="200" w:after="0"/>
        <w:jc w:val="left"/>
        <w:rPr>
          <w:rFonts w:ascii="ARIAL" w:hAnsi="ARIAL"/>
          <w:sz w:val="18"/>
        </w:rPr>
      </w:pPr>
      <w:r>
        <w:rPr>
          <w:rFonts w:ascii="ARIAL" w:hAnsi="ARIAL"/>
          <w:sz w:val="18"/>
        </w:rPr>
        <w:t xml:space="preserve">Our common stock is listed on the Nasdaq Global Select Market. The listing rules of this stock exchange generally require that a majority of the members of a listed company’s Board of Directors be independent. In addition, the rules of Nasdaq require that, subject to specified exceptions, each member of a listed company’s audit, compensation, and nominating and corporate governance committees be independent. The Nasdaq director independence definition includes a series of objective tests, such as that the director is not also one of our employees and has not engaged in various types of business dealings with us. In addition, as further required by Nasdaq rules, our Board of Directors has made a subjective determination as to each non-employee director that no relationships exist (either directly or as a partner, stockholder, officer or affiliate of a stockholder or other organization that has a relationship with us) which, in the opinion of our Board of Directors, would interfere with the exercise of independent judgment in carrying out the responsibilities of a director. In making these determinations, our directors reviewed and discussed information provided by the directors and us with regard to each director’s background, employment, affiliations, including family relationships, and business and personal activities as they may relate to us and our management. In addition, our Board of Directors also considers each director’s beneficial ownership of our common stock in its independence analysis, as set forth under “Security Ownership of Certain Beneficial Owners and Management.” Our Board of Directors believes that stock ownership by directors is positive in that it tends to further align a director’s interests with those of our other stockholders. Please see “Stock Ownership Requirements” for additional information. </w:t>
      </w:r>
    </w:p>
    <w:p>
      <w:pPr>
        <w:pStyle w:val="TextBody"/>
        <w:bidi w:val="0"/>
        <w:spacing w:before="200" w:after="0"/>
        <w:jc w:val="left"/>
        <w:rPr>
          <w:rFonts w:ascii="ARIAL" w:hAnsi="ARIAL"/>
          <w:sz w:val="18"/>
        </w:rPr>
      </w:pPr>
      <w:r>
        <w:rPr>
          <w:rFonts w:ascii="ARIAL" w:hAnsi="ARIAL"/>
          <w:sz w:val="18"/>
        </w:rPr>
        <w:t xml:space="preserve">The independent members of our Board of Directors meet in executive session, without Mr. Massaro or other members of management present, during regularly scheduled meetings. </w:t>
      </w:r>
    </w:p>
    <w:p>
      <w:pPr>
        <w:pStyle w:val="TextBody"/>
        <w:bidi w:val="0"/>
        <w:spacing w:before="200" w:after="0"/>
        <w:jc w:val="left"/>
        <w:rPr>
          <w:rFonts w:ascii="ARIAL" w:hAnsi="ARIAL"/>
          <w:sz w:val="18"/>
        </w:rPr>
      </w:pPr>
      <w:bookmarkStart w:id="25" w:name="toc917810_22"/>
      <w:bookmarkEnd w:id="25"/>
      <w:r>
        <w:rPr>
          <w:rFonts w:ascii="ARIAL" w:hAnsi="ARIAL"/>
          <w:sz w:val="18"/>
        </w:rPr>
        <w:t xml:space="preserve">BOARD LEADERSHIP STRUCTURE </w:t>
      </w:r>
    </w:p>
    <w:p>
      <w:pPr>
        <w:pStyle w:val="TextBody"/>
        <w:bidi w:val="0"/>
        <w:spacing w:before="200" w:after="0"/>
        <w:jc w:val="left"/>
        <w:rPr>
          <w:rFonts w:ascii="ARIAL" w:hAnsi="ARIAL"/>
          <w:sz w:val="18"/>
        </w:rPr>
      </w:pPr>
      <w:r>
        <w:rPr>
          <w:rFonts w:ascii="ARIAL" w:hAnsi="ARIAL"/>
          <w:sz w:val="18"/>
        </w:rPr>
        <w:t xml:space="preserve">Our Board of Directors is currently led by its Chair, Phillip Riese. Our Board of Directors recognizes that it is important to determine an optimal board leadership structure to ensure the independent oversight of management as we continue to grow. We separate the roles of Chief Executive Officer and Chair of the Board of Directors in recognition of the differences between the two roles. The Chief Executive Officer is responsible for setting our strategic direction and our day-to-day leadership and performance, while the Chair of the Board of Directors presides over meetings of the full Board of Directors. We believe that this separation of responsibilities provides a balanced approach to managing the Board of Directors and overseeing our operations. </w:t>
      </w:r>
    </w:p>
    <w:p>
      <w:pPr>
        <w:pStyle w:val="TextBody"/>
        <w:bidi w:val="0"/>
        <w:spacing w:before="200" w:after="0"/>
        <w:jc w:val="left"/>
        <w:rPr>
          <w:rFonts w:ascii="ARIAL" w:hAnsi="ARIAL"/>
          <w:sz w:val="18"/>
        </w:rPr>
      </w:pPr>
      <w:r>
        <w:rPr>
          <w:rFonts w:ascii="ARIAL" w:hAnsi="ARIAL"/>
          <w:sz w:val="18"/>
        </w:rPr>
        <w:t xml:space="preserve">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200" w:after="0"/>
        <w:jc w:val="left"/>
        <w:rPr>
          <w:rFonts w:ascii="ARIAL" w:hAnsi="ARIAL"/>
          <w:sz w:val="18"/>
        </w:rPr>
      </w:pPr>
      <w:bookmarkStart w:id="26" w:name="toc917810_23"/>
      <w:bookmarkEnd w:id="26"/>
      <w:r>
        <w:rPr>
          <w:rFonts w:ascii="ARIAL" w:hAnsi="ARIAL"/>
          <w:sz w:val="18"/>
        </w:rPr>
        <w:t xml:space="preserve">BOARD COMMITTEES </w:t>
      </w:r>
    </w:p>
    <w:p>
      <w:pPr>
        <w:pStyle w:val="TextBody"/>
        <w:bidi w:val="0"/>
        <w:spacing w:before="200" w:after="0"/>
        <w:jc w:val="left"/>
        <w:rPr>
          <w:rFonts w:ascii="ARIAL" w:hAnsi="ARIAL"/>
          <w:sz w:val="18"/>
        </w:rPr>
      </w:pPr>
      <w:r>
        <w:rPr>
          <w:rFonts w:ascii="ARIAL" w:hAnsi="ARIAL"/>
          <w:sz w:val="18"/>
        </w:rPr>
        <w:t xml:space="preserve">Our Board of Directors has established an Audit Committee, a People &amp; Compensation Committee and a Nominating and Corporate Governance Committee. The composition of these committees meets the criteria for independence under, and the functioning of these committees comply with, the applicable requirements of the Sarbanes-Oxley Act of 2002, the current rules of Nasdaq and SEC rules and regulations. We intend to comply with future requirements as they become applicable to us. Each committee has the composition and responsibilities described below. </w:t>
      </w:r>
    </w:p>
    <w:p>
      <w:pPr>
        <w:pStyle w:val="TextBody"/>
        <w:bidi w:val="0"/>
        <w:spacing w:before="200" w:after="0"/>
        <w:jc w:val="left"/>
        <w:rPr>
          <w:rFonts w:ascii="ARIAL" w:hAnsi="ARIAL"/>
          <w:sz w:val="18"/>
        </w:rPr>
      </w:pPr>
      <w:bookmarkStart w:id="27" w:name="toc917810_24"/>
      <w:bookmarkEnd w:id="27"/>
      <w:r>
        <w:rPr>
          <w:rFonts w:ascii="ARIAL" w:hAnsi="ARIAL"/>
          <w:sz w:val="18"/>
        </w:rPr>
        <w:t xml:space="preserve">AUDIT COMMITTEE </w:t>
      </w:r>
    </w:p>
    <w:p>
      <w:pPr>
        <w:pStyle w:val="TextBody"/>
        <w:bidi w:val="0"/>
        <w:spacing w:before="200" w:after="0"/>
        <w:jc w:val="left"/>
        <w:rPr>
          <w:rFonts w:ascii="ARIAL" w:hAnsi="ARIAL"/>
          <w:sz w:val="18"/>
        </w:rPr>
      </w:pPr>
      <w:r>
        <w:rPr>
          <w:rFonts w:ascii="ARIAL" w:hAnsi="ARIAL"/>
          <w:sz w:val="18"/>
        </w:rPr>
        <w:t xml:space="preserve">During the year ended December 31, 2024, our Audit Committee held five formal meetings and acted by written consent three times. The current members of our Audit Committee are Edwin Santos, Alex Finkelstein, Carleigh Jaques and Phillip Riese, each of whom is a non-employee member of the Board of Directors. Mr. Santos serves as the Chair of the Audit Committee. </w:t>
      </w:r>
    </w:p>
    <w:p>
      <w:pPr>
        <w:pStyle w:val="TextBody"/>
        <w:bidi w:val="0"/>
        <w:spacing w:before="200" w:after="0"/>
        <w:jc w:val="left"/>
        <w:rPr>
          <w:rFonts w:ascii="ARIAL" w:hAnsi="ARIAL"/>
          <w:sz w:val="18"/>
        </w:rPr>
      </w:pPr>
      <w:r>
        <w:rPr>
          <w:rFonts w:ascii="ARIAL" w:hAnsi="ARIAL"/>
          <w:sz w:val="18"/>
        </w:rPr>
        <w:t xml:space="preserve">Our Audit Committee’s main function is to oversee our accounting and financial reporting processes, our internal audit function, internal systems of control, independent registered public accounting firm relationships and the audits of our financial statements.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  17  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The full text of the Audit Committee’s amended and restated charter is posted on the corporate governance section of our website at https://ir.flywire.com/corporate-governance/governance-overview. Pursuant to the Audit Committee charter, the functions of the Audit Committee include, among other things: </w:t>
      </w:r>
    </w:p>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75"/>
        <w:gridCol w:w="110"/>
        <w:gridCol w:w="60"/>
        <w:gridCol w:w="9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20" w:type="dxa"/>
            <w:tcBorders/>
            <w:vAlign w:val="center"/>
          </w:tcPr>
          <w:p>
            <w:pPr>
              <w:pStyle w:val="TableContents"/>
              <w:bidi w:val="0"/>
              <w:spacing w:before="0" w:after="0"/>
              <w:jc w:val="left"/>
              <w:rPr>
                <w:rFonts w:ascii="ARIAL" w:hAnsi="ARIAL"/>
                <w:sz w:val="18"/>
              </w:rPr>
            </w:pPr>
            <w:r>
              <w:rPr>
                <w:rFonts w:ascii="ARIAL" w:hAnsi="ARIAL"/>
                <w:sz w:val="18"/>
              </w:rPr>
              <w:t xml:space="preserve">appointing, approving the compensation of, and assessing the independence of our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overseeing the work of our registered public accounting firm, including through the receipt and consideration of reports from such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reviewing and discussing with management and the registered public accounting firm our annual and quarterly financial statements and related disclosures;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ARIAL" w:hAnsi="ARIAL"/>
                <w:sz w:val="18"/>
              </w:rPr>
            </w:pPr>
            <w:r>
              <w:rPr>
                <w:rFonts w:ascii="ARIAL" w:hAnsi="ARIAL"/>
                <w:sz w:val="18"/>
              </w:rPr>
              <w:t xml:space="preserve">monitoring our internal control over financial reporting and our disclosure controls and procedures;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overseeing the internal audit function, including the annual internal audit plan, internal audit charter and the responsibilities, budget and staffing of our internal audit function;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ARIAL" w:hAnsi="ARIAL"/>
                <w:sz w:val="18"/>
              </w:rPr>
            </w:pPr>
            <w:r>
              <w:rPr>
                <w:rFonts w:ascii="ARIAL" w:hAnsi="ARIAL"/>
                <w:sz w:val="18"/>
              </w:rPr>
              <w:t xml:space="preserve">meeting independently with our registered public accounting firm and management;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ARIAL" w:hAnsi="ARIAL"/>
                <w:sz w:val="18"/>
              </w:rPr>
            </w:pPr>
            <w:r>
              <w:rPr>
                <w:rFonts w:ascii="ARIAL" w:hAnsi="ARIAL"/>
                <w:sz w:val="18"/>
              </w:rPr>
              <w:t xml:space="preserve">preparing the Audit Committee report required by SEC rules;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ARIAL" w:hAnsi="ARIAL"/>
                <w:sz w:val="18"/>
              </w:rPr>
            </w:pPr>
            <w:r>
              <w:rPr>
                <w:rFonts w:ascii="ARIAL" w:hAnsi="ARIAL"/>
                <w:sz w:val="18"/>
              </w:rPr>
              <w:t xml:space="preserve">reviewing and approving or ratifying any related person transactions;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overseeing our risk assessment and risk management policies, including among other matters, financial, compliance and cybersecurity. </w:t>
            </w:r>
          </w:p>
        </w:tc>
      </w:tr>
    </w:tbl>
    <w:p>
      <w:pPr>
        <w:pStyle w:val="TextBody"/>
        <w:bidi w:val="0"/>
        <w:spacing w:before="200" w:after="0"/>
        <w:jc w:val="left"/>
        <w:rPr>
          <w:rFonts w:ascii="ARIAL" w:hAnsi="ARIAL"/>
          <w:sz w:val="18"/>
        </w:rPr>
      </w:pPr>
      <w:r>
        <w:rPr>
          <w:rFonts w:ascii="ARIAL" w:hAnsi="ARIAL"/>
          <w:sz w:val="18"/>
        </w:rPr>
        <w:t xml:space="preserve">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Each of Messrs. Santos, Finkelstein and Riese and Ms. Jaques qualify as an independent director pursuant to Rule 10A-3. </w:t>
      </w:r>
    </w:p>
    <w:p>
      <w:pPr>
        <w:pStyle w:val="TextBody"/>
        <w:bidi w:val="0"/>
        <w:spacing w:before="200" w:after="0"/>
        <w:jc w:val="left"/>
        <w:rPr>
          <w:rFonts w:ascii="ARIAL" w:hAnsi="ARIAL"/>
          <w:sz w:val="18"/>
        </w:rPr>
      </w:pPr>
      <w:r>
        <w:rPr>
          <w:rFonts w:ascii="ARIAL" w:hAnsi="ARIAL"/>
          <w:sz w:val="18"/>
        </w:rPr>
        <w:t xml:space="preserve">All members of our Audit Committee meet the requirements for financial literacy under the applicable rules and regulations of the SEC and Nasdaq. Our Board of Directors has determined that Mr. Santos is an “audit committee financial expert” as defined by applicable SEC rules and has the requisite financial sophistication as defined under the applicable Nasdaq rules and regulations. The designation does not impose on Mr. Santos any duties, obligations or liability that are greater than are generally imposed on him as a member of our Audit Committee and our Board of Directors, and his designation as an audit committee financial expert pursuant to this SEC requirement does not affect the duties, obligations or liability of any other member of our Audit Committee or Board of Directors. </w:t>
      </w:r>
    </w:p>
    <w:p>
      <w:pPr>
        <w:pStyle w:val="TextBody"/>
        <w:bidi w:val="0"/>
        <w:spacing w:before="200" w:after="0"/>
        <w:jc w:val="left"/>
        <w:rPr>
          <w:rFonts w:ascii="ARIAL" w:hAnsi="ARIAL"/>
          <w:sz w:val="18"/>
        </w:rPr>
      </w:pPr>
      <w:bookmarkStart w:id="28" w:name="toc917810_25"/>
      <w:bookmarkEnd w:id="28"/>
      <w:r>
        <w:rPr>
          <w:rFonts w:ascii="ARIAL" w:hAnsi="ARIAL"/>
          <w:sz w:val="18"/>
        </w:rPr>
        <w:t xml:space="preserve">PEOPLE &amp; COMPENSATION COMMITTEE </w:t>
      </w:r>
    </w:p>
    <w:p>
      <w:pPr>
        <w:pStyle w:val="TextBody"/>
        <w:bidi w:val="0"/>
        <w:spacing w:before="200" w:after="0"/>
        <w:jc w:val="left"/>
        <w:rPr>
          <w:rFonts w:ascii="ARIAL" w:hAnsi="ARIAL"/>
          <w:sz w:val="18"/>
        </w:rPr>
      </w:pPr>
      <w:r>
        <w:rPr>
          <w:rFonts w:ascii="ARIAL" w:hAnsi="ARIAL"/>
          <w:sz w:val="18"/>
        </w:rPr>
        <w:t xml:space="preserve">During the year ended December 31, 2024, our People &amp; Compensation Committee had a number of ad hoc discussions with its compensation consultant and management, held five formal meetings and acted by written consent four times. The current members of our People &amp; Compensation Committee are Diane Offereins, Matthew Harris and Gretchen Howard. Ms. Offereins serves as the Chair of our People &amp; Compensation Committee. </w:t>
      </w:r>
    </w:p>
    <w:p>
      <w:pPr>
        <w:pStyle w:val="TextBody"/>
        <w:bidi w:val="0"/>
        <w:spacing w:before="200" w:after="0"/>
        <w:jc w:val="left"/>
        <w:rPr>
          <w:rFonts w:ascii="ARIAL" w:hAnsi="ARIAL"/>
          <w:sz w:val="18"/>
        </w:rPr>
      </w:pPr>
      <w:r>
        <w:rPr>
          <w:rFonts w:ascii="ARIAL" w:hAnsi="ARIAL"/>
          <w:sz w:val="18"/>
        </w:rPr>
        <w:t xml:space="preserve">Our People &amp; Compensation Committee’s main function is to review and recommend policies relating to compensation and benefits of our officers, directors and employees. The full text of our People &amp; Compensation Committee’s amended and restated charter is posted on the corporate governance section of our website at https://ir.flywire.com/corporate-governance/governance-overview. Pursuant to our People &amp; Compensation Committee charter, the functions of this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evaluating the performance of our Chief Executive Officer and determining the Chief Executive Officer’s salary and contingent compensation based on his or her performance and other relevant criteria;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ARIAL" w:hAnsi="ARIAL"/>
                <w:sz w:val="18"/>
              </w:rPr>
            </w:pPr>
            <w:r>
              <w:rPr>
                <w:rFonts w:ascii="ARIAL" w:hAnsi="ARIAL"/>
                <w:sz w:val="18"/>
              </w:rPr>
              <w:t xml:space="preserve">identifying the corporate and individual objectives governing the Chief Executive Officer’s compensation;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ARIAL" w:hAnsi="ARIAL"/>
                <w:sz w:val="18"/>
              </w:rPr>
            </w:pPr>
            <w:r>
              <w:rPr>
                <w:rFonts w:ascii="ARIAL" w:hAnsi="ARIAL"/>
                <w:sz w:val="18"/>
              </w:rPr>
              <w:t xml:space="preserve">in consultation with the Chief Executive Officer, determining the compensation of our other officers;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ARIAL" w:hAnsi="ARIAL"/>
                <w:sz w:val="18"/>
              </w:rPr>
            </w:pPr>
            <w:r>
              <w:rPr>
                <w:rFonts w:ascii="ARIAL" w:hAnsi="ARIAL"/>
                <w:sz w:val="18"/>
              </w:rPr>
              <w:t xml:space="preserve">making recommendations to our Board of Directors with respect to director compensation;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110"/>
        <w:gridCol w:w="60"/>
        <w:gridCol w:w="7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18"/>
              </w:rPr>
            </w:pPr>
            <w:r>
              <w:rPr>
                <w:rFonts w:ascii="ARIAL" w:hAnsi="ARIAL"/>
                <w:sz w:val="18"/>
              </w:rPr>
              <w:t xml:space="preserve">reviewing and approving the terms of material agreements with our executive officers;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ARIAL" w:hAnsi="ARIAL"/>
                <w:sz w:val="18"/>
              </w:rPr>
            </w:pPr>
            <w:r>
              <w:rPr>
                <w:rFonts w:ascii="ARIAL" w:hAnsi="ARIAL"/>
                <w:sz w:val="18"/>
              </w:rPr>
              <w:t xml:space="preserve">overseeing our equity incentive plans and employee benefit plans;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  18  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reviewing and approving policies and procedures relating to the perquisites and expense accounts of our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administering the Company’s Policy for the Recovery of Erroneously Awarded Compensation and Executive Officer and Director Stock Ownership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overseeing our strategies and policies related to other organization and people matters, including people management practices; </w:t>
            </w:r>
          </w:p>
        </w:tc>
      </w:tr>
    </w:tbl>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ARIAL" w:hAnsi="ARIAL"/>
                <w:sz w:val="18"/>
              </w:rPr>
            </w:pPr>
            <w:r>
              <w:rPr>
                <w:rFonts w:ascii="ARIAL" w:hAnsi="ARIAL"/>
                <w:sz w:val="18"/>
              </w:rPr>
              <w:t xml:space="preserve">if and as applicable, furnishing the annual People &amp; Compensation Committee report required by SEC rules;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conducting a review of executive officer succession planning, as necessary, reporting its findings and recommendations to our Board of Directors, and working with the Board of Directors in evaluating potential successors to executive officer positions. </w:t>
            </w:r>
          </w:p>
        </w:tc>
      </w:tr>
    </w:tbl>
    <w:p>
      <w:pPr>
        <w:pStyle w:val="TextBody"/>
        <w:bidi w:val="0"/>
        <w:spacing w:before="200" w:after="0"/>
        <w:jc w:val="left"/>
        <w:rPr>
          <w:rFonts w:ascii="ARIAL" w:hAnsi="ARIAL"/>
          <w:sz w:val="18"/>
        </w:rPr>
      </w:pPr>
      <w:r>
        <w:rPr>
          <w:rFonts w:ascii="ARIAL" w:hAnsi="ARIAL"/>
          <w:sz w:val="18"/>
        </w:rPr>
        <w:t xml:space="preserve">Our Board of Directors has determined that each of Mr. Harris and Mses. Howard and Offereins is independent under the applicable rules and regulations of Nasdaq, and is a “non-employee director” as defined in Rule 16b-3 promulgated under the Exchange Act. </w:t>
      </w:r>
    </w:p>
    <w:p>
      <w:pPr>
        <w:pStyle w:val="TextBody"/>
        <w:bidi w:val="0"/>
        <w:spacing w:before="200" w:after="0"/>
        <w:jc w:val="left"/>
        <w:rPr>
          <w:rFonts w:ascii="ARIAL" w:hAnsi="ARIAL"/>
          <w:sz w:val="18"/>
        </w:rPr>
      </w:pPr>
      <w:r>
        <w:rPr>
          <w:rFonts w:ascii="ARIAL" w:hAnsi="ARIAL"/>
          <w:sz w:val="18"/>
        </w:rPr>
        <w:t xml:space="preserve">Our Chief Executive Officer, President and Chief Operating Officer, and Chief Financial Officer assist our People &amp; Compensation Committee in carrying out its functions, although they do not participate in deliberations or decisions with respect to their own compensation. During the second half of 2022, our People &amp; Compensation Committee engaged ClearBridge Compensation Group (ClearBridge) to replace its prior independent compensation consultant. ClearBridge reports directly to our People &amp; Compensation Committee. ClearBridge does not provide any services to us other than the services ClearBridge provides to our People &amp; Compensation Committee. Our People &amp; Compensation Committee believes that ClearBridge does not have any conflicts of interest in advising our People &amp; Compensation Committee under applicable SEC rules or Nasdaq listing standards. </w:t>
      </w:r>
    </w:p>
    <w:p>
      <w:pPr>
        <w:pStyle w:val="TextBody"/>
        <w:bidi w:val="0"/>
        <w:spacing w:before="200" w:after="0"/>
        <w:jc w:val="left"/>
        <w:rPr>
          <w:rFonts w:ascii="ARIAL" w:hAnsi="ARIAL"/>
          <w:sz w:val="18"/>
        </w:rPr>
      </w:pPr>
      <w:bookmarkStart w:id="29" w:name="toc917810_26"/>
      <w:bookmarkEnd w:id="29"/>
      <w:r>
        <w:rPr>
          <w:rFonts w:ascii="ARIAL" w:hAnsi="ARIAL"/>
          <w:sz w:val="18"/>
        </w:rPr>
        <w:t xml:space="preserve">NOMINATING AND CORPORATE GOVERNANCE COMMITTEE </w:t>
      </w:r>
    </w:p>
    <w:p>
      <w:pPr>
        <w:pStyle w:val="TextBody"/>
        <w:bidi w:val="0"/>
        <w:spacing w:before="200" w:after="0"/>
        <w:jc w:val="left"/>
        <w:rPr>
          <w:rFonts w:ascii="ARIAL" w:hAnsi="ARIAL"/>
          <w:sz w:val="18"/>
        </w:rPr>
      </w:pPr>
      <w:r>
        <w:rPr>
          <w:rFonts w:ascii="ARIAL" w:hAnsi="ARIAL"/>
          <w:sz w:val="18"/>
        </w:rPr>
        <w:t xml:space="preserve">During the year ended December 31, 2024, our Nominating and Corporate Governance Committee held four formal meetings and acted by written consent one time. The current members of our Nominating and Corporate Governance Committee are Phillip Riese and Edwin Santos. Mr. Riese serves as the Chair of the Nominating and Corporate Governance Committee. </w:t>
      </w:r>
    </w:p>
    <w:p>
      <w:pPr>
        <w:pStyle w:val="TextBody"/>
        <w:bidi w:val="0"/>
        <w:spacing w:before="200" w:after="0"/>
        <w:jc w:val="left"/>
        <w:rPr>
          <w:rFonts w:ascii="ARIAL" w:hAnsi="ARIAL"/>
          <w:sz w:val="18"/>
        </w:rPr>
      </w:pPr>
      <w:r>
        <w:rPr>
          <w:rFonts w:ascii="ARIAL" w:hAnsi="ARIAL"/>
          <w:sz w:val="18"/>
        </w:rPr>
        <w:t xml:space="preserve">The full text of the Nominating and Corporate Governance Committee’s amended and restated charter is posted on the corporate governance section of our website at https://ir.flywire.com/corporate-governance/governance-overview. Pursuant to the Nominating and Corporate Governance Committee charter, the functions of this committee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identifying, evaluating, and making recommendations to our Board of Directors and our stockholders concerning nominees for election to our Board of Directors, to each of its committees and committee chairs;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annually reviewing the performance and effectiveness of our Board of Directors and developing and overseeing a performance evaluation process;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annually evaluating the performance of management, our Board of Directors and each of its committees against their respective duties and responsibilities relating to corporate governance;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periodically review and assess our programs, practices and strategies relating to corporate responsibility and governance matters;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10"/>
        <w:gridCol w:w="60"/>
        <w:gridCol w:w="8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left"/>
              <w:rPr>
                <w:rFonts w:ascii="ARIAL" w:hAnsi="ARIAL"/>
                <w:sz w:val="18"/>
              </w:rPr>
            </w:pPr>
            <w:r>
              <w:rPr>
                <w:rFonts w:ascii="ARIAL" w:hAnsi="ARIAL"/>
                <w:sz w:val="18"/>
              </w:rPr>
              <w:t xml:space="preserve">annually evaluating adequacy of our corporate governance structure, policies, and procedures; and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ARIAL" w:hAnsi="ARIAL"/>
                <w:sz w:val="18"/>
              </w:rPr>
            </w:pPr>
            <w:r>
              <w:rPr>
                <w:rFonts w:ascii="ARIAL" w:hAnsi="ARIAL"/>
                <w:sz w:val="18"/>
              </w:rPr>
              <w:t xml:space="preserve">generally advising our Board of Directors on corporate governance matters. </w:t>
            </w:r>
          </w:p>
        </w:tc>
      </w:tr>
    </w:tbl>
    <w:p>
      <w:pPr>
        <w:pStyle w:val="TextBody"/>
        <w:bidi w:val="0"/>
        <w:spacing w:before="200" w:after="0"/>
        <w:jc w:val="left"/>
        <w:rPr>
          <w:rFonts w:ascii="ARIAL" w:hAnsi="ARIAL"/>
          <w:sz w:val="18"/>
        </w:rPr>
      </w:pPr>
      <w:r>
        <w:rPr>
          <w:rFonts w:ascii="ARIAL" w:hAnsi="ARIAL"/>
          <w:sz w:val="18"/>
        </w:rPr>
        <w:t xml:space="preserve">Our Nominating and Corporate Governance Committee believes that candidates for director should have certain minimum qualifications, including being able to read and understand basic financial statements and having a general understanding of our industry and market. Our Nominating and Corporate Governance Committee also considers other factors it deems appropriate, including, but not limited to: </w:t>
      </w:r>
    </w:p>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rFonts w:ascii="ARIAL" w:hAnsi="ARIAL"/>
                <w:sz w:val="18"/>
              </w:rPr>
            </w:pPr>
            <w:r>
              <w:rPr>
                <w:rFonts w:ascii="ARIAL" w:hAnsi="ARIAL"/>
                <w:sz w:val="18"/>
              </w:rPr>
              <w:t xml:space="preserve">the candidate’s relevant expertise and experience upon which to offer advice and guidance to management;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ARIAL" w:hAnsi="ARIAL"/>
                <w:sz w:val="18"/>
              </w:rPr>
            </w:pPr>
            <w:r>
              <w:rPr>
                <w:rFonts w:ascii="ARIAL" w:hAnsi="ARIAL"/>
                <w:sz w:val="18"/>
              </w:rPr>
              <w:t xml:space="preserve">the candidate having sufficient time to devote to the affairs of Flywire;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75"/>
        <w:gridCol w:w="110"/>
        <w:gridCol w:w="60"/>
        <w:gridCol w:w="5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left"/>
              <w:rPr>
                <w:rFonts w:ascii="ARIAL" w:hAnsi="ARIAL"/>
                <w:sz w:val="18"/>
              </w:rPr>
            </w:pPr>
            <w:r>
              <w:rPr>
                <w:rFonts w:ascii="ARIAL" w:hAnsi="ARIAL"/>
                <w:sz w:val="18"/>
              </w:rPr>
              <w:t xml:space="preserve">the candidate having a proven track record in his or her field;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  19  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ARIAL" w:hAnsi="ARIAL"/>
                <w:sz w:val="18"/>
              </w:rPr>
            </w:pPr>
            <w:r>
              <w:rPr>
                <w:rFonts w:ascii="ARIAL" w:hAnsi="ARIAL"/>
                <w:sz w:val="18"/>
              </w:rPr>
              <w:t xml:space="preserve">the candidate’s ability to exercise sound business judgment;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ARIAL" w:hAnsi="ARIAL"/>
                <w:sz w:val="18"/>
              </w:rPr>
            </w:pPr>
            <w:r>
              <w:rPr>
                <w:rFonts w:ascii="ARIAL" w:hAnsi="ARIAL"/>
                <w:sz w:val="18"/>
              </w:rPr>
              <w:t xml:space="preserve">the candidate’s commitment to vigorously represent the long-term interests of our stockholders;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10"/>
        <w:gridCol w:w="6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left"/>
              <w:rPr>
                <w:rFonts w:ascii="ARIAL" w:hAnsi="ARIAL"/>
                <w:sz w:val="18"/>
              </w:rPr>
            </w:pPr>
            <w:r>
              <w:rPr>
                <w:rFonts w:ascii="ARIAL" w:hAnsi="ARIAL"/>
                <w:sz w:val="18"/>
              </w:rPr>
              <w:t xml:space="preserve">whether or not a conflict of interest exists between the candidate and our business;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ARIAL" w:hAnsi="ARIAL"/>
                <w:sz w:val="18"/>
              </w:rPr>
            </w:pPr>
            <w:r>
              <w:rPr>
                <w:rFonts w:ascii="ARIAL" w:hAnsi="ARIAL"/>
                <w:sz w:val="18"/>
              </w:rPr>
              <w:t xml:space="preserve">whether the candidate would be considered independent under applicable Nasdaq and SEC standards;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ARIAL" w:hAnsi="ARIAL"/>
                <w:sz w:val="18"/>
              </w:rPr>
            </w:pPr>
            <w:r>
              <w:rPr>
                <w:rFonts w:ascii="ARIAL" w:hAnsi="ARIAL"/>
                <w:sz w:val="18"/>
              </w:rPr>
              <w:t xml:space="preserve">the current composition of our Board of Directors; and </w:t>
            </w:r>
          </w:p>
        </w:tc>
      </w:tr>
    </w:tbl>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75"/>
        <w:gridCol w:w="110"/>
        <w:gridCol w:w="60"/>
        <w:gridCol w:w="3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jc w:val="left"/>
              <w:rPr>
                <w:rFonts w:ascii="ARIAL" w:hAnsi="ARIAL"/>
                <w:sz w:val="18"/>
              </w:rPr>
            </w:pPr>
            <w:r>
              <w:rPr>
                <w:rFonts w:ascii="ARIAL" w:hAnsi="ARIAL"/>
                <w:sz w:val="18"/>
              </w:rPr>
              <w:t xml:space="preserve">the operating requirements of Flywire. </w:t>
            </w:r>
          </w:p>
        </w:tc>
      </w:tr>
    </w:tbl>
    <w:p>
      <w:pPr>
        <w:pStyle w:val="TextBody"/>
        <w:bidi w:val="0"/>
        <w:spacing w:before="200" w:after="0"/>
        <w:jc w:val="left"/>
        <w:rPr>
          <w:rFonts w:ascii="ARIAL" w:hAnsi="ARIAL"/>
          <w:sz w:val="18"/>
        </w:rPr>
      </w:pPr>
      <w:r>
        <w:rPr>
          <w:rFonts w:ascii="ARIAL" w:hAnsi="ARIAL"/>
          <w:sz w:val="18"/>
        </w:rPr>
        <w:t xml:space="preserve">In conducting this assessment, the Nominating and Corporate Governance Committee considers knowledge, experience, skills and such other factors as it deems appropriate given the then-current needs of our Board of Directors and Flywire. In addition, our Nominating and Corporate Governance Committee strives to maintain a balance of tenure on our Board, as longer serving Directors bring helpful experience and institutional knowledge, while newer Directors add fresh perspectives and direction. While the variety of experiences and viewpoints represented on our Board of Directors should always be considered, the Nominating and Corporate Governance Committee believes that a director nominee should not be chosen nor excluded because of race, color, gender, national origin or sexual orientation or identity. </w:t>
      </w:r>
    </w:p>
    <w:p>
      <w:pPr>
        <w:pStyle w:val="TextBody"/>
        <w:bidi w:val="0"/>
        <w:spacing w:before="200" w:after="0"/>
        <w:jc w:val="left"/>
        <w:rPr>
          <w:rFonts w:ascii="ARIAL" w:hAnsi="ARIAL"/>
          <w:sz w:val="18"/>
        </w:rPr>
      </w:pPr>
      <w:r>
        <w:rPr>
          <w:rFonts w:ascii="ARIAL" w:hAnsi="ARIAL"/>
          <w:sz w:val="18"/>
        </w:rPr>
        <w:t xml:space="preserve">In the case of incumbent directors whose terms of office are set to expire, the Nominating and Corporate Governance Committee reviews such directors’ overall service to Flywire during their term, including the number of meetings attended, level of participation, quality of performance, and any other relationships and transactions that might impair such directors’ independence. </w:t>
      </w:r>
    </w:p>
    <w:p>
      <w:pPr>
        <w:pStyle w:val="TextBody"/>
        <w:bidi w:val="0"/>
        <w:spacing w:before="200" w:after="0"/>
        <w:jc w:val="left"/>
        <w:rPr>
          <w:rFonts w:ascii="ARIAL" w:hAnsi="ARIAL"/>
          <w:sz w:val="18"/>
        </w:rPr>
      </w:pPr>
      <w:r>
        <w:rPr>
          <w:rFonts w:ascii="ARIAL" w:hAnsi="ARIAL"/>
          <w:sz w:val="18"/>
        </w:rPr>
        <w:t xml:space="preserve">When there is a vacancy on our Board of Directors, the Nominating and Corporate Governance Committee uses its network of contacts to compile a list of potential candidates, but may also engage, if it deems it appropriate, a professional search firm. The Nominating and Corporate Governance Committee conducts any appropriate and necessary inquiries into the backgrounds and qualifications of possible candidates after considering the function and needs of our Board of Directors. The Nominating and Corporate Governance Committee meets to discuss and consider such candidates’ qualifications and then selects a nominee for recommendation to our Board of Directors by majority vote. </w:t>
      </w:r>
    </w:p>
    <w:p>
      <w:pPr>
        <w:pStyle w:val="TextBody"/>
        <w:bidi w:val="0"/>
        <w:spacing w:before="200" w:after="0"/>
        <w:jc w:val="left"/>
        <w:rPr>
          <w:rFonts w:ascii="ARIAL" w:hAnsi="ARIAL"/>
          <w:sz w:val="18"/>
        </w:rPr>
      </w:pPr>
      <w:r>
        <w:rPr>
          <w:rFonts w:ascii="ARIAL" w:hAnsi="ARIAL"/>
          <w:sz w:val="18"/>
        </w:rPr>
        <w:t xml:space="preserve">Our Nominating and Corporate Governance Committee will consider director candidates recommended by stockholders and evaluate them using the same criteria as candidates identified by our Board of Directors or the Nominating and Corporate Governance Committee for consideration. If one of our stockholders wishes to recommend a director candidate for consideration by the Nominating and Corporate Governance Committee, the stockholder recommendation should be delivered to our Corporate Secretary at our principal executive offices and must include information regarding the candidate and the stockholder making the recommendation as required by our Bylaws. </w:t>
      </w:r>
    </w:p>
    <w:p>
      <w:pPr>
        <w:pStyle w:val="TextBody"/>
        <w:bidi w:val="0"/>
        <w:spacing w:before="200" w:after="0"/>
        <w:jc w:val="left"/>
        <w:rPr>
          <w:rFonts w:ascii="ARIAL" w:hAnsi="ARIAL"/>
          <w:sz w:val="18"/>
        </w:rPr>
      </w:pPr>
      <w:bookmarkStart w:id="30" w:name="toc917810_27"/>
      <w:bookmarkEnd w:id="30"/>
      <w:r>
        <w:rPr>
          <w:rFonts w:ascii="ARIAL" w:hAnsi="ARIAL"/>
          <w:sz w:val="18"/>
        </w:rPr>
        <w:t xml:space="preserve">PEOPLE &amp; COMPENSATION COMMITTEE INTERLOCKS AND INSIDER PARTICIPATION </w:t>
      </w:r>
    </w:p>
    <w:p>
      <w:pPr>
        <w:pStyle w:val="TextBody"/>
        <w:bidi w:val="0"/>
        <w:spacing w:before="200" w:after="0"/>
        <w:jc w:val="left"/>
        <w:rPr>
          <w:rFonts w:ascii="ARIAL" w:hAnsi="ARIAL"/>
          <w:sz w:val="18"/>
        </w:rPr>
      </w:pPr>
      <w:r>
        <w:rPr>
          <w:rFonts w:ascii="ARIAL" w:hAnsi="ARIAL"/>
          <w:sz w:val="18"/>
        </w:rPr>
        <w:t xml:space="preserve">None of the members of our People &amp; Compensation Committee during 2024 is serving or has served as an officer or employee of ours. None of our executive officers currently serves, or in the past year has served, as a member of the Board of Directors or People &amp; Compensation Committee of any entity that has one or more executive officers serving on our Board of Directors or People &amp; Compensation Committee. </w:t>
      </w:r>
    </w:p>
    <w:p>
      <w:pPr>
        <w:pStyle w:val="TextBody"/>
        <w:bidi w:val="0"/>
        <w:spacing w:before="200" w:after="0"/>
        <w:jc w:val="left"/>
        <w:rPr>
          <w:rFonts w:ascii="ARIAL" w:hAnsi="ARIAL"/>
          <w:sz w:val="18"/>
        </w:rPr>
      </w:pPr>
      <w:bookmarkStart w:id="31" w:name="toc917810_28"/>
      <w:bookmarkEnd w:id="31"/>
      <w:r>
        <w:rPr>
          <w:rFonts w:ascii="ARIAL" w:hAnsi="ARIAL"/>
          <w:sz w:val="18"/>
        </w:rPr>
        <w:t xml:space="preserve">COMPENSATION RISK </w:t>
      </w:r>
    </w:p>
    <w:p>
      <w:pPr>
        <w:pStyle w:val="TextBody"/>
        <w:bidi w:val="0"/>
        <w:spacing w:before="200" w:after="0"/>
        <w:jc w:val="left"/>
        <w:rPr>
          <w:rFonts w:ascii="ARIAL" w:hAnsi="ARIAL"/>
          <w:sz w:val="18"/>
        </w:rPr>
      </w:pPr>
      <w:r>
        <w:rPr>
          <w:rFonts w:ascii="ARIAL" w:hAnsi="ARIAL"/>
          <w:sz w:val="18"/>
        </w:rPr>
        <w:t xml:space="preserve">Our People &amp; Compensation Committee conducted a risk assessment of its compensation policies and practices, including those related to executive compensation programs for our named executive officers. The risk assessment included an analysis of our executive compensation programs and broader employee incentive compensation plans. Our People &amp; Compensation Committee also considered how these programs compare, from a design perspective, to programs maintained by other companies. Based on this assessment, it was determined that our executive compensation programs are balanced and appropriately incentivize employees, and any risks arising from the compensation policies and practices are not reasonably likely to have a material adverse effect on Flywire. </w:t>
      </w:r>
    </w:p>
    <w:p>
      <w:pPr>
        <w:pStyle w:val="TextBody"/>
        <w:bidi w:val="0"/>
        <w:spacing w:before="200" w:after="0"/>
        <w:jc w:val="left"/>
        <w:rPr>
          <w:rFonts w:ascii="ARIAL" w:hAnsi="ARIAL"/>
          <w:sz w:val="18"/>
        </w:rPr>
      </w:pPr>
      <w:bookmarkStart w:id="32" w:name="toc917810_29"/>
      <w:bookmarkEnd w:id="32"/>
      <w:r>
        <w:rPr>
          <w:rFonts w:ascii="ARIAL" w:hAnsi="ARIAL"/>
          <w:sz w:val="18"/>
        </w:rPr>
        <w:t xml:space="preserve">MEETINGS OF THE BOARD OF DIRECTORS </w:t>
      </w:r>
    </w:p>
    <w:p>
      <w:pPr>
        <w:pStyle w:val="TextBody"/>
        <w:bidi w:val="0"/>
        <w:spacing w:before="200" w:after="0"/>
        <w:jc w:val="left"/>
        <w:rPr>
          <w:rFonts w:ascii="ARIAL" w:hAnsi="ARIAL"/>
          <w:sz w:val="18"/>
        </w:rPr>
      </w:pPr>
      <w:r>
        <w:rPr>
          <w:rFonts w:ascii="ARIAL" w:hAnsi="ARIAL"/>
          <w:sz w:val="18"/>
        </w:rPr>
        <w:t xml:space="preserve">The Board of Directors held six meetings and acted by written consent six times during our year ended December 31, 2024. No director attended fewer than 75% of the total number of meetings of the Board of Directors and any committees of the Board of Directors of which he or she was a member during our year ended December 31, 2024. Our policy is to invite and encourage each member of our Board of Directors to be present at our annual meetings of stockholders. Five of seven of our then serving members of our Board of Directors attended our 2024 annual meeting of stockholders in their capacity as directors of Flywire.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  20  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bookmarkStart w:id="33" w:name="toc917810_30"/>
      <w:bookmarkEnd w:id="33"/>
      <w:r>
        <w:rPr>
          <w:rFonts w:ascii="ARIAL" w:hAnsi="ARIAL"/>
          <w:sz w:val="18"/>
        </w:rPr>
        <w:t xml:space="preserve">BOARD OVERSIGHT OF RISK </w:t>
      </w:r>
    </w:p>
    <w:p>
      <w:pPr>
        <w:pStyle w:val="TextBody"/>
        <w:bidi w:val="0"/>
        <w:spacing w:before="200" w:after="0"/>
        <w:jc w:val="left"/>
        <w:rPr>
          <w:rFonts w:ascii="ARIAL" w:hAnsi="ARIAL"/>
          <w:sz w:val="18"/>
        </w:rPr>
      </w:pPr>
      <w:r>
        <w:rPr>
          <w:rFonts w:ascii="ARIAL" w:hAnsi="ARIAL"/>
          <w:sz w:val="18"/>
        </w:rPr>
        <w:t xml:space="preserve">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 </w:t>
      </w:r>
    </w:p>
    <w:p>
      <w:pPr>
        <w:pStyle w:val="TextBody"/>
        <w:bidi w:val="0"/>
        <w:spacing w:before="200" w:after="0"/>
        <w:jc w:val="left"/>
        <w:rPr>
          <w:rFonts w:ascii="ARIAL" w:hAnsi="ARIAL"/>
          <w:sz w:val="18"/>
        </w:rPr>
      </w:pPr>
      <w:r>
        <w:rPr>
          <w:rFonts w:ascii="ARIAL" w:hAnsi="ARIAL"/>
          <w:sz w:val="18"/>
        </w:rPr>
        <w:t xml:space="preserve">Our Audit Committee reviews information regarding liquidity and operations, and oversees our management of financial, compliance and cybersecurity risks. Periodically, our Audit Committee reviews our policies with respect to risk assessment, risk management, loss prevention and regulatory compliance. Oversight by our Audit Committee includes direct communication with our external auditors, and discussions with management regarding significant risk exposures and the actions management has taken to limit, monitor or control such exposures. Our People &amp; Compensation Committee is responsible for assessing whether any of our compensation policies or programs has the potential to encourage excessive risk-taking. Our Nominating and Corporate Governance Committee manages risks associated with the independence of the Board of Directors, corporate disclosure practices, potential conflicts of interest and corporate governance and responsibility. While each committee is responsible for evaluating certain risks and overseeing the management of such risks, the entire Board of Directors is regularly informed through committee reports about such risks. Matters of significant strategic risk are considered and discussed by our Board of Directors as a whole. </w:t>
      </w:r>
    </w:p>
    <w:p>
      <w:pPr>
        <w:pStyle w:val="TextBody"/>
        <w:bidi w:val="0"/>
        <w:spacing w:before="200" w:after="0"/>
        <w:jc w:val="left"/>
        <w:rPr>
          <w:rFonts w:ascii="ARIAL" w:hAnsi="ARIAL"/>
          <w:sz w:val="18"/>
        </w:rPr>
      </w:pPr>
      <w:bookmarkStart w:id="34" w:name="toc917810_31"/>
      <w:bookmarkEnd w:id="34"/>
      <w:r>
        <w:rPr>
          <w:rFonts w:ascii="ARIAL" w:hAnsi="ARIAL"/>
          <w:sz w:val="18"/>
        </w:rPr>
        <w:t xml:space="preserve">DIRECTOR COMPENSATION </w:t>
      </w:r>
    </w:p>
    <w:p>
      <w:pPr>
        <w:pStyle w:val="TextBody"/>
        <w:bidi w:val="0"/>
        <w:spacing w:before="200" w:after="0"/>
        <w:jc w:val="left"/>
        <w:rPr>
          <w:rFonts w:ascii="ARIAL" w:hAnsi="ARIAL"/>
          <w:sz w:val="18"/>
        </w:rPr>
      </w:pPr>
      <w:r>
        <w:rPr>
          <w:rFonts w:ascii="ARIAL" w:hAnsi="ARIAL"/>
          <w:sz w:val="18"/>
        </w:rPr>
        <w:t xml:space="preserve">The following table sets forth information about the compensation of the non-employee members of our Board of Directors who served as a director during our year ended December 31, 2024. Other than as set forth in the table and described more fully below, during our year ended December 31, 2024, we did not pay any fees to, make any equity awards or non-equity awards to, or pay any other compensation to the non-employee members of our Board of Directors. Mr. Massaro, our Chief Executive Officer, receives no compensation for his service as a director, and is not included in the table below. Mr. Riese currently serves as Chair of our Board of Directors. </w:t>
      </w:r>
    </w:p>
    <w:p>
      <w:pPr>
        <w:pStyle w:val="TextBody"/>
        <w:bidi w:val="0"/>
        <w:spacing w:before="0" w:after="0"/>
        <w:jc w:val="left"/>
        <w:rPr/>
      </w:pPr>
      <w:r>
        <w:rPr/>
        <w:t> </w:t>
      </w:r>
    </w:p>
    <w:tbl>
      <w:tblPr>
        <w:tblW w:w="8928" w:type="dxa"/>
        <w:jc w:val="left"/>
        <w:tblInd w:w="0" w:type="dxa"/>
        <w:tblLayout w:type="fixed"/>
        <w:tblCellMar>
          <w:top w:w="0" w:type="dxa"/>
          <w:left w:w="0" w:type="dxa"/>
          <w:bottom w:w="0" w:type="dxa"/>
          <w:right w:w="0" w:type="dxa"/>
        </w:tblCellMar>
      </w:tblPr>
      <w:tblGrid>
        <w:gridCol w:w="1520"/>
        <w:gridCol w:w="120"/>
        <w:gridCol w:w="175"/>
        <w:gridCol w:w="1990"/>
        <w:gridCol w:w="60"/>
        <w:gridCol w:w="120"/>
        <w:gridCol w:w="199"/>
        <w:gridCol w:w="2925"/>
        <w:gridCol w:w="60"/>
        <w:gridCol w:w="120"/>
        <w:gridCol w:w="109"/>
        <w:gridCol w:w="1455"/>
        <w:gridCol w:w="75"/>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65" w:type="dxa"/>
            <w:gridSpan w:val="2"/>
            <w:tcBorders/>
            <w:vAlign w:val="center"/>
          </w:tcPr>
          <w:p>
            <w:pPr>
              <w:pStyle w:val="TableContents"/>
              <w:bidi w:val="0"/>
              <w:spacing w:before="0" w:after="283"/>
              <w:jc w:val="right"/>
              <w:rPr>
                <w:b/>
              </w:rPr>
            </w:pPr>
            <w:r>
              <w:rPr>
                <w:b/>
              </w:rPr>
              <w:t>FEES EARNED OR</w:t>
              <w:br/>
              <w:t>PAID IN 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right"/>
              <w:rPr/>
            </w:pPr>
            <w:r>
              <w:rPr/>
              <w:t> </w:t>
            </w:r>
            <w:r>
              <w:rPr>
                <w:b/>
              </w:rPr>
              <w:t>STOCK AWARDS ($)(3)(4)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right"/>
              <w:rPr/>
            </w:pPr>
            <w:r>
              <w:rPr/>
              <w:t>  </w:t>
            </w:r>
            <w:r>
              <w:rPr>
                <w:b/>
              </w:rPr>
              <w:t>TOTAL ($)</w:t>
            </w:r>
          </w:p>
        </w:tc>
        <w:tc>
          <w:tcPr>
            <w:tcW w:w="75" w:type="dxa"/>
            <w:tcBorders/>
            <w:vAlign w:val="center"/>
          </w:tcPr>
          <w:p>
            <w:pPr>
              <w:pStyle w:val="TableContents"/>
              <w:bidi w:val="0"/>
              <w:spacing w:before="0" w:after="283"/>
              <w:jc w:val="left"/>
              <w:rPr/>
            </w:pPr>
            <w:r>
              <w:rPr/>
              <w:t> </w:t>
            </w:r>
          </w:p>
        </w:tc>
      </w:tr>
      <w:tr>
        <w:trPr/>
        <w:tc>
          <w:tcPr>
            <w:tcW w:w="1520" w:type="dxa"/>
            <w:tcBorders/>
            <w:shd w:fill="E8F4FF" w:val="clear"/>
            <w:vAlign w:val="center"/>
          </w:tcPr>
          <w:p>
            <w:pPr>
              <w:pStyle w:val="TableContents"/>
              <w:bidi w:val="0"/>
              <w:spacing w:before="0" w:after="283"/>
              <w:jc w:val="left"/>
              <w:rPr>
                <w:sz w:val="4"/>
                <w:szCs w:val="4"/>
              </w:rPr>
            </w:pPr>
            <w:r>
              <w:rPr>
                <w:sz w:val="4"/>
                <w:szCs w:val="4"/>
              </w:rPr>
            </w:r>
          </w:p>
        </w:tc>
        <w:tc>
          <w:tcPr>
            <w:tcW w:w="2345" w:type="dxa"/>
            <w:gridSpan w:val="4"/>
            <w:tcBorders/>
            <w:shd w:fill="E8F4FF" w:val="clear"/>
            <w:vAlign w:val="center"/>
          </w:tcPr>
          <w:p>
            <w:pPr>
              <w:pStyle w:val="TableContents"/>
              <w:bidi w:val="0"/>
              <w:spacing w:before="0" w:after="283"/>
              <w:jc w:val="left"/>
              <w:rPr>
                <w:sz w:val="4"/>
                <w:szCs w:val="4"/>
              </w:rPr>
            </w:pPr>
            <w:r>
              <w:rPr>
                <w:sz w:val="4"/>
                <w:szCs w:val="4"/>
              </w:rPr>
            </w:r>
          </w:p>
        </w:tc>
        <w:tc>
          <w:tcPr>
            <w:tcW w:w="3304" w:type="dxa"/>
            <w:gridSpan w:val="4"/>
            <w:tcBorders/>
            <w:shd w:fill="E8F4FF" w:val="clear"/>
            <w:vAlign w:val="center"/>
          </w:tcPr>
          <w:p>
            <w:pPr>
              <w:pStyle w:val="TableContents"/>
              <w:bidi w:val="0"/>
              <w:spacing w:before="0" w:after="283"/>
              <w:jc w:val="left"/>
              <w:rPr>
                <w:sz w:val="4"/>
                <w:szCs w:val="4"/>
              </w:rPr>
            </w:pPr>
            <w:r>
              <w:rPr>
                <w:sz w:val="4"/>
                <w:szCs w:val="4"/>
              </w:rPr>
            </w:r>
          </w:p>
        </w:tc>
        <w:tc>
          <w:tcPr>
            <w:tcW w:w="1759"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52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Matthew Harris(1)</w:t>
            </w:r>
          </w:p>
        </w:tc>
        <w:tc>
          <w:tcPr>
            <w:tcW w:w="120" w:type="dxa"/>
            <w:tcBorders/>
            <w:shd w:fill="E8F4FF" w:val="clear"/>
            <w:vAlign w:val="center"/>
          </w:tcPr>
          <w:p>
            <w:pPr>
              <w:pStyle w:val="TableContents"/>
              <w:bidi w:val="0"/>
              <w:spacing w:before="0" w:after="283"/>
              <w:jc w:val="left"/>
              <w:rPr/>
            </w:pPr>
            <w:r>
              <w:rPr/>
              <w:t>  </w:t>
            </w:r>
          </w:p>
        </w:tc>
        <w:tc>
          <w:tcPr>
            <w:tcW w:w="175" w:type="dxa"/>
            <w:tcBorders/>
            <w:shd w:fill="E8F4FF" w:val="clear"/>
            <w:vAlign w:val="center"/>
          </w:tcPr>
          <w:p>
            <w:pPr>
              <w:pStyle w:val="TableContents"/>
              <w:bidi w:val="0"/>
              <w:spacing w:before="0" w:after="283"/>
              <w:jc w:val="left"/>
              <w:rPr/>
            </w:pPr>
            <w:r>
              <w:rPr/>
              <w:t> </w:t>
            </w:r>
          </w:p>
        </w:tc>
        <w:tc>
          <w:tcPr>
            <w:tcW w:w="1990" w:type="dxa"/>
            <w:tcBorders/>
            <w:shd w:fill="E8F4FF" w:val="clear"/>
            <w:vAlign w:val="center"/>
          </w:tcPr>
          <w:p>
            <w:pPr>
              <w:pStyle w:val="TableContents"/>
              <w:bidi w:val="0"/>
              <w:spacing w:before="0" w:after="283"/>
              <w:jc w:val="right"/>
              <w:rPr/>
            </w:pPr>
            <w:r>
              <w:rPr/>
              <w:t>41,000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99" w:type="dxa"/>
            <w:tcBorders/>
            <w:shd w:fill="E8F4FF" w:val="clear"/>
            <w:vAlign w:val="center"/>
          </w:tcPr>
          <w:p>
            <w:pPr>
              <w:pStyle w:val="TableContents"/>
              <w:bidi w:val="0"/>
              <w:spacing w:before="0" w:after="283"/>
              <w:jc w:val="left"/>
              <w:rPr/>
            </w:pPr>
            <w:r>
              <w:rPr/>
              <w:t> </w:t>
            </w:r>
          </w:p>
        </w:tc>
        <w:tc>
          <w:tcPr>
            <w:tcW w:w="2925" w:type="dxa"/>
            <w:tcBorders/>
            <w:shd w:fill="E8F4FF" w:val="clear"/>
            <w:vAlign w:val="center"/>
          </w:tcPr>
          <w:p>
            <w:pPr>
              <w:pStyle w:val="TableContents"/>
              <w:bidi w:val="0"/>
              <w:spacing w:before="0" w:after="283"/>
              <w:jc w:val="right"/>
              <w:rPr/>
            </w:pPr>
            <w:r>
              <w:rPr/>
              <w:t>223,135(1)</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09" w:type="dxa"/>
            <w:tcBorders/>
            <w:shd w:fill="E8F4FF" w:val="clear"/>
            <w:vAlign w:val="center"/>
          </w:tcPr>
          <w:p>
            <w:pPr>
              <w:pStyle w:val="TableContents"/>
              <w:bidi w:val="0"/>
              <w:spacing w:before="0" w:after="283"/>
              <w:jc w:val="left"/>
              <w:rPr/>
            </w:pPr>
            <w:r>
              <w:rPr/>
              <w:t> </w:t>
            </w:r>
          </w:p>
        </w:tc>
        <w:tc>
          <w:tcPr>
            <w:tcW w:w="1455" w:type="dxa"/>
            <w:tcBorders/>
            <w:shd w:fill="E8F4FF" w:val="clear"/>
            <w:vAlign w:val="center"/>
          </w:tcPr>
          <w:p>
            <w:pPr>
              <w:pStyle w:val="TableContents"/>
              <w:bidi w:val="0"/>
              <w:spacing w:before="0" w:after="283"/>
              <w:jc w:val="right"/>
              <w:rPr/>
            </w:pPr>
            <w:r>
              <w:rPr/>
              <w:t>264,135</w:t>
            </w:r>
          </w:p>
        </w:tc>
        <w:tc>
          <w:tcPr>
            <w:tcW w:w="75" w:type="dxa"/>
            <w:tcBorders/>
            <w:shd w:fill="E8F4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2345" w:type="dxa"/>
            <w:gridSpan w:val="4"/>
            <w:tcBorders/>
            <w:vAlign w:val="center"/>
          </w:tcPr>
          <w:p>
            <w:pPr>
              <w:pStyle w:val="TableContents"/>
              <w:bidi w:val="0"/>
              <w:spacing w:before="0" w:after="283"/>
              <w:jc w:val="left"/>
              <w:rPr>
                <w:sz w:val="4"/>
                <w:szCs w:val="4"/>
              </w:rPr>
            </w:pPr>
            <w:r>
              <w:rPr>
                <w:sz w:val="4"/>
                <w:szCs w:val="4"/>
              </w:rPr>
            </w:r>
          </w:p>
        </w:tc>
        <w:tc>
          <w:tcPr>
            <w:tcW w:w="3304" w:type="dxa"/>
            <w:gridSpan w:val="4"/>
            <w:tcBorders/>
            <w:vAlign w:val="center"/>
          </w:tcPr>
          <w:p>
            <w:pPr>
              <w:pStyle w:val="TableContents"/>
              <w:bidi w:val="0"/>
              <w:spacing w:before="0" w:after="283"/>
              <w:jc w:val="left"/>
              <w:rPr>
                <w:sz w:val="4"/>
                <w:szCs w:val="4"/>
              </w:rPr>
            </w:pPr>
            <w:r>
              <w:rPr>
                <w:sz w:val="4"/>
                <w:szCs w:val="4"/>
              </w:rPr>
            </w:r>
          </w:p>
        </w:tc>
        <w:tc>
          <w:tcPr>
            <w:tcW w:w="1759"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Gretchen Howard</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41,000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2925" w:type="dxa"/>
            <w:tcBorders/>
            <w:vAlign w:val="center"/>
          </w:tcPr>
          <w:p>
            <w:pPr>
              <w:pStyle w:val="TableContents"/>
              <w:bidi w:val="0"/>
              <w:spacing w:before="0" w:after="283"/>
              <w:jc w:val="right"/>
              <w:rPr/>
            </w:pPr>
            <w:r>
              <w:rPr/>
              <w:t>174,992(5)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215,992</w:t>
            </w:r>
          </w:p>
        </w:tc>
        <w:tc>
          <w:tcPr>
            <w:tcW w:w="75" w:type="dxa"/>
            <w:tcBorders/>
            <w:vAlign w:val="center"/>
          </w:tcPr>
          <w:p>
            <w:pPr>
              <w:pStyle w:val="TableContents"/>
              <w:bidi w:val="0"/>
              <w:spacing w:before="0" w:after="283"/>
              <w:jc w:val="left"/>
              <w:rPr/>
            </w:pPr>
            <w:r>
              <w:rPr/>
              <w:t> </w:t>
            </w:r>
          </w:p>
        </w:tc>
      </w:tr>
      <w:tr>
        <w:trPr/>
        <w:tc>
          <w:tcPr>
            <w:tcW w:w="1520" w:type="dxa"/>
            <w:tcBorders/>
            <w:shd w:fill="E8F4FF" w:val="clear"/>
            <w:vAlign w:val="center"/>
          </w:tcPr>
          <w:p>
            <w:pPr>
              <w:pStyle w:val="TableContents"/>
              <w:bidi w:val="0"/>
              <w:spacing w:before="0" w:after="283"/>
              <w:jc w:val="left"/>
              <w:rPr>
                <w:sz w:val="4"/>
                <w:szCs w:val="4"/>
              </w:rPr>
            </w:pPr>
            <w:r>
              <w:rPr>
                <w:sz w:val="4"/>
                <w:szCs w:val="4"/>
              </w:rPr>
            </w:r>
          </w:p>
        </w:tc>
        <w:tc>
          <w:tcPr>
            <w:tcW w:w="2345" w:type="dxa"/>
            <w:gridSpan w:val="4"/>
            <w:tcBorders/>
            <w:shd w:fill="E8F4FF" w:val="clear"/>
            <w:vAlign w:val="center"/>
          </w:tcPr>
          <w:p>
            <w:pPr>
              <w:pStyle w:val="TableContents"/>
              <w:bidi w:val="0"/>
              <w:spacing w:before="0" w:after="283"/>
              <w:jc w:val="left"/>
              <w:rPr>
                <w:sz w:val="4"/>
                <w:szCs w:val="4"/>
              </w:rPr>
            </w:pPr>
            <w:r>
              <w:rPr>
                <w:sz w:val="4"/>
                <w:szCs w:val="4"/>
              </w:rPr>
            </w:r>
          </w:p>
        </w:tc>
        <w:tc>
          <w:tcPr>
            <w:tcW w:w="3304" w:type="dxa"/>
            <w:gridSpan w:val="4"/>
            <w:tcBorders/>
            <w:shd w:fill="E8F4FF" w:val="clear"/>
            <w:vAlign w:val="center"/>
          </w:tcPr>
          <w:p>
            <w:pPr>
              <w:pStyle w:val="TableContents"/>
              <w:bidi w:val="0"/>
              <w:spacing w:before="0" w:after="283"/>
              <w:jc w:val="left"/>
              <w:rPr>
                <w:sz w:val="4"/>
                <w:szCs w:val="4"/>
              </w:rPr>
            </w:pPr>
            <w:r>
              <w:rPr>
                <w:sz w:val="4"/>
                <w:szCs w:val="4"/>
              </w:rPr>
            </w:r>
          </w:p>
        </w:tc>
        <w:tc>
          <w:tcPr>
            <w:tcW w:w="1759"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52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Alex Finkelstein</w:t>
            </w:r>
          </w:p>
        </w:tc>
        <w:tc>
          <w:tcPr>
            <w:tcW w:w="120" w:type="dxa"/>
            <w:tcBorders/>
            <w:shd w:fill="E8F4FF" w:val="clear"/>
            <w:vAlign w:val="center"/>
          </w:tcPr>
          <w:p>
            <w:pPr>
              <w:pStyle w:val="TableContents"/>
              <w:bidi w:val="0"/>
              <w:spacing w:before="0" w:after="283"/>
              <w:jc w:val="left"/>
              <w:rPr/>
            </w:pPr>
            <w:r>
              <w:rPr/>
              <w:t>  </w:t>
            </w:r>
          </w:p>
        </w:tc>
        <w:tc>
          <w:tcPr>
            <w:tcW w:w="175" w:type="dxa"/>
            <w:tcBorders/>
            <w:shd w:fill="E8F4FF" w:val="clear"/>
            <w:vAlign w:val="center"/>
          </w:tcPr>
          <w:p>
            <w:pPr>
              <w:pStyle w:val="TableContents"/>
              <w:bidi w:val="0"/>
              <w:spacing w:before="0" w:after="283"/>
              <w:jc w:val="left"/>
              <w:rPr/>
            </w:pPr>
            <w:r>
              <w:rPr/>
              <w:t> </w:t>
            </w:r>
          </w:p>
        </w:tc>
        <w:tc>
          <w:tcPr>
            <w:tcW w:w="1990" w:type="dxa"/>
            <w:tcBorders/>
            <w:shd w:fill="E8F4FF" w:val="clear"/>
            <w:vAlign w:val="center"/>
          </w:tcPr>
          <w:p>
            <w:pPr>
              <w:pStyle w:val="TableContents"/>
              <w:bidi w:val="0"/>
              <w:spacing w:before="0" w:after="283"/>
              <w:jc w:val="right"/>
              <w:rPr/>
            </w:pPr>
            <w:r>
              <w:rPr/>
              <w:t>45,000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99" w:type="dxa"/>
            <w:tcBorders/>
            <w:shd w:fill="E8F4FF" w:val="clear"/>
            <w:vAlign w:val="center"/>
          </w:tcPr>
          <w:p>
            <w:pPr>
              <w:pStyle w:val="TableContents"/>
              <w:bidi w:val="0"/>
              <w:spacing w:before="0" w:after="283"/>
              <w:jc w:val="left"/>
              <w:rPr/>
            </w:pPr>
            <w:r>
              <w:rPr/>
              <w:t> </w:t>
            </w:r>
          </w:p>
        </w:tc>
        <w:tc>
          <w:tcPr>
            <w:tcW w:w="2925" w:type="dxa"/>
            <w:tcBorders/>
            <w:shd w:fill="E8F4FF" w:val="clear"/>
            <w:vAlign w:val="center"/>
          </w:tcPr>
          <w:p>
            <w:pPr>
              <w:pStyle w:val="TableContents"/>
              <w:bidi w:val="0"/>
              <w:spacing w:before="0" w:after="283"/>
              <w:jc w:val="right"/>
              <w:rPr/>
            </w:pPr>
            <w:r>
              <w:rPr/>
              <w:t>174,992(6)</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09" w:type="dxa"/>
            <w:tcBorders/>
            <w:shd w:fill="E8F4FF" w:val="clear"/>
            <w:vAlign w:val="center"/>
          </w:tcPr>
          <w:p>
            <w:pPr>
              <w:pStyle w:val="TableContents"/>
              <w:bidi w:val="0"/>
              <w:spacing w:before="0" w:after="283"/>
              <w:jc w:val="left"/>
              <w:rPr/>
            </w:pPr>
            <w:r>
              <w:rPr/>
              <w:t> </w:t>
            </w:r>
          </w:p>
        </w:tc>
        <w:tc>
          <w:tcPr>
            <w:tcW w:w="1455" w:type="dxa"/>
            <w:tcBorders/>
            <w:shd w:fill="E8F4FF" w:val="clear"/>
            <w:vAlign w:val="center"/>
          </w:tcPr>
          <w:p>
            <w:pPr>
              <w:pStyle w:val="TableContents"/>
              <w:bidi w:val="0"/>
              <w:spacing w:before="0" w:after="283"/>
              <w:jc w:val="right"/>
              <w:rPr/>
            </w:pPr>
            <w:r>
              <w:rPr/>
              <w:t>219,992</w:t>
            </w:r>
          </w:p>
        </w:tc>
        <w:tc>
          <w:tcPr>
            <w:tcW w:w="75" w:type="dxa"/>
            <w:tcBorders/>
            <w:shd w:fill="E8F4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2345" w:type="dxa"/>
            <w:gridSpan w:val="4"/>
            <w:tcBorders/>
            <w:vAlign w:val="center"/>
          </w:tcPr>
          <w:p>
            <w:pPr>
              <w:pStyle w:val="TableContents"/>
              <w:bidi w:val="0"/>
              <w:spacing w:before="0" w:after="283"/>
              <w:jc w:val="left"/>
              <w:rPr>
                <w:sz w:val="4"/>
                <w:szCs w:val="4"/>
              </w:rPr>
            </w:pPr>
            <w:r>
              <w:rPr>
                <w:sz w:val="4"/>
                <w:szCs w:val="4"/>
              </w:rPr>
            </w:r>
          </w:p>
        </w:tc>
        <w:tc>
          <w:tcPr>
            <w:tcW w:w="3304" w:type="dxa"/>
            <w:gridSpan w:val="4"/>
            <w:tcBorders/>
            <w:vAlign w:val="center"/>
          </w:tcPr>
          <w:p>
            <w:pPr>
              <w:pStyle w:val="TableContents"/>
              <w:bidi w:val="0"/>
              <w:spacing w:before="0" w:after="283"/>
              <w:jc w:val="left"/>
              <w:rPr>
                <w:sz w:val="4"/>
                <w:szCs w:val="4"/>
              </w:rPr>
            </w:pPr>
            <w:r>
              <w:rPr>
                <w:sz w:val="4"/>
                <w:szCs w:val="4"/>
              </w:rPr>
            </w:r>
          </w:p>
        </w:tc>
        <w:tc>
          <w:tcPr>
            <w:tcW w:w="1759"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Carleigh Jaques(2)</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5,258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2925" w:type="dxa"/>
            <w:tcBorders/>
            <w:vAlign w:val="center"/>
          </w:tcPr>
          <w:p>
            <w:pPr>
              <w:pStyle w:val="TableContents"/>
              <w:bidi w:val="0"/>
              <w:spacing w:before="0" w:after="283"/>
              <w:jc w:val="right"/>
              <w:rPr/>
            </w:pPr>
            <w:r>
              <w:rPr/>
              <w:t>349,998(7)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355,256</w:t>
            </w:r>
          </w:p>
        </w:tc>
        <w:tc>
          <w:tcPr>
            <w:tcW w:w="75" w:type="dxa"/>
            <w:tcBorders/>
            <w:vAlign w:val="center"/>
          </w:tcPr>
          <w:p>
            <w:pPr>
              <w:pStyle w:val="TableContents"/>
              <w:bidi w:val="0"/>
              <w:spacing w:before="0" w:after="283"/>
              <w:jc w:val="left"/>
              <w:rPr/>
            </w:pPr>
            <w:r>
              <w:rPr/>
              <w:t> </w:t>
            </w:r>
          </w:p>
        </w:tc>
      </w:tr>
      <w:tr>
        <w:trPr/>
        <w:tc>
          <w:tcPr>
            <w:tcW w:w="1520" w:type="dxa"/>
            <w:tcBorders/>
            <w:shd w:fill="E8F4FF" w:val="clear"/>
            <w:vAlign w:val="center"/>
          </w:tcPr>
          <w:p>
            <w:pPr>
              <w:pStyle w:val="TableContents"/>
              <w:bidi w:val="0"/>
              <w:spacing w:before="0" w:after="283"/>
              <w:jc w:val="left"/>
              <w:rPr>
                <w:sz w:val="4"/>
                <w:szCs w:val="4"/>
              </w:rPr>
            </w:pPr>
            <w:r>
              <w:rPr>
                <w:sz w:val="4"/>
                <w:szCs w:val="4"/>
              </w:rPr>
            </w:r>
          </w:p>
        </w:tc>
        <w:tc>
          <w:tcPr>
            <w:tcW w:w="2345" w:type="dxa"/>
            <w:gridSpan w:val="4"/>
            <w:tcBorders/>
            <w:shd w:fill="E8F4FF" w:val="clear"/>
            <w:vAlign w:val="center"/>
          </w:tcPr>
          <w:p>
            <w:pPr>
              <w:pStyle w:val="TableContents"/>
              <w:bidi w:val="0"/>
              <w:spacing w:before="0" w:after="283"/>
              <w:jc w:val="left"/>
              <w:rPr>
                <w:sz w:val="4"/>
                <w:szCs w:val="4"/>
              </w:rPr>
            </w:pPr>
            <w:r>
              <w:rPr>
                <w:sz w:val="4"/>
                <w:szCs w:val="4"/>
              </w:rPr>
            </w:r>
          </w:p>
        </w:tc>
        <w:tc>
          <w:tcPr>
            <w:tcW w:w="3304" w:type="dxa"/>
            <w:gridSpan w:val="4"/>
            <w:tcBorders/>
            <w:shd w:fill="E8F4FF" w:val="clear"/>
            <w:vAlign w:val="center"/>
          </w:tcPr>
          <w:p>
            <w:pPr>
              <w:pStyle w:val="TableContents"/>
              <w:bidi w:val="0"/>
              <w:spacing w:before="0" w:after="283"/>
              <w:jc w:val="left"/>
              <w:rPr>
                <w:sz w:val="4"/>
                <w:szCs w:val="4"/>
              </w:rPr>
            </w:pPr>
            <w:r>
              <w:rPr>
                <w:sz w:val="4"/>
                <w:szCs w:val="4"/>
              </w:rPr>
            </w:r>
          </w:p>
        </w:tc>
        <w:tc>
          <w:tcPr>
            <w:tcW w:w="1759"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52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Diane Offereins</w:t>
            </w:r>
          </w:p>
        </w:tc>
        <w:tc>
          <w:tcPr>
            <w:tcW w:w="120" w:type="dxa"/>
            <w:tcBorders/>
            <w:shd w:fill="E8F4FF" w:val="clear"/>
            <w:vAlign w:val="center"/>
          </w:tcPr>
          <w:p>
            <w:pPr>
              <w:pStyle w:val="TableContents"/>
              <w:bidi w:val="0"/>
              <w:spacing w:before="0" w:after="283"/>
              <w:jc w:val="left"/>
              <w:rPr/>
            </w:pPr>
            <w:r>
              <w:rPr/>
              <w:t>  </w:t>
            </w:r>
          </w:p>
        </w:tc>
        <w:tc>
          <w:tcPr>
            <w:tcW w:w="175" w:type="dxa"/>
            <w:tcBorders/>
            <w:shd w:fill="E8F4FF" w:val="clear"/>
            <w:vAlign w:val="center"/>
          </w:tcPr>
          <w:p>
            <w:pPr>
              <w:pStyle w:val="TableContents"/>
              <w:bidi w:val="0"/>
              <w:spacing w:before="0" w:after="283"/>
              <w:jc w:val="left"/>
              <w:rPr/>
            </w:pPr>
            <w:r>
              <w:rPr/>
              <w:t> </w:t>
            </w:r>
          </w:p>
        </w:tc>
        <w:tc>
          <w:tcPr>
            <w:tcW w:w="1990" w:type="dxa"/>
            <w:tcBorders/>
            <w:shd w:fill="E8F4FF" w:val="clear"/>
            <w:vAlign w:val="center"/>
          </w:tcPr>
          <w:p>
            <w:pPr>
              <w:pStyle w:val="TableContents"/>
              <w:bidi w:val="0"/>
              <w:spacing w:before="0" w:after="283"/>
              <w:jc w:val="right"/>
              <w:rPr/>
            </w:pPr>
            <w:r>
              <w:rPr/>
              <w:t>46,258</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99" w:type="dxa"/>
            <w:tcBorders/>
            <w:shd w:fill="E8F4FF" w:val="clear"/>
            <w:vAlign w:val="center"/>
          </w:tcPr>
          <w:p>
            <w:pPr>
              <w:pStyle w:val="TableContents"/>
              <w:bidi w:val="0"/>
              <w:spacing w:before="0" w:after="283"/>
              <w:jc w:val="left"/>
              <w:rPr/>
            </w:pPr>
            <w:r>
              <w:rPr/>
              <w:t> </w:t>
            </w:r>
          </w:p>
        </w:tc>
        <w:tc>
          <w:tcPr>
            <w:tcW w:w="2925" w:type="dxa"/>
            <w:tcBorders/>
            <w:shd w:fill="E8F4FF" w:val="clear"/>
            <w:vAlign w:val="center"/>
          </w:tcPr>
          <w:p>
            <w:pPr>
              <w:pStyle w:val="TableContents"/>
              <w:bidi w:val="0"/>
              <w:spacing w:before="0" w:after="283"/>
              <w:jc w:val="right"/>
              <w:rPr/>
            </w:pPr>
            <w:r>
              <w:rPr/>
              <w:t>174,992(8)</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09" w:type="dxa"/>
            <w:tcBorders/>
            <w:shd w:fill="E8F4FF" w:val="clear"/>
            <w:vAlign w:val="center"/>
          </w:tcPr>
          <w:p>
            <w:pPr>
              <w:pStyle w:val="TableContents"/>
              <w:bidi w:val="0"/>
              <w:spacing w:before="0" w:after="283"/>
              <w:jc w:val="left"/>
              <w:rPr/>
            </w:pPr>
            <w:r>
              <w:rPr/>
              <w:t> </w:t>
            </w:r>
          </w:p>
        </w:tc>
        <w:tc>
          <w:tcPr>
            <w:tcW w:w="1455" w:type="dxa"/>
            <w:tcBorders/>
            <w:shd w:fill="E8F4FF" w:val="clear"/>
            <w:vAlign w:val="center"/>
          </w:tcPr>
          <w:p>
            <w:pPr>
              <w:pStyle w:val="TableContents"/>
              <w:bidi w:val="0"/>
              <w:spacing w:before="0" w:after="283"/>
              <w:jc w:val="right"/>
              <w:rPr/>
            </w:pPr>
            <w:r>
              <w:rPr/>
              <w:t>221,250</w:t>
            </w:r>
          </w:p>
        </w:tc>
        <w:tc>
          <w:tcPr>
            <w:tcW w:w="75" w:type="dxa"/>
            <w:tcBorders/>
            <w:shd w:fill="E8F4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2345" w:type="dxa"/>
            <w:gridSpan w:val="4"/>
            <w:tcBorders/>
            <w:vAlign w:val="center"/>
          </w:tcPr>
          <w:p>
            <w:pPr>
              <w:pStyle w:val="TableContents"/>
              <w:bidi w:val="0"/>
              <w:spacing w:before="0" w:after="283"/>
              <w:jc w:val="left"/>
              <w:rPr>
                <w:sz w:val="4"/>
                <w:szCs w:val="4"/>
              </w:rPr>
            </w:pPr>
            <w:r>
              <w:rPr>
                <w:sz w:val="4"/>
                <w:szCs w:val="4"/>
              </w:rPr>
            </w:r>
          </w:p>
        </w:tc>
        <w:tc>
          <w:tcPr>
            <w:tcW w:w="3304" w:type="dxa"/>
            <w:gridSpan w:val="4"/>
            <w:tcBorders/>
            <w:vAlign w:val="center"/>
          </w:tcPr>
          <w:p>
            <w:pPr>
              <w:pStyle w:val="TableContents"/>
              <w:bidi w:val="0"/>
              <w:spacing w:before="0" w:after="283"/>
              <w:jc w:val="left"/>
              <w:rPr>
                <w:sz w:val="4"/>
                <w:szCs w:val="4"/>
              </w:rPr>
            </w:pPr>
            <w:r>
              <w:rPr>
                <w:sz w:val="4"/>
                <w:szCs w:val="4"/>
              </w:rPr>
            </w:r>
          </w:p>
        </w:tc>
        <w:tc>
          <w:tcPr>
            <w:tcW w:w="1759"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Phillip Riese</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83,000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2925" w:type="dxa"/>
            <w:tcBorders/>
            <w:vAlign w:val="center"/>
          </w:tcPr>
          <w:p>
            <w:pPr>
              <w:pStyle w:val="TableContents"/>
              <w:bidi w:val="0"/>
              <w:spacing w:before="0" w:after="283"/>
              <w:jc w:val="right"/>
              <w:rPr/>
            </w:pPr>
            <w:r>
              <w:rPr/>
              <w:t>174,992(9)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257,992</w:t>
            </w:r>
          </w:p>
        </w:tc>
        <w:tc>
          <w:tcPr>
            <w:tcW w:w="75" w:type="dxa"/>
            <w:tcBorders/>
            <w:vAlign w:val="center"/>
          </w:tcPr>
          <w:p>
            <w:pPr>
              <w:pStyle w:val="TableContents"/>
              <w:bidi w:val="0"/>
              <w:spacing w:before="0" w:after="283"/>
              <w:jc w:val="left"/>
              <w:rPr/>
            </w:pPr>
            <w:r>
              <w:rPr/>
              <w:t> </w:t>
            </w:r>
          </w:p>
        </w:tc>
      </w:tr>
      <w:tr>
        <w:trPr/>
        <w:tc>
          <w:tcPr>
            <w:tcW w:w="1520" w:type="dxa"/>
            <w:tcBorders/>
            <w:shd w:fill="E8F4FF" w:val="clear"/>
            <w:vAlign w:val="center"/>
          </w:tcPr>
          <w:p>
            <w:pPr>
              <w:pStyle w:val="TableContents"/>
              <w:bidi w:val="0"/>
              <w:spacing w:before="0" w:after="283"/>
              <w:jc w:val="left"/>
              <w:rPr>
                <w:sz w:val="4"/>
                <w:szCs w:val="4"/>
              </w:rPr>
            </w:pPr>
            <w:r>
              <w:rPr>
                <w:sz w:val="4"/>
                <w:szCs w:val="4"/>
              </w:rPr>
            </w:r>
          </w:p>
        </w:tc>
        <w:tc>
          <w:tcPr>
            <w:tcW w:w="2345" w:type="dxa"/>
            <w:gridSpan w:val="4"/>
            <w:tcBorders/>
            <w:shd w:fill="E8F4FF" w:val="clear"/>
            <w:vAlign w:val="center"/>
          </w:tcPr>
          <w:p>
            <w:pPr>
              <w:pStyle w:val="TableContents"/>
              <w:bidi w:val="0"/>
              <w:spacing w:before="0" w:after="283"/>
              <w:jc w:val="left"/>
              <w:rPr>
                <w:sz w:val="4"/>
                <w:szCs w:val="4"/>
              </w:rPr>
            </w:pPr>
            <w:r>
              <w:rPr>
                <w:sz w:val="4"/>
                <w:szCs w:val="4"/>
              </w:rPr>
            </w:r>
          </w:p>
        </w:tc>
        <w:tc>
          <w:tcPr>
            <w:tcW w:w="3304" w:type="dxa"/>
            <w:gridSpan w:val="4"/>
            <w:tcBorders/>
            <w:shd w:fill="E8F4FF" w:val="clear"/>
            <w:vAlign w:val="center"/>
          </w:tcPr>
          <w:p>
            <w:pPr>
              <w:pStyle w:val="TableContents"/>
              <w:bidi w:val="0"/>
              <w:spacing w:before="0" w:after="283"/>
              <w:jc w:val="left"/>
              <w:rPr>
                <w:sz w:val="4"/>
                <w:szCs w:val="4"/>
              </w:rPr>
            </w:pPr>
            <w:r>
              <w:rPr>
                <w:sz w:val="4"/>
                <w:szCs w:val="4"/>
              </w:rPr>
            </w:r>
          </w:p>
        </w:tc>
        <w:tc>
          <w:tcPr>
            <w:tcW w:w="1759"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2393FF"/>
            </w:tcBorders>
            <w:shd w:fill="E8F4FF" w:val="clear"/>
            <w:tcMar>
              <w:bottom w:w="120" w:type="dxa"/>
            </w:tcMar>
            <w:vAlign w:val="center"/>
          </w:tcPr>
          <w:p>
            <w:pPr>
              <w:pStyle w:val="TableContents"/>
              <w:bidi w:val="0"/>
              <w:spacing w:before="0" w:after="0"/>
              <w:jc w:val="left"/>
              <w:rPr>
                <w:rFonts w:ascii="ARIAL" w:hAnsi="ARIAL"/>
                <w:b/>
                <w:color w:val="2393FF"/>
                <w:sz w:val="16"/>
              </w:rPr>
            </w:pPr>
            <w:r>
              <w:rPr>
                <w:rFonts w:ascii="ARIAL" w:hAnsi="ARIAL"/>
                <w:b/>
                <w:color w:val="2393FF"/>
                <w:sz w:val="16"/>
              </w:rPr>
              <w:t>Edwin Santos</w:t>
            </w:r>
          </w:p>
        </w:tc>
        <w:tc>
          <w:tcPr>
            <w:tcW w:w="12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175"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1990" w:type="dxa"/>
            <w:tcBorders>
              <w:bottom w:val="single" w:sz="8" w:space="0" w:color="2393FF"/>
            </w:tcBorders>
            <w:shd w:fill="E8F4FF" w:val="clear"/>
            <w:tcMar>
              <w:bottom w:w="120" w:type="dxa"/>
            </w:tcMar>
            <w:vAlign w:val="center"/>
          </w:tcPr>
          <w:p>
            <w:pPr>
              <w:pStyle w:val="TableContents"/>
              <w:bidi w:val="0"/>
              <w:spacing w:before="0" w:after="283"/>
              <w:jc w:val="right"/>
              <w:rPr/>
            </w:pPr>
            <w:r>
              <w:rPr/>
              <w:t>59,000</w:t>
            </w:r>
          </w:p>
        </w:tc>
        <w:tc>
          <w:tcPr>
            <w:tcW w:w="60"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12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199"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2925" w:type="dxa"/>
            <w:tcBorders>
              <w:bottom w:val="single" w:sz="8" w:space="0" w:color="2393FF"/>
            </w:tcBorders>
            <w:shd w:fill="E8F4FF" w:val="clear"/>
            <w:tcMar>
              <w:bottom w:w="120" w:type="dxa"/>
            </w:tcMar>
            <w:vAlign w:val="center"/>
          </w:tcPr>
          <w:p>
            <w:pPr>
              <w:pStyle w:val="TableContents"/>
              <w:bidi w:val="0"/>
              <w:spacing w:before="0" w:after="283"/>
              <w:jc w:val="right"/>
              <w:rPr/>
            </w:pPr>
            <w:r>
              <w:rPr/>
              <w:t>174,992(10)</w:t>
            </w:r>
          </w:p>
        </w:tc>
        <w:tc>
          <w:tcPr>
            <w:tcW w:w="60"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12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109"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1455" w:type="dxa"/>
            <w:tcBorders>
              <w:bottom w:val="single" w:sz="8" w:space="0" w:color="2393FF"/>
            </w:tcBorders>
            <w:shd w:fill="E8F4FF" w:val="clear"/>
            <w:tcMar>
              <w:bottom w:w="120" w:type="dxa"/>
            </w:tcMar>
            <w:vAlign w:val="center"/>
          </w:tcPr>
          <w:p>
            <w:pPr>
              <w:pStyle w:val="TableContents"/>
              <w:bidi w:val="0"/>
              <w:spacing w:before="0" w:after="283"/>
              <w:jc w:val="right"/>
              <w:rPr/>
            </w:pPr>
            <w:r>
              <w:rPr/>
              <w:t>233,992</w:t>
            </w:r>
          </w:p>
        </w:tc>
        <w:tc>
          <w:tcPr>
            <w:tcW w:w="75"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color w:val="333333"/>
              </w:rPr>
            </w:pPr>
            <w:r>
              <w:rPr>
                <w:color w:val="333333"/>
              </w:rPr>
              <w:t>(1)</w:t>
            </w:r>
          </w:p>
        </w:tc>
        <w:tc>
          <w:tcPr>
            <w:tcW w:w="9969"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 connection with our initial public offering in May 2021, Mr. Harris waived the non-employee director restricted stock unit awards (RSUs) and the cash compensation under our non-employee director compensation plan. In December 2024, Mr. Harris withdrew his waiver and began receiving cash compensation for his service as a director under our non-employee director compensation plan. Following the withdrawal of the waiver, in recognition of contributions and commitment of time and effort made by Mr. Harris since joining our Board of Directors in 2015, our Board of Directors (i) authorized a one-time cash payment of $41,000 to Mr. Harris, which amount equaled the cash compensation Mr. Harris would have been paid in 2024 had he been receiving cash compensation under our non-employee director compensation plan and (ii) granted Mr. Harris an RSU for 10,466 shares of our common stock, which is the same number of shares underlying the annual RSUs automatically granted to our then continuing non-employee directors in connection with our 2024 annual meeting of stockholders pursuant to our non-employee director compensation plan. Consistent with the previously granted RSUs, Mr. Harris’ RSU award vests on the earlier of (a) June 4, 2025 or (b) the date of the 2025 annual meeting of stockholders, provided that Mr. Harris has provided continuous service as a director through such date. The one-time cash payment and equity award was authorized after consultation with our outside legal counsel who advised on the reasonableness of such compensation.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305"/>
        <w:gridCol w:w="4790"/>
      </w:tblGrid>
      <w:tr>
        <w:trPr/>
        <w:tc>
          <w:tcPr>
            <w:tcW w:w="305" w:type="dxa"/>
            <w:tcBorders/>
            <w:vAlign w:val="center"/>
          </w:tcPr>
          <w:p>
            <w:pPr>
              <w:pStyle w:val="TableContents"/>
              <w:bidi w:val="0"/>
              <w:spacing w:before="0" w:after="283"/>
              <w:jc w:val="left"/>
              <w:rPr>
                <w:color w:val="333333"/>
              </w:rPr>
            </w:pPr>
            <w:r>
              <w:rPr>
                <w:color w:val="333333"/>
              </w:rPr>
              <w:t>(2)</w:t>
            </w:r>
          </w:p>
        </w:tc>
        <w:tc>
          <w:tcPr>
            <w:tcW w:w="479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Ms. Jaques was appointed to the Board of Directors on November 19,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color w:val="333333"/>
              </w:rPr>
            </w:pPr>
            <w:r>
              <w:rPr>
                <w:color w:val="333333"/>
              </w:rPr>
              <w:t>(3)</w:t>
            </w:r>
          </w:p>
        </w:tc>
        <w:tc>
          <w:tcPr>
            <w:tcW w:w="9946"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The amounts in this column represent the aggregate grant date fair value of stock awards granted to the director during our fiscal year ended December 31, 2024, computed in accordance with FASB ASC Topic 718. See Note 13 to our financial statements included in the 2024 Annual Report for a discussion of our assumptions in determining the ASC 718 values of our stock awards.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  21  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935" w:type="dxa"/>
        <w:jc w:val="left"/>
        <w:tblInd w:w="0" w:type="dxa"/>
        <w:tblLayout w:type="fixed"/>
        <w:tblCellMar>
          <w:top w:w="0" w:type="dxa"/>
          <w:left w:w="0" w:type="dxa"/>
          <w:bottom w:w="0" w:type="dxa"/>
          <w:right w:w="0" w:type="dxa"/>
        </w:tblCellMar>
      </w:tblPr>
      <w:tblGrid>
        <w:gridCol w:w="305"/>
        <w:gridCol w:w="8630"/>
      </w:tblGrid>
      <w:tr>
        <w:trPr/>
        <w:tc>
          <w:tcPr>
            <w:tcW w:w="305" w:type="dxa"/>
            <w:tcBorders/>
            <w:vAlign w:val="center"/>
          </w:tcPr>
          <w:p>
            <w:pPr>
              <w:pStyle w:val="TableContents"/>
              <w:bidi w:val="0"/>
              <w:spacing w:before="0" w:after="283"/>
              <w:jc w:val="left"/>
              <w:rPr>
                <w:color w:val="333333"/>
              </w:rPr>
            </w:pPr>
            <w:r>
              <w:rPr>
                <w:color w:val="333333"/>
              </w:rPr>
              <w:t>(4)</w:t>
            </w:r>
          </w:p>
        </w:tc>
        <w:tc>
          <w:tcPr>
            <w:tcW w:w="863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As of December 31, 2024, our non-employee directors held options and RSUs to acquire the following number of shares of common stock: </w:t>
            </w:r>
          </w:p>
        </w:tc>
      </w:tr>
    </w:tbl>
    <w:p>
      <w:pPr>
        <w:pStyle w:val="TextBody"/>
        <w:bidi w:val="0"/>
        <w:spacing w:before="0" w:after="0"/>
        <w:jc w:val="left"/>
        <w:rPr/>
      </w:pPr>
      <w:r>
        <w:rPr/>
        <w:t> </w:t>
      </w:r>
    </w:p>
    <w:tbl>
      <w:tblPr>
        <w:tblW w:w="5535" w:type="dxa"/>
        <w:jc w:val="left"/>
        <w:tblInd w:w="0" w:type="dxa"/>
        <w:tblLayout w:type="fixed"/>
        <w:tblCellMar>
          <w:top w:w="0" w:type="dxa"/>
          <w:left w:w="0" w:type="dxa"/>
          <w:bottom w:w="0" w:type="dxa"/>
          <w:right w:w="0" w:type="dxa"/>
        </w:tblCellMar>
      </w:tblPr>
      <w:tblGrid>
        <w:gridCol w:w="1520"/>
        <w:gridCol w:w="120"/>
        <w:gridCol w:w="60"/>
        <w:gridCol w:w="1400"/>
        <w:gridCol w:w="60"/>
        <w:gridCol w:w="120"/>
        <w:gridCol w:w="60"/>
        <w:gridCol w:w="2120"/>
        <w:gridCol w:w="75"/>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20" w:type="dxa"/>
            <w:gridSpan w:val="6"/>
            <w:tcBorders>
              <w:bottom w:val="single" w:sz="8" w:space="0" w:color="2393FF"/>
            </w:tcBorders>
            <w:tcMar>
              <w:bottom w:w="28" w:type="dxa"/>
            </w:tcMar>
            <w:vAlign w:val="center"/>
          </w:tcPr>
          <w:p>
            <w:pPr>
              <w:pStyle w:val="TableContents"/>
              <w:bidi w:val="0"/>
              <w:spacing w:before="0" w:after="283"/>
              <w:jc w:val="center"/>
              <w:rPr/>
            </w:pPr>
            <w:r>
              <w:rPr>
                <w:b/>
              </w:rPr>
              <w:t xml:space="preserve">NUMBER OF SHARES </w:t>
            </w:r>
            <w:r>
              <w:rPr/>
              <w:br/>
            </w:r>
            <w:r>
              <w:rPr>
                <w:b/>
              </w:rPr>
              <w:t xml:space="preserve">UNDERLYING OUTSTANDING </w:t>
            </w:r>
            <w:r>
              <w:rPr/>
              <w:br/>
            </w:r>
            <w:r>
              <w:rPr>
                <w:b/>
              </w:rPr>
              <w:t xml:space="preserve">AWARDS </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23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right"/>
              <w:rPr>
                <w:rFonts w:ascii="ARIAL" w:hAnsi="ARIAL"/>
                <w:b/>
                <w:sz w:val="14"/>
              </w:rPr>
            </w:pPr>
            <w:r>
              <w:rPr>
                <w:rFonts w:ascii="ARIAL" w:hAnsi="ARIAL"/>
                <w:b/>
                <w:sz w:val="14"/>
              </w:rPr>
              <w:t>OPTION</w:t>
            </w:r>
          </w:p>
          <w:p>
            <w:pPr>
              <w:pStyle w:val="TableContents"/>
              <w:bidi w:val="0"/>
              <w:spacing w:before="0" w:after="20"/>
              <w:jc w:val="right"/>
              <w:rPr>
                <w:rFonts w:ascii="ARIAL" w:hAnsi="ARIAL"/>
                <w:b/>
                <w:sz w:val="14"/>
              </w:rPr>
            </w:pPr>
            <w:r>
              <w:rPr>
                <w:rFonts w:ascii="ARIAL" w:hAnsi="ARIAL"/>
                <w:b/>
                <w:sz w:val="14"/>
              </w:rPr>
              <w:t>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0" w:type="dxa"/>
            <w:gridSpan w:val="2"/>
            <w:tcBorders/>
            <w:vAlign w:val="center"/>
          </w:tcPr>
          <w:p>
            <w:pPr>
              <w:pStyle w:val="TableContents"/>
              <w:bidi w:val="0"/>
              <w:spacing w:before="0" w:after="0"/>
              <w:jc w:val="right"/>
              <w:rPr>
                <w:rFonts w:ascii="ARIAL" w:hAnsi="ARIAL"/>
                <w:b/>
                <w:sz w:val="14"/>
              </w:rPr>
            </w:pPr>
            <w:r>
              <w:rPr>
                <w:rFonts w:ascii="ARIAL" w:hAnsi="ARIAL"/>
                <w:b/>
                <w:sz w:val="14"/>
              </w:rPr>
              <w:t>RSUS</w:t>
            </w:r>
          </w:p>
          <w:p>
            <w:pPr>
              <w:pStyle w:val="TableContents"/>
              <w:bidi w:val="0"/>
              <w:spacing w:before="0" w:after="20"/>
              <w:jc w:val="right"/>
              <w:rPr>
                <w:rFonts w:ascii="ARIAL" w:hAnsi="ARIAL"/>
                <w:b/>
                <w:sz w:val="14"/>
              </w:rPr>
            </w:pPr>
            <w:r>
              <w:rPr>
                <w:rFonts w:ascii="ARIAL" w:hAnsi="ARIAL"/>
                <w:b/>
                <w:sz w:val="14"/>
              </w:rPr>
              <w:t>AWARDS</w:t>
            </w:r>
          </w:p>
        </w:tc>
        <w:tc>
          <w:tcPr>
            <w:tcW w:w="75" w:type="dxa"/>
            <w:tcBorders/>
            <w:vAlign w:val="center"/>
          </w:tcPr>
          <w:p>
            <w:pPr>
              <w:pStyle w:val="TableContents"/>
              <w:bidi w:val="0"/>
              <w:spacing w:before="0" w:after="283"/>
              <w:jc w:val="left"/>
              <w:rPr/>
            </w:pPr>
            <w:r>
              <w:rPr/>
              <w:t> </w:t>
            </w:r>
          </w:p>
        </w:tc>
      </w:tr>
      <w:tr>
        <w:trPr/>
        <w:tc>
          <w:tcPr>
            <w:tcW w:w="1520" w:type="dxa"/>
            <w:tcBorders/>
            <w:shd w:fill="E8F4FF" w:val="clear"/>
            <w:vAlign w:val="center"/>
          </w:tcPr>
          <w:p>
            <w:pPr>
              <w:pStyle w:val="TableContents"/>
              <w:bidi w:val="0"/>
              <w:spacing w:before="0" w:after="283"/>
              <w:jc w:val="left"/>
              <w:rPr>
                <w:sz w:val="4"/>
                <w:szCs w:val="4"/>
              </w:rPr>
            </w:pPr>
            <w:r>
              <w:rPr>
                <w:sz w:val="4"/>
                <w:szCs w:val="4"/>
              </w:rPr>
            </w:r>
          </w:p>
        </w:tc>
        <w:tc>
          <w:tcPr>
            <w:tcW w:w="1640" w:type="dxa"/>
            <w:gridSpan w:val="4"/>
            <w:tcBorders/>
            <w:shd w:fill="E8F4FF" w:val="clear"/>
            <w:vAlign w:val="center"/>
          </w:tcPr>
          <w:p>
            <w:pPr>
              <w:pStyle w:val="TableContents"/>
              <w:bidi w:val="0"/>
              <w:spacing w:before="0" w:after="283"/>
              <w:jc w:val="left"/>
              <w:rPr>
                <w:sz w:val="4"/>
                <w:szCs w:val="4"/>
              </w:rPr>
            </w:pPr>
            <w:r>
              <w:rPr>
                <w:sz w:val="4"/>
                <w:szCs w:val="4"/>
              </w:rPr>
            </w:r>
          </w:p>
        </w:tc>
        <w:tc>
          <w:tcPr>
            <w:tcW w:w="237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52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Matthew Harris(1)</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400" w:type="dxa"/>
            <w:tcBorders/>
            <w:shd w:fill="E8F4FF" w:val="clear"/>
            <w:vAlign w:val="center"/>
          </w:tcPr>
          <w:p>
            <w:pPr>
              <w:pStyle w:val="TableContents"/>
              <w:bidi w:val="0"/>
              <w:spacing w:before="0" w:after="283"/>
              <w:jc w:val="right"/>
              <w:rPr/>
            </w:pPr>
            <w:r>
              <w:rPr/>
              <w:t>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2120" w:type="dxa"/>
            <w:tcBorders/>
            <w:shd w:fill="E8F4FF" w:val="clear"/>
            <w:vAlign w:val="center"/>
          </w:tcPr>
          <w:p>
            <w:pPr>
              <w:pStyle w:val="TableContents"/>
              <w:bidi w:val="0"/>
              <w:spacing w:before="0" w:after="283"/>
              <w:jc w:val="right"/>
              <w:rPr/>
            </w:pPr>
            <w:r>
              <w:rPr/>
              <w:t>      </w:t>
            </w:r>
            <w:r>
              <w:rPr/>
              <w:t>10,466</w:t>
            </w:r>
          </w:p>
        </w:tc>
        <w:tc>
          <w:tcPr>
            <w:tcW w:w="75" w:type="dxa"/>
            <w:tcBorders/>
            <w:shd w:fill="E8F4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23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Gretchen Howard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right"/>
              <w:rPr/>
            </w:pPr>
            <w:r>
              <w:rPr/>
              <w:t>18,076</w:t>
            </w:r>
          </w:p>
        </w:tc>
        <w:tc>
          <w:tcPr>
            <w:tcW w:w="75" w:type="dxa"/>
            <w:tcBorders/>
            <w:vAlign w:val="center"/>
          </w:tcPr>
          <w:p>
            <w:pPr>
              <w:pStyle w:val="TableContents"/>
              <w:bidi w:val="0"/>
              <w:spacing w:before="0" w:after="283"/>
              <w:jc w:val="left"/>
              <w:rPr/>
            </w:pPr>
            <w:r>
              <w:rPr/>
              <w:t> </w:t>
            </w:r>
          </w:p>
        </w:tc>
      </w:tr>
      <w:tr>
        <w:trPr/>
        <w:tc>
          <w:tcPr>
            <w:tcW w:w="1520" w:type="dxa"/>
            <w:tcBorders/>
            <w:shd w:fill="E8F4FF" w:val="clear"/>
            <w:vAlign w:val="center"/>
          </w:tcPr>
          <w:p>
            <w:pPr>
              <w:pStyle w:val="TableContents"/>
              <w:bidi w:val="0"/>
              <w:spacing w:before="0" w:after="283"/>
              <w:jc w:val="left"/>
              <w:rPr>
                <w:sz w:val="4"/>
                <w:szCs w:val="4"/>
              </w:rPr>
            </w:pPr>
            <w:r>
              <w:rPr>
                <w:sz w:val="4"/>
                <w:szCs w:val="4"/>
              </w:rPr>
            </w:r>
          </w:p>
        </w:tc>
        <w:tc>
          <w:tcPr>
            <w:tcW w:w="1640" w:type="dxa"/>
            <w:gridSpan w:val="4"/>
            <w:tcBorders/>
            <w:shd w:fill="E8F4FF" w:val="clear"/>
            <w:vAlign w:val="center"/>
          </w:tcPr>
          <w:p>
            <w:pPr>
              <w:pStyle w:val="TableContents"/>
              <w:bidi w:val="0"/>
              <w:spacing w:before="0" w:after="283"/>
              <w:jc w:val="left"/>
              <w:rPr>
                <w:sz w:val="4"/>
                <w:szCs w:val="4"/>
              </w:rPr>
            </w:pPr>
            <w:r>
              <w:rPr>
                <w:sz w:val="4"/>
                <w:szCs w:val="4"/>
              </w:rPr>
            </w:r>
          </w:p>
        </w:tc>
        <w:tc>
          <w:tcPr>
            <w:tcW w:w="237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52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Alex Finkelstein</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400" w:type="dxa"/>
            <w:tcBorders/>
            <w:shd w:fill="E8F4FF" w:val="clear"/>
            <w:vAlign w:val="center"/>
          </w:tcPr>
          <w:p>
            <w:pPr>
              <w:pStyle w:val="TableContents"/>
              <w:bidi w:val="0"/>
              <w:spacing w:before="0" w:after="283"/>
              <w:jc w:val="right"/>
              <w:rPr/>
            </w:pPr>
            <w:r>
              <w:rPr/>
              <w:t>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2120" w:type="dxa"/>
            <w:tcBorders/>
            <w:shd w:fill="E8F4FF" w:val="clear"/>
            <w:vAlign w:val="center"/>
          </w:tcPr>
          <w:p>
            <w:pPr>
              <w:pStyle w:val="TableContents"/>
              <w:bidi w:val="0"/>
              <w:spacing w:before="0" w:after="283"/>
              <w:jc w:val="right"/>
              <w:rPr/>
            </w:pPr>
            <w:r>
              <w:rPr/>
              <w:t>10,466</w:t>
            </w:r>
          </w:p>
        </w:tc>
        <w:tc>
          <w:tcPr>
            <w:tcW w:w="75" w:type="dxa"/>
            <w:tcBorders/>
            <w:shd w:fill="E8F4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23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Carleigh Jaques(2)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right"/>
              <w:rPr/>
            </w:pPr>
            <w:r>
              <w:rPr/>
              <w:t>15,604</w:t>
            </w:r>
          </w:p>
        </w:tc>
        <w:tc>
          <w:tcPr>
            <w:tcW w:w="75" w:type="dxa"/>
            <w:tcBorders/>
            <w:vAlign w:val="center"/>
          </w:tcPr>
          <w:p>
            <w:pPr>
              <w:pStyle w:val="TableContents"/>
              <w:bidi w:val="0"/>
              <w:spacing w:before="0" w:after="283"/>
              <w:jc w:val="left"/>
              <w:rPr/>
            </w:pPr>
            <w:r>
              <w:rPr/>
              <w:t> </w:t>
            </w:r>
          </w:p>
        </w:tc>
      </w:tr>
      <w:tr>
        <w:trPr/>
        <w:tc>
          <w:tcPr>
            <w:tcW w:w="1520" w:type="dxa"/>
            <w:tcBorders/>
            <w:shd w:fill="E8F4FF" w:val="clear"/>
            <w:vAlign w:val="center"/>
          </w:tcPr>
          <w:p>
            <w:pPr>
              <w:pStyle w:val="TableContents"/>
              <w:bidi w:val="0"/>
              <w:spacing w:before="0" w:after="283"/>
              <w:jc w:val="left"/>
              <w:rPr>
                <w:sz w:val="4"/>
                <w:szCs w:val="4"/>
              </w:rPr>
            </w:pPr>
            <w:r>
              <w:rPr>
                <w:sz w:val="4"/>
                <w:szCs w:val="4"/>
              </w:rPr>
            </w:r>
          </w:p>
        </w:tc>
        <w:tc>
          <w:tcPr>
            <w:tcW w:w="1640" w:type="dxa"/>
            <w:gridSpan w:val="4"/>
            <w:tcBorders/>
            <w:shd w:fill="E8F4FF" w:val="clear"/>
            <w:vAlign w:val="center"/>
          </w:tcPr>
          <w:p>
            <w:pPr>
              <w:pStyle w:val="TableContents"/>
              <w:bidi w:val="0"/>
              <w:spacing w:before="0" w:after="283"/>
              <w:jc w:val="left"/>
              <w:rPr>
                <w:sz w:val="4"/>
                <w:szCs w:val="4"/>
              </w:rPr>
            </w:pPr>
            <w:r>
              <w:rPr>
                <w:sz w:val="4"/>
                <w:szCs w:val="4"/>
              </w:rPr>
            </w:r>
          </w:p>
        </w:tc>
        <w:tc>
          <w:tcPr>
            <w:tcW w:w="237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52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Diane Offereins</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400" w:type="dxa"/>
            <w:tcBorders/>
            <w:shd w:fill="E8F4FF" w:val="clear"/>
            <w:vAlign w:val="center"/>
          </w:tcPr>
          <w:p>
            <w:pPr>
              <w:pStyle w:val="TableContents"/>
              <w:bidi w:val="0"/>
              <w:spacing w:before="0" w:after="283"/>
              <w:jc w:val="right"/>
              <w:rPr/>
            </w:pPr>
            <w:r>
              <w:rPr/>
              <w:t>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2120" w:type="dxa"/>
            <w:tcBorders/>
            <w:shd w:fill="E8F4FF" w:val="clear"/>
            <w:vAlign w:val="center"/>
          </w:tcPr>
          <w:p>
            <w:pPr>
              <w:pStyle w:val="TableContents"/>
              <w:bidi w:val="0"/>
              <w:spacing w:before="0" w:after="283"/>
              <w:jc w:val="right"/>
              <w:rPr/>
            </w:pPr>
            <w:r>
              <w:rPr/>
              <w:t>15,038</w:t>
            </w:r>
          </w:p>
        </w:tc>
        <w:tc>
          <w:tcPr>
            <w:tcW w:w="75" w:type="dxa"/>
            <w:tcBorders/>
            <w:shd w:fill="E8F4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23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Phillip Riese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r>
              <w:rPr/>
              <w:t>198,000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right"/>
              <w:rPr/>
            </w:pPr>
            <w:r>
              <w:rPr/>
              <w:t>10,466</w:t>
            </w:r>
          </w:p>
        </w:tc>
        <w:tc>
          <w:tcPr>
            <w:tcW w:w="75" w:type="dxa"/>
            <w:tcBorders/>
            <w:vAlign w:val="center"/>
          </w:tcPr>
          <w:p>
            <w:pPr>
              <w:pStyle w:val="TableContents"/>
              <w:bidi w:val="0"/>
              <w:spacing w:before="0" w:after="283"/>
              <w:jc w:val="left"/>
              <w:rPr/>
            </w:pPr>
            <w:r>
              <w:rPr/>
              <w:t> </w:t>
            </w:r>
          </w:p>
        </w:tc>
      </w:tr>
      <w:tr>
        <w:trPr/>
        <w:tc>
          <w:tcPr>
            <w:tcW w:w="1520" w:type="dxa"/>
            <w:tcBorders/>
            <w:shd w:fill="E8F4FF" w:val="clear"/>
            <w:vAlign w:val="center"/>
          </w:tcPr>
          <w:p>
            <w:pPr>
              <w:pStyle w:val="TableContents"/>
              <w:bidi w:val="0"/>
              <w:spacing w:before="0" w:after="283"/>
              <w:jc w:val="left"/>
              <w:rPr>
                <w:sz w:val="4"/>
                <w:szCs w:val="4"/>
              </w:rPr>
            </w:pPr>
            <w:r>
              <w:rPr>
                <w:sz w:val="4"/>
                <w:szCs w:val="4"/>
              </w:rPr>
            </w:r>
          </w:p>
        </w:tc>
        <w:tc>
          <w:tcPr>
            <w:tcW w:w="1640" w:type="dxa"/>
            <w:gridSpan w:val="4"/>
            <w:tcBorders/>
            <w:shd w:fill="E8F4FF" w:val="clear"/>
            <w:vAlign w:val="center"/>
          </w:tcPr>
          <w:p>
            <w:pPr>
              <w:pStyle w:val="TableContents"/>
              <w:bidi w:val="0"/>
              <w:spacing w:before="0" w:after="283"/>
              <w:jc w:val="left"/>
              <w:rPr>
                <w:sz w:val="4"/>
                <w:szCs w:val="4"/>
              </w:rPr>
            </w:pPr>
            <w:r>
              <w:rPr>
                <w:sz w:val="4"/>
                <w:szCs w:val="4"/>
              </w:rPr>
            </w:r>
          </w:p>
        </w:tc>
        <w:tc>
          <w:tcPr>
            <w:tcW w:w="237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2393FF"/>
            </w:tcBorders>
            <w:shd w:fill="E8F4FF" w:val="clear"/>
            <w:tcMar>
              <w:bottom w:w="120" w:type="dxa"/>
            </w:tcMar>
            <w:vAlign w:val="center"/>
          </w:tcPr>
          <w:p>
            <w:pPr>
              <w:pStyle w:val="TableContents"/>
              <w:bidi w:val="0"/>
              <w:spacing w:before="0" w:after="0"/>
              <w:jc w:val="left"/>
              <w:rPr>
                <w:rFonts w:ascii="ARIAL" w:hAnsi="ARIAL"/>
                <w:b/>
                <w:color w:val="2393FF"/>
                <w:sz w:val="16"/>
              </w:rPr>
            </w:pPr>
            <w:r>
              <w:rPr>
                <w:rFonts w:ascii="ARIAL" w:hAnsi="ARIAL"/>
                <w:b/>
                <w:color w:val="2393FF"/>
                <w:sz w:val="16"/>
              </w:rPr>
              <w:t>Edwin Santos</w:t>
            </w:r>
          </w:p>
        </w:tc>
        <w:tc>
          <w:tcPr>
            <w:tcW w:w="12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60"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1400" w:type="dxa"/>
            <w:tcBorders>
              <w:bottom w:val="single" w:sz="8" w:space="0" w:color="2393FF"/>
            </w:tcBorders>
            <w:shd w:fill="E8F4FF" w:val="clear"/>
            <w:tcMar>
              <w:bottom w:w="120" w:type="dxa"/>
            </w:tcMar>
            <w:vAlign w:val="center"/>
          </w:tcPr>
          <w:p>
            <w:pPr>
              <w:pStyle w:val="TableContents"/>
              <w:bidi w:val="0"/>
              <w:spacing w:before="0" w:after="283"/>
              <w:jc w:val="right"/>
              <w:rPr/>
            </w:pPr>
            <w:r>
              <w:rPr/>
              <w:t>0</w:t>
            </w:r>
          </w:p>
        </w:tc>
        <w:tc>
          <w:tcPr>
            <w:tcW w:w="60"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12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60"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2120" w:type="dxa"/>
            <w:tcBorders>
              <w:bottom w:val="single" w:sz="8" w:space="0" w:color="2393FF"/>
            </w:tcBorders>
            <w:shd w:fill="E8F4FF" w:val="clear"/>
            <w:tcMar>
              <w:bottom w:w="120" w:type="dxa"/>
            </w:tcMar>
            <w:vAlign w:val="center"/>
          </w:tcPr>
          <w:p>
            <w:pPr>
              <w:pStyle w:val="TableContents"/>
              <w:bidi w:val="0"/>
              <w:spacing w:before="0" w:after="283"/>
              <w:jc w:val="right"/>
              <w:rPr/>
            </w:pPr>
            <w:r>
              <w:rPr/>
              <w:t>10,466</w:t>
            </w:r>
          </w:p>
        </w:tc>
        <w:tc>
          <w:tcPr>
            <w:tcW w:w="75"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305"/>
        <w:gridCol w:w="9815"/>
      </w:tblGrid>
      <w:tr>
        <w:trPr/>
        <w:tc>
          <w:tcPr>
            <w:tcW w:w="305" w:type="dxa"/>
            <w:tcBorders/>
            <w:vAlign w:val="center"/>
          </w:tcPr>
          <w:p>
            <w:pPr>
              <w:pStyle w:val="TableContents"/>
              <w:bidi w:val="0"/>
              <w:spacing w:before="0" w:after="283"/>
              <w:jc w:val="left"/>
              <w:rPr>
                <w:color w:val="333333"/>
              </w:rPr>
            </w:pPr>
            <w:r>
              <w:rPr>
                <w:color w:val="333333"/>
              </w:rPr>
              <w:t>(5)</w:t>
            </w:r>
          </w:p>
        </w:tc>
        <w:tc>
          <w:tcPr>
            <w:tcW w:w="981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On June 4, 2024, Ms. Howard was granted an annual RSU for 10,466 shares of our common stock pursuant to our non-employee director compensation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color w:val="333333"/>
              </w:rPr>
            </w:pPr>
            <w:r>
              <w:rPr>
                <w:color w:val="333333"/>
              </w:rPr>
              <w:t>(6)</w:t>
            </w:r>
          </w:p>
        </w:tc>
        <w:tc>
          <w:tcPr>
            <w:tcW w:w="9901"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On June 4, 2024, Mr. Finkelstein was granted an annual RSU for 10,466 shares of our common stock pursuant to our non-employee director compensation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color w:val="333333"/>
              </w:rPr>
            </w:pPr>
            <w:r>
              <w:rPr>
                <w:color w:val="333333"/>
              </w:rPr>
              <w:t>(7)</w:t>
            </w:r>
          </w:p>
        </w:tc>
        <w:tc>
          <w:tcPr>
            <w:tcW w:w="9902"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On November 19, 2024, Ms. Jaques was granted an initial RSU for 15,604 shares of our common stock pursuant to our non-employee director compensation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color w:val="333333"/>
              </w:rPr>
            </w:pPr>
            <w:r>
              <w:rPr>
                <w:color w:val="333333"/>
              </w:rPr>
              <w:t>(8)</w:t>
            </w:r>
          </w:p>
        </w:tc>
        <w:tc>
          <w:tcPr>
            <w:tcW w:w="9901"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On June 4, 2024, Ms. Offereins was granted an annual RSU for 10,466 shares of our common stock pursuant to our non-employee director compensation plan.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305"/>
        <w:gridCol w:w="9680"/>
      </w:tblGrid>
      <w:tr>
        <w:trPr/>
        <w:tc>
          <w:tcPr>
            <w:tcW w:w="305" w:type="dxa"/>
            <w:tcBorders/>
            <w:vAlign w:val="center"/>
          </w:tcPr>
          <w:p>
            <w:pPr>
              <w:pStyle w:val="TableContents"/>
              <w:bidi w:val="0"/>
              <w:spacing w:before="0" w:after="283"/>
              <w:jc w:val="left"/>
              <w:rPr>
                <w:color w:val="333333"/>
              </w:rPr>
            </w:pPr>
            <w:r>
              <w:rPr>
                <w:color w:val="333333"/>
              </w:rPr>
              <w:t>(9)</w:t>
            </w:r>
          </w:p>
        </w:tc>
        <w:tc>
          <w:tcPr>
            <w:tcW w:w="968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On June 4, 2024, Mr. Riese was granted an annual RSU for 10,466 shares of our common stock pursuant to our non-employee director compensation plan. </w:t>
            </w:r>
          </w:p>
        </w:tc>
      </w:tr>
    </w:tbl>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425"/>
        <w:gridCol w:w="9770"/>
      </w:tblGrid>
      <w:tr>
        <w:trPr/>
        <w:tc>
          <w:tcPr>
            <w:tcW w:w="425" w:type="dxa"/>
            <w:tcBorders/>
            <w:vAlign w:val="center"/>
          </w:tcPr>
          <w:p>
            <w:pPr>
              <w:pStyle w:val="TableContents"/>
              <w:bidi w:val="0"/>
              <w:spacing w:before="0" w:after="283"/>
              <w:jc w:val="left"/>
              <w:rPr>
                <w:color w:val="333333"/>
              </w:rPr>
            </w:pPr>
            <w:r>
              <w:rPr>
                <w:color w:val="333333"/>
              </w:rPr>
              <w:t>(10)</w:t>
            </w:r>
          </w:p>
        </w:tc>
        <w:tc>
          <w:tcPr>
            <w:tcW w:w="977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On June 4, 2024, Mr. Santos was granted an annual RSU for 10,466 shares of our common stock pursuant to our non-employee director compensation plan. </w:t>
            </w:r>
          </w:p>
        </w:tc>
      </w:tr>
    </w:tbl>
    <w:p>
      <w:pPr>
        <w:pStyle w:val="TextBody"/>
        <w:bidi w:val="0"/>
        <w:spacing w:before="360" w:after="0"/>
        <w:jc w:val="left"/>
        <w:rPr>
          <w:rFonts w:ascii="ARIAL" w:hAnsi="ARIAL"/>
          <w:sz w:val="20"/>
        </w:rPr>
      </w:pPr>
      <w:bookmarkStart w:id="35" w:name="toc917810_32"/>
      <w:bookmarkEnd w:id="35"/>
      <w:r>
        <w:rPr>
          <w:rFonts w:ascii="ARIAL" w:hAnsi="ARIAL"/>
          <w:sz w:val="20"/>
        </w:rPr>
        <w:t xml:space="preserve">NON-EMPLOYEE DIRECTOR COMPENSATION </w:t>
      </w:r>
    </w:p>
    <w:p>
      <w:pPr>
        <w:pStyle w:val="TextBody"/>
        <w:bidi w:val="0"/>
        <w:spacing w:before="200" w:after="0"/>
        <w:jc w:val="left"/>
        <w:rPr>
          <w:rFonts w:ascii="ARIAL" w:hAnsi="ARIAL"/>
          <w:sz w:val="18"/>
        </w:rPr>
      </w:pPr>
      <w:r>
        <w:rPr>
          <w:rFonts w:ascii="ARIAL" w:hAnsi="ARIAL"/>
          <w:sz w:val="18"/>
        </w:rPr>
        <w:t xml:space="preserve">For the year ended December 31, 2024, pursuant to our then current non-employee director compensation plan, each non-employee member of our Board of Directors received the following cash and equity compensation for board services, as applicable: </w:t>
      </w:r>
    </w:p>
    <w:p>
      <w:pPr>
        <w:pStyle w:val="TextBody"/>
        <w:bidi w:val="0"/>
        <w:spacing w:before="0" w:after="0"/>
        <w:jc w:val="left"/>
        <w:rPr/>
      </w:pPr>
      <w:r>
        <w:rPr/>
        <w:t> </w:t>
      </w:r>
    </w:p>
    <w:tbl>
      <w:tblPr>
        <w:tblW w:w="10300" w:type="dxa"/>
        <w:jc w:val="left"/>
        <w:tblInd w:w="0" w:type="dxa"/>
        <w:tblLayout w:type="fixed"/>
        <w:tblCellMar>
          <w:top w:w="0" w:type="dxa"/>
          <w:left w:w="0" w:type="dxa"/>
          <w:bottom w:w="0" w:type="dxa"/>
          <w:right w:w="0" w:type="dxa"/>
        </w:tblCellMar>
      </w:tblPr>
      <w:tblGrid>
        <w:gridCol w:w="2150"/>
        <w:gridCol w:w="120"/>
        <w:gridCol w:w="815"/>
        <w:gridCol w:w="120"/>
        <w:gridCol w:w="2060"/>
        <w:gridCol w:w="60"/>
        <w:gridCol w:w="2555"/>
        <w:gridCol w:w="60"/>
        <w:gridCol w:w="236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b/>
              </w:rPr>
            </w:pPr>
            <w:r>
              <w:rPr>
                <w:b/>
              </w:rPr>
              <w:t>ROLE</w:t>
            </w:r>
          </w:p>
        </w:tc>
        <w:tc>
          <w:tcPr>
            <w:tcW w:w="12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pPr>
            <w:r>
              <w:rPr/>
              <w:t>    </w:t>
            </w:r>
            <w:r>
              <w:rPr>
                <w:b/>
              </w:rPr>
              <w:t>ANNUAL CASH    </w:t>
              <w:br/>
              <w:t>RETAINER(1)</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pPr>
            <w:r>
              <w:rPr/>
              <w:t>    </w:t>
            </w:r>
            <w:r>
              <w:rPr>
                <w:rFonts w:ascii="ARIAL" w:hAnsi="ARIAL"/>
                <w:b/>
                <w:sz w:val="14"/>
              </w:rPr>
              <w:t>INITIAL EQUITY     </w:t>
            </w:r>
          </w:p>
          <w:p>
            <w:pPr>
              <w:pStyle w:val="TableContents"/>
              <w:bidi w:val="0"/>
              <w:spacing w:before="0" w:after="20"/>
              <w:jc w:val="center"/>
              <w:rPr>
                <w:rFonts w:ascii="ARIAL" w:hAnsi="ARIAL"/>
                <w:b/>
                <w:sz w:val="14"/>
              </w:rPr>
            </w:pPr>
            <w:r>
              <w:rPr>
                <w:rFonts w:ascii="ARIAL" w:hAnsi="ARIAL"/>
                <w:b/>
                <w:sz w:val="14"/>
              </w:rPr>
              <w:t>GRANT(2)(3)</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    </w:t>
            </w:r>
            <w:r>
              <w:rPr>
                <w:b/>
              </w:rPr>
              <w:t>ANNUAL EQUITY    </w:t>
              <w:br/>
              <w:t xml:space="preserve">GRANT(3)(4) </w:t>
            </w:r>
          </w:p>
        </w:tc>
      </w:tr>
      <w:tr>
        <w:trPr/>
        <w:tc>
          <w:tcPr>
            <w:tcW w:w="2150" w:type="dxa"/>
            <w:tcBorders/>
            <w:shd w:fill="E8F4FF" w:val="clear"/>
            <w:vAlign w:val="center"/>
          </w:tcPr>
          <w:p>
            <w:pPr>
              <w:pStyle w:val="TableContents"/>
              <w:bidi w:val="0"/>
              <w:spacing w:before="0" w:after="283"/>
              <w:jc w:val="left"/>
              <w:rPr>
                <w:sz w:val="4"/>
                <w:szCs w:val="4"/>
              </w:rPr>
            </w:pPr>
            <w:r>
              <w:rPr>
                <w:sz w:val="4"/>
                <w:szCs w:val="4"/>
              </w:rPr>
            </w:r>
          </w:p>
        </w:tc>
        <w:tc>
          <w:tcPr>
            <w:tcW w:w="935" w:type="dxa"/>
            <w:gridSpan w:val="2"/>
            <w:tcBorders/>
            <w:shd w:fill="E8F4FF" w:val="clear"/>
            <w:vAlign w:val="center"/>
          </w:tcPr>
          <w:p>
            <w:pPr>
              <w:pStyle w:val="TableContents"/>
              <w:bidi w:val="0"/>
              <w:spacing w:before="0" w:after="283"/>
              <w:jc w:val="left"/>
              <w:rPr>
                <w:sz w:val="4"/>
                <w:szCs w:val="4"/>
              </w:rPr>
            </w:pPr>
            <w:r>
              <w:rPr>
                <w:sz w:val="4"/>
                <w:szCs w:val="4"/>
              </w:rPr>
            </w:r>
          </w:p>
        </w:tc>
        <w:tc>
          <w:tcPr>
            <w:tcW w:w="2180" w:type="dxa"/>
            <w:gridSpan w:val="2"/>
            <w:tcBorders/>
            <w:shd w:fill="E8F4FF" w:val="clear"/>
            <w:vAlign w:val="center"/>
          </w:tcPr>
          <w:p>
            <w:pPr>
              <w:pStyle w:val="TableContents"/>
              <w:bidi w:val="0"/>
              <w:spacing w:before="0" w:after="283"/>
              <w:jc w:val="left"/>
              <w:rPr>
                <w:sz w:val="4"/>
                <w:szCs w:val="4"/>
              </w:rPr>
            </w:pPr>
            <w:r>
              <w:rPr>
                <w:sz w:val="4"/>
                <w:szCs w:val="4"/>
              </w:rPr>
            </w:r>
          </w:p>
        </w:tc>
        <w:tc>
          <w:tcPr>
            <w:tcW w:w="2615" w:type="dxa"/>
            <w:gridSpan w:val="2"/>
            <w:tcBorders/>
            <w:shd w:fill="E8F4FF" w:val="clear"/>
            <w:vAlign w:val="center"/>
          </w:tcPr>
          <w:p>
            <w:pPr>
              <w:pStyle w:val="TableContents"/>
              <w:bidi w:val="0"/>
              <w:spacing w:before="0" w:after="283"/>
              <w:jc w:val="left"/>
              <w:rPr>
                <w:sz w:val="4"/>
                <w:szCs w:val="4"/>
              </w:rPr>
            </w:pPr>
            <w:r>
              <w:rPr>
                <w:sz w:val="4"/>
                <w:szCs w:val="4"/>
              </w:rPr>
            </w:r>
          </w:p>
        </w:tc>
        <w:tc>
          <w:tcPr>
            <w:tcW w:w="242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2150" w:type="dxa"/>
            <w:tcBorders/>
            <w:shd w:fill="E8F4FF" w:val="clear"/>
            <w:vAlign w:val="center"/>
          </w:tcPr>
          <w:p>
            <w:pPr>
              <w:pStyle w:val="TableContents"/>
              <w:bidi w:val="0"/>
              <w:spacing w:before="0" w:after="283"/>
              <w:jc w:val="left"/>
              <w:rPr>
                <w:color w:val="2393FF"/>
              </w:rPr>
            </w:pPr>
            <w:r>
              <w:rPr>
                <w:color w:val="2393FF"/>
              </w:rPr>
              <w:t> </w:t>
            </w:r>
            <w:r>
              <w:rPr>
                <w:b/>
                <w:color w:val="2393FF"/>
              </w:rPr>
              <w:t>Board of Directors</w:t>
            </w:r>
          </w:p>
        </w:tc>
        <w:tc>
          <w:tcPr>
            <w:tcW w:w="120" w:type="dxa"/>
            <w:tcBorders/>
            <w:shd w:fill="E8F4FF" w:val="clear"/>
            <w:vAlign w:val="center"/>
          </w:tcPr>
          <w:p>
            <w:pPr>
              <w:pStyle w:val="TableContents"/>
              <w:bidi w:val="0"/>
              <w:spacing w:before="0" w:after="283"/>
              <w:jc w:val="left"/>
              <w:rPr/>
            </w:pPr>
            <w:r>
              <w:rPr/>
              <w:t>  </w:t>
            </w:r>
          </w:p>
        </w:tc>
        <w:tc>
          <w:tcPr>
            <w:tcW w:w="815" w:type="dxa"/>
            <w:tcBorders/>
            <w:shd w:fill="E8F4FF" w:val="clear"/>
            <w:vAlign w:val="center"/>
          </w:tcPr>
          <w:p>
            <w:pPr>
              <w:pStyle w:val="TableContents"/>
              <w:bidi w:val="0"/>
              <w:spacing w:before="0" w:after="283"/>
              <w:jc w:val="center"/>
              <w:rPr/>
            </w:pPr>
            <w:r>
              <w:rPr/>
              <w:t>Director</w:t>
            </w:r>
          </w:p>
        </w:tc>
        <w:tc>
          <w:tcPr>
            <w:tcW w:w="120" w:type="dxa"/>
            <w:tcBorders/>
            <w:shd w:fill="E8F4FF" w:val="clear"/>
            <w:vAlign w:val="center"/>
          </w:tcPr>
          <w:p>
            <w:pPr>
              <w:pStyle w:val="TableContents"/>
              <w:bidi w:val="0"/>
              <w:spacing w:before="0" w:after="283"/>
              <w:jc w:val="left"/>
              <w:rPr/>
            </w:pPr>
            <w:r>
              <w:rPr/>
              <w:t>  </w:t>
            </w:r>
          </w:p>
        </w:tc>
        <w:tc>
          <w:tcPr>
            <w:tcW w:w="2060" w:type="dxa"/>
            <w:tcBorders/>
            <w:shd w:fill="E8F4FF" w:val="clear"/>
            <w:vAlign w:val="center"/>
          </w:tcPr>
          <w:p>
            <w:pPr>
              <w:pStyle w:val="TableContents"/>
              <w:bidi w:val="0"/>
              <w:spacing w:before="0" w:after="283"/>
              <w:jc w:val="center"/>
              <w:rPr/>
            </w:pPr>
            <w:r>
              <w:rPr/>
              <w:t>$35,000</w:t>
            </w:r>
          </w:p>
        </w:tc>
        <w:tc>
          <w:tcPr>
            <w:tcW w:w="60" w:type="dxa"/>
            <w:tcBorders/>
            <w:shd w:fill="E8F4FF" w:val="clear"/>
            <w:vAlign w:val="center"/>
          </w:tcPr>
          <w:p>
            <w:pPr>
              <w:pStyle w:val="TableContents"/>
              <w:bidi w:val="0"/>
              <w:spacing w:before="0" w:after="283"/>
              <w:jc w:val="left"/>
              <w:rPr/>
            </w:pPr>
            <w:r>
              <w:rPr/>
              <w:t> </w:t>
            </w:r>
          </w:p>
        </w:tc>
        <w:tc>
          <w:tcPr>
            <w:tcW w:w="2555" w:type="dxa"/>
            <w:tcBorders/>
            <w:shd w:fill="E8F4FF" w:val="clear"/>
            <w:vAlign w:val="center"/>
          </w:tcPr>
          <w:p>
            <w:pPr>
              <w:pStyle w:val="TableContents"/>
              <w:bidi w:val="0"/>
              <w:spacing w:before="0" w:after="283"/>
              <w:jc w:val="center"/>
              <w:rPr/>
            </w:pPr>
            <w:r>
              <w:rPr/>
              <w:t>Restricted Stock Unit</w:t>
              <w:br/>
              <w:t>Award valued at $350,000</w:t>
            </w:r>
          </w:p>
        </w:tc>
        <w:tc>
          <w:tcPr>
            <w:tcW w:w="60" w:type="dxa"/>
            <w:tcBorders/>
            <w:shd w:fill="E8F4FF" w:val="clear"/>
            <w:vAlign w:val="center"/>
          </w:tcPr>
          <w:p>
            <w:pPr>
              <w:pStyle w:val="TableContents"/>
              <w:bidi w:val="0"/>
              <w:spacing w:before="0" w:after="283"/>
              <w:jc w:val="left"/>
              <w:rPr/>
            </w:pPr>
            <w:r>
              <w:rPr/>
              <w:t> </w:t>
            </w:r>
          </w:p>
        </w:tc>
        <w:tc>
          <w:tcPr>
            <w:tcW w:w="2360" w:type="dxa"/>
            <w:tcBorders/>
            <w:shd w:fill="E8F4FF" w:val="clear"/>
            <w:vAlign w:val="center"/>
          </w:tcPr>
          <w:p>
            <w:pPr>
              <w:pStyle w:val="TableContents"/>
              <w:bidi w:val="0"/>
              <w:jc w:val="center"/>
              <w:rPr/>
            </w:pPr>
            <w:r>
              <w:rPr/>
              <w:t>Restricted Stock Unit</w:t>
            </w:r>
          </w:p>
          <w:p>
            <w:pPr>
              <w:pStyle w:val="TableContents"/>
              <w:bidi w:val="0"/>
              <w:spacing w:before="0" w:after="20"/>
              <w:jc w:val="center"/>
              <w:rPr>
                <w:rFonts w:ascii="ARIAL" w:hAnsi="ARIAL"/>
                <w:sz w:val="16"/>
              </w:rPr>
            </w:pPr>
            <w:r>
              <w:rPr>
                <w:rFonts w:ascii="ARIAL" w:hAnsi="ARIAL"/>
                <w:sz w:val="16"/>
              </w:rPr>
              <w:t>Award valued at $175,000</w:t>
            </w:r>
          </w:p>
        </w:tc>
      </w:tr>
      <w:tr>
        <w:trPr/>
        <w:tc>
          <w:tcPr>
            <w:tcW w:w="2150" w:type="dxa"/>
            <w:tcBorders/>
            <w:shd w:fill="E8F4FF" w:val="clear"/>
            <w:vAlign w:val="center"/>
          </w:tcPr>
          <w:p>
            <w:pPr>
              <w:pStyle w:val="TableContents"/>
              <w:bidi w:val="0"/>
              <w:spacing w:before="0" w:after="283"/>
              <w:jc w:val="left"/>
              <w:rPr>
                <w:sz w:val="4"/>
                <w:szCs w:val="4"/>
              </w:rPr>
            </w:pPr>
            <w:r>
              <w:rPr>
                <w:sz w:val="4"/>
                <w:szCs w:val="4"/>
              </w:rPr>
            </w:r>
          </w:p>
        </w:tc>
        <w:tc>
          <w:tcPr>
            <w:tcW w:w="935" w:type="dxa"/>
            <w:gridSpan w:val="2"/>
            <w:tcBorders/>
            <w:shd w:fill="E8F4FF" w:val="clear"/>
            <w:vAlign w:val="center"/>
          </w:tcPr>
          <w:p>
            <w:pPr>
              <w:pStyle w:val="TableContents"/>
              <w:bidi w:val="0"/>
              <w:spacing w:before="0" w:after="283"/>
              <w:jc w:val="left"/>
              <w:rPr>
                <w:sz w:val="4"/>
                <w:szCs w:val="4"/>
              </w:rPr>
            </w:pPr>
            <w:r>
              <w:rPr>
                <w:sz w:val="4"/>
                <w:szCs w:val="4"/>
              </w:rPr>
            </w:r>
          </w:p>
        </w:tc>
        <w:tc>
          <w:tcPr>
            <w:tcW w:w="2180" w:type="dxa"/>
            <w:gridSpan w:val="2"/>
            <w:tcBorders/>
            <w:shd w:fill="E8F4FF" w:val="clear"/>
            <w:vAlign w:val="center"/>
          </w:tcPr>
          <w:p>
            <w:pPr>
              <w:pStyle w:val="TableContents"/>
              <w:bidi w:val="0"/>
              <w:spacing w:before="0" w:after="283"/>
              <w:jc w:val="left"/>
              <w:rPr>
                <w:sz w:val="4"/>
                <w:szCs w:val="4"/>
              </w:rPr>
            </w:pPr>
            <w:r>
              <w:rPr>
                <w:sz w:val="4"/>
                <w:szCs w:val="4"/>
              </w:rPr>
            </w:r>
          </w:p>
        </w:tc>
        <w:tc>
          <w:tcPr>
            <w:tcW w:w="2615" w:type="dxa"/>
            <w:gridSpan w:val="2"/>
            <w:tcBorders/>
            <w:shd w:fill="E8F4FF" w:val="clear"/>
            <w:vAlign w:val="center"/>
          </w:tcPr>
          <w:p>
            <w:pPr>
              <w:pStyle w:val="TableContents"/>
              <w:bidi w:val="0"/>
              <w:spacing w:before="0" w:after="283"/>
              <w:jc w:val="left"/>
              <w:rPr>
                <w:sz w:val="4"/>
                <w:szCs w:val="4"/>
              </w:rPr>
            </w:pPr>
            <w:r>
              <w:rPr>
                <w:sz w:val="4"/>
                <w:szCs w:val="4"/>
              </w:rPr>
            </w:r>
          </w:p>
        </w:tc>
        <w:tc>
          <w:tcPr>
            <w:tcW w:w="242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215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815" w:type="dxa"/>
            <w:tcBorders/>
            <w:shd w:fill="E8F4FF" w:val="clear"/>
            <w:vAlign w:val="center"/>
          </w:tcPr>
          <w:p>
            <w:pPr>
              <w:pStyle w:val="TableContents"/>
              <w:bidi w:val="0"/>
              <w:spacing w:before="0" w:after="283"/>
              <w:jc w:val="center"/>
              <w:rPr/>
            </w:pPr>
            <w:r>
              <w:rPr/>
              <w:t>Chair</w:t>
            </w:r>
          </w:p>
        </w:tc>
        <w:tc>
          <w:tcPr>
            <w:tcW w:w="120" w:type="dxa"/>
            <w:tcBorders/>
            <w:shd w:fill="E8F4FF" w:val="clear"/>
            <w:vAlign w:val="center"/>
          </w:tcPr>
          <w:p>
            <w:pPr>
              <w:pStyle w:val="TableContents"/>
              <w:bidi w:val="0"/>
              <w:spacing w:before="0" w:after="283"/>
              <w:jc w:val="left"/>
              <w:rPr/>
            </w:pPr>
            <w:r>
              <w:rPr/>
              <w:t>  </w:t>
            </w:r>
          </w:p>
        </w:tc>
        <w:tc>
          <w:tcPr>
            <w:tcW w:w="2060" w:type="dxa"/>
            <w:tcBorders/>
            <w:shd w:fill="E8F4FF" w:val="clear"/>
            <w:vAlign w:val="center"/>
          </w:tcPr>
          <w:p>
            <w:pPr>
              <w:pStyle w:val="TableContents"/>
              <w:bidi w:val="0"/>
              <w:spacing w:before="0" w:after="283"/>
              <w:jc w:val="center"/>
              <w:rPr/>
            </w:pPr>
            <w:r>
              <w:rPr/>
              <w:t>$65,000</w:t>
            </w:r>
          </w:p>
        </w:tc>
        <w:tc>
          <w:tcPr>
            <w:tcW w:w="60" w:type="dxa"/>
            <w:tcBorders/>
            <w:shd w:fill="E8F4FF" w:val="clear"/>
            <w:vAlign w:val="center"/>
          </w:tcPr>
          <w:p>
            <w:pPr>
              <w:pStyle w:val="TableContents"/>
              <w:bidi w:val="0"/>
              <w:spacing w:before="0" w:after="283"/>
              <w:jc w:val="left"/>
              <w:rPr/>
            </w:pPr>
            <w:r>
              <w:rPr/>
              <w:t> </w:t>
            </w:r>
          </w:p>
        </w:tc>
        <w:tc>
          <w:tcPr>
            <w:tcW w:w="2555"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2360" w:type="dxa"/>
            <w:tcBorders/>
            <w:shd w:fill="E8F4FF" w:val="clear"/>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2615"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color w:val="2393FF"/>
              </w:rPr>
            </w:pPr>
            <w:r>
              <w:rPr>
                <w:color w:val="2393FF"/>
              </w:rPr>
              <w:t> </w:t>
            </w:r>
            <w:r>
              <w:rPr>
                <w:b/>
                <w:color w:val="2393FF"/>
              </w:rPr>
              <w:t>Audit Committee</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pPr>
            <w:r>
              <w:rPr/>
              <w:t>$20,000</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2615"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Other</w:t>
            </w:r>
          </w:p>
        </w:tc>
        <w:tc>
          <w:tcPr>
            <w:tcW w:w="12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pPr>
            <w:r>
              <w:rPr/>
              <w:t>$10,000</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2615"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Member</w:t>
            </w:r>
          </w:p>
        </w:tc>
        <w:tc>
          <w:tcPr>
            <w:tcW w:w="12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r>
      <w:tr>
        <w:trPr/>
        <w:tc>
          <w:tcPr>
            <w:tcW w:w="2150" w:type="dxa"/>
            <w:tcBorders/>
            <w:shd w:fill="E8F4FF" w:val="clear"/>
            <w:vAlign w:val="center"/>
          </w:tcPr>
          <w:p>
            <w:pPr>
              <w:pStyle w:val="TableContents"/>
              <w:bidi w:val="0"/>
              <w:spacing w:before="0" w:after="283"/>
              <w:jc w:val="left"/>
              <w:rPr>
                <w:sz w:val="4"/>
                <w:szCs w:val="4"/>
              </w:rPr>
            </w:pPr>
            <w:r>
              <w:rPr>
                <w:sz w:val="4"/>
                <w:szCs w:val="4"/>
              </w:rPr>
            </w:r>
          </w:p>
        </w:tc>
        <w:tc>
          <w:tcPr>
            <w:tcW w:w="935" w:type="dxa"/>
            <w:gridSpan w:val="2"/>
            <w:tcBorders/>
            <w:shd w:fill="E8F4FF" w:val="clear"/>
            <w:vAlign w:val="center"/>
          </w:tcPr>
          <w:p>
            <w:pPr>
              <w:pStyle w:val="TableContents"/>
              <w:bidi w:val="0"/>
              <w:spacing w:before="0" w:after="283"/>
              <w:jc w:val="left"/>
              <w:rPr>
                <w:sz w:val="4"/>
                <w:szCs w:val="4"/>
              </w:rPr>
            </w:pPr>
            <w:r>
              <w:rPr>
                <w:sz w:val="4"/>
                <w:szCs w:val="4"/>
              </w:rPr>
            </w:r>
          </w:p>
        </w:tc>
        <w:tc>
          <w:tcPr>
            <w:tcW w:w="2180" w:type="dxa"/>
            <w:gridSpan w:val="2"/>
            <w:tcBorders/>
            <w:shd w:fill="E8F4FF" w:val="clear"/>
            <w:vAlign w:val="center"/>
          </w:tcPr>
          <w:p>
            <w:pPr>
              <w:pStyle w:val="TableContents"/>
              <w:bidi w:val="0"/>
              <w:spacing w:before="0" w:after="283"/>
              <w:jc w:val="left"/>
              <w:rPr>
                <w:sz w:val="4"/>
                <w:szCs w:val="4"/>
              </w:rPr>
            </w:pPr>
            <w:r>
              <w:rPr>
                <w:sz w:val="4"/>
                <w:szCs w:val="4"/>
              </w:rPr>
            </w:r>
          </w:p>
        </w:tc>
        <w:tc>
          <w:tcPr>
            <w:tcW w:w="2615" w:type="dxa"/>
            <w:gridSpan w:val="2"/>
            <w:tcBorders/>
            <w:shd w:fill="E8F4FF" w:val="clear"/>
            <w:vAlign w:val="center"/>
          </w:tcPr>
          <w:p>
            <w:pPr>
              <w:pStyle w:val="TableContents"/>
              <w:bidi w:val="0"/>
              <w:spacing w:before="0" w:after="283"/>
              <w:jc w:val="left"/>
              <w:rPr>
                <w:sz w:val="4"/>
                <w:szCs w:val="4"/>
              </w:rPr>
            </w:pPr>
            <w:r>
              <w:rPr>
                <w:sz w:val="4"/>
                <w:szCs w:val="4"/>
              </w:rPr>
            </w:r>
          </w:p>
        </w:tc>
        <w:tc>
          <w:tcPr>
            <w:tcW w:w="242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2150" w:type="dxa"/>
            <w:tcBorders/>
            <w:shd w:fill="E8F4FF" w:val="clear"/>
            <w:vAlign w:val="center"/>
          </w:tcPr>
          <w:p>
            <w:pPr>
              <w:pStyle w:val="TableContents"/>
              <w:bidi w:val="0"/>
              <w:spacing w:before="0" w:after="0"/>
              <w:jc w:val="left"/>
              <w:rPr>
                <w:color w:val="2393FF"/>
              </w:rPr>
            </w:pPr>
            <w:r>
              <w:rPr>
                <w:color w:val="2393FF"/>
              </w:rPr>
              <w:t> </w:t>
            </w:r>
            <w:r>
              <w:rPr>
                <w:rFonts w:ascii="ARIAL" w:hAnsi="ARIAL"/>
                <w:b/>
                <w:color w:val="2393FF"/>
                <w:sz w:val="16"/>
              </w:rPr>
              <w:t>People &amp; Compensation</w:t>
            </w:r>
          </w:p>
          <w:p>
            <w:pPr>
              <w:pStyle w:val="TableContents"/>
              <w:bidi w:val="0"/>
              <w:spacing w:before="0" w:after="20"/>
              <w:jc w:val="left"/>
              <w:rPr>
                <w:color w:val="2393FF"/>
              </w:rPr>
            </w:pPr>
            <w:r>
              <w:rPr>
                <w:color w:val="2393FF"/>
              </w:rPr>
              <w:t> </w:t>
            </w:r>
            <w:r>
              <w:rPr>
                <w:rFonts w:ascii="ARIAL" w:hAnsi="ARIAL"/>
                <w:b/>
                <w:color w:val="2393FF"/>
                <w:sz w:val="16"/>
              </w:rPr>
              <w:t>Committee</w:t>
            </w:r>
          </w:p>
        </w:tc>
        <w:tc>
          <w:tcPr>
            <w:tcW w:w="120" w:type="dxa"/>
            <w:tcBorders/>
            <w:shd w:fill="E8F4FF" w:val="clear"/>
            <w:vAlign w:val="center"/>
          </w:tcPr>
          <w:p>
            <w:pPr>
              <w:pStyle w:val="TableContents"/>
              <w:bidi w:val="0"/>
              <w:spacing w:before="0" w:after="283"/>
              <w:jc w:val="left"/>
              <w:rPr/>
            </w:pPr>
            <w:r>
              <w:rPr/>
              <w:t>  </w:t>
            </w:r>
          </w:p>
        </w:tc>
        <w:tc>
          <w:tcPr>
            <w:tcW w:w="815" w:type="dxa"/>
            <w:tcBorders/>
            <w:shd w:fill="E8F4FF" w:val="clear"/>
            <w:vAlign w:val="center"/>
          </w:tcPr>
          <w:p>
            <w:pPr>
              <w:pStyle w:val="TableContents"/>
              <w:bidi w:val="0"/>
              <w:spacing w:before="0" w:after="283"/>
              <w:jc w:val="center"/>
              <w:rPr/>
            </w:pPr>
            <w:r>
              <w:rPr/>
              <w:t>Chair</w:t>
            </w:r>
          </w:p>
        </w:tc>
        <w:tc>
          <w:tcPr>
            <w:tcW w:w="120" w:type="dxa"/>
            <w:tcBorders/>
            <w:shd w:fill="E8F4FF" w:val="clear"/>
            <w:vAlign w:val="center"/>
          </w:tcPr>
          <w:p>
            <w:pPr>
              <w:pStyle w:val="TableContents"/>
              <w:bidi w:val="0"/>
              <w:spacing w:before="0" w:after="283"/>
              <w:jc w:val="left"/>
              <w:rPr/>
            </w:pPr>
            <w:r>
              <w:rPr/>
              <w:t>  </w:t>
            </w:r>
          </w:p>
        </w:tc>
        <w:tc>
          <w:tcPr>
            <w:tcW w:w="2060" w:type="dxa"/>
            <w:tcBorders/>
            <w:shd w:fill="E8F4FF" w:val="clear"/>
            <w:vAlign w:val="center"/>
          </w:tcPr>
          <w:p>
            <w:pPr>
              <w:pStyle w:val="TableContents"/>
              <w:bidi w:val="0"/>
              <w:spacing w:before="0" w:after="283"/>
              <w:jc w:val="center"/>
              <w:rPr/>
            </w:pPr>
            <w:r>
              <w:rPr/>
              <w:t>$12,000</w:t>
            </w:r>
          </w:p>
        </w:tc>
        <w:tc>
          <w:tcPr>
            <w:tcW w:w="60" w:type="dxa"/>
            <w:tcBorders/>
            <w:shd w:fill="E8F4FF" w:val="clear"/>
            <w:vAlign w:val="center"/>
          </w:tcPr>
          <w:p>
            <w:pPr>
              <w:pStyle w:val="TableContents"/>
              <w:bidi w:val="0"/>
              <w:spacing w:before="0" w:after="283"/>
              <w:jc w:val="left"/>
              <w:rPr/>
            </w:pPr>
            <w:r>
              <w:rPr/>
              <w:t> </w:t>
            </w:r>
          </w:p>
        </w:tc>
        <w:tc>
          <w:tcPr>
            <w:tcW w:w="2555"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2360" w:type="dxa"/>
            <w:tcBorders/>
            <w:shd w:fill="E8F4FF" w:val="clear"/>
            <w:vAlign w:val="center"/>
          </w:tcPr>
          <w:p>
            <w:pPr>
              <w:pStyle w:val="TableContents"/>
              <w:bidi w:val="0"/>
              <w:spacing w:before="0" w:after="283"/>
              <w:jc w:val="left"/>
              <w:rPr>
                <w:sz w:val="4"/>
                <w:szCs w:val="4"/>
              </w:rPr>
            </w:pPr>
            <w:r>
              <w:rPr>
                <w:sz w:val="4"/>
                <w:szCs w:val="4"/>
              </w:rPr>
            </w:r>
          </w:p>
        </w:tc>
      </w:tr>
      <w:tr>
        <w:trPr/>
        <w:tc>
          <w:tcPr>
            <w:tcW w:w="2150" w:type="dxa"/>
            <w:tcBorders/>
            <w:shd w:fill="E8F4FF" w:val="clear"/>
            <w:vAlign w:val="center"/>
          </w:tcPr>
          <w:p>
            <w:pPr>
              <w:pStyle w:val="TableContents"/>
              <w:bidi w:val="0"/>
              <w:spacing w:before="0" w:after="283"/>
              <w:jc w:val="left"/>
              <w:rPr>
                <w:sz w:val="4"/>
                <w:szCs w:val="4"/>
              </w:rPr>
            </w:pPr>
            <w:r>
              <w:rPr>
                <w:sz w:val="4"/>
                <w:szCs w:val="4"/>
              </w:rPr>
            </w:r>
          </w:p>
        </w:tc>
        <w:tc>
          <w:tcPr>
            <w:tcW w:w="935" w:type="dxa"/>
            <w:gridSpan w:val="2"/>
            <w:tcBorders/>
            <w:shd w:fill="E8F4FF" w:val="clear"/>
            <w:vAlign w:val="center"/>
          </w:tcPr>
          <w:p>
            <w:pPr>
              <w:pStyle w:val="TableContents"/>
              <w:bidi w:val="0"/>
              <w:spacing w:before="0" w:after="283"/>
              <w:jc w:val="left"/>
              <w:rPr>
                <w:sz w:val="4"/>
                <w:szCs w:val="4"/>
              </w:rPr>
            </w:pPr>
            <w:r>
              <w:rPr>
                <w:sz w:val="4"/>
                <w:szCs w:val="4"/>
              </w:rPr>
            </w:r>
          </w:p>
        </w:tc>
        <w:tc>
          <w:tcPr>
            <w:tcW w:w="2180" w:type="dxa"/>
            <w:gridSpan w:val="2"/>
            <w:tcBorders/>
            <w:shd w:fill="E8F4FF" w:val="clear"/>
            <w:vAlign w:val="center"/>
          </w:tcPr>
          <w:p>
            <w:pPr>
              <w:pStyle w:val="TableContents"/>
              <w:bidi w:val="0"/>
              <w:spacing w:before="0" w:after="283"/>
              <w:jc w:val="left"/>
              <w:rPr>
                <w:sz w:val="4"/>
                <w:szCs w:val="4"/>
              </w:rPr>
            </w:pPr>
            <w:r>
              <w:rPr>
                <w:sz w:val="4"/>
                <w:szCs w:val="4"/>
              </w:rPr>
            </w:r>
          </w:p>
        </w:tc>
        <w:tc>
          <w:tcPr>
            <w:tcW w:w="2615" w:type="dxa"/>
            <w:gridSpan w:val="2"/>
            <w:tcBorders/>
            <w:shd w:fill="E8F4FF" w:val="clear"/>
            <w:vAlign w:val="center"/>
          </w:tcPr>
          <w:p>
            <w:pPr>
              <w:pStyle w:val="TableContents"/>
              <w:bidi w:val="0"/>
              <w:spacing w:before="0" w:after="283"/>
              <w:jc w:val="left"/>
              <w:rPr>
                <w:sz w:val="4"/>
                <w:szCs w:val="4"/>
              </w:rPr>
            </w:pPr>
            <w:r>
              <w:rPr>
                <w:sz w:val="4"/>
                <w:szCs w:val="4"/>
              </w:rPr>
            </w:r>
          </w:p>
        </w:tc>
        <w:tc>
          <w:tcPr>
            <w:tcW w:w="242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215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815" w:type="dxa"/>
            <w:tcBorders/>
            <w:shd w:fill="E8F4FF" w:val="clear"/>
            <w:vAlign w:val="center"/>
          </w:tcPr>
          <w:p>
            <w:pPr>
              <w:pStyle w:val="TableContents"/>
              <w:bidi w:val="0"/>
              <w:spacing w:before="0" w:after="283"/>
              <w:jc w:val="center"/>
              <w:rPr/>
            </w:pPr>
            <w:r>
              <w:rPr/>
              <w:t>Other</w:t>
            </w:r>
          </w:p>
        </w:tc>
        <w:tc>
          <w:tcPr>
            <w:tcW w:w="120" w:type="dxa"/>
            <w:tcBorders/>
            <w:shd w:fill="E8F4FF" w:val="clear"/>
            <w:vAlign w:val="center"/>
          </w:tcPr>
          <w:p>
            <w:pPr>
              <w:pStyle w:val="TableContents"/>
              <w:bidi w:val="0"/>
              <w:spacing w:before="0" w:after="283"/>
              <w:jc w:val="left"/>
              <w:rPr/>
            </w:pPr>
            <w:r>
              <w:rPr/>
              <w:t>  </w:t>
            </w:r>
          </w:p>
        </w:tc>
        <w:tc>
          <w:tcPr>
            <w:tcW w:w="2060" w:type="dxa"/>
            <w:tcBorders/>
            <w:shd w:fill="E8F4FF" w:val="clear"/>
            <w:vAlign w:val="center"/>
          </w:tcPr>
          <w:p>
            <w:pPr>
              <w:pStyle w:val="TableContents"/>
              <w:bidi w:val="0"/>
              <w:spacing w:before="0" w:after="283"/>
              <w:jc w:val="center"/>
              <w:rPr/>
            </w:pPr>
            <w:r>
              <w:rPr/>
              <w:t>$6,000</w:t>
            </w:r>
          </w:p>
        </w:tc>
        <w:tc>
          <w:tcPr>
            <w:tcW w:w="60" w:type="dxa"/>
            <w:tcBorders/>
            <w:shd w:fill="E8F4FF" w:val="clear"/>
            <w:vAlign w:val="center"/>
          </w:tcPr>
          <w:p>
            <w:pPr>
              <w:pStyle w:val="TableContents"/>
              <w:bidi w:val="0"/>
              <w:spacing w:before="0" w:after="283"/>
              <w:jc w:val="left"/>
              <w:rPr/>
            </w:pPr>
            <w:r>
              <w:rPr/>
              <w:t> </w:t>
            </w:r>
          </w:p>
        </w:tc>
        <w:tc>
          <w:tcPr>
            <w:tcW w:w="2555"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2360" w:type="dxa"/>
            <w:tcBorders/>
            <w:shd w:fill="E8F4FF" w:val="clear"/>
            <w:vAlign w:val="center"/>
          </w:tcPr>
          <w:p>
            <w:pPr>
              <w:pStyle w:val="TableContents"/>
              <w:bidi w:val="0"/>
              <w:spacing w:before="0" w:after="283"/>
              <w:jc w:val="left"/>
              <w:rPr>
                <w:sz w:val="4"/>
                <w:szCs w:val="4"/>
              </w:rPr>
            </w:pPr>
            <w:r>
              <w:rPr>
                <w:sz w:val="4"/>
                <w:szCs w:val="4"/>
              </w:rPr>
            </w:r>
          </w:p>
        </w:tc>
      </w:tr>
      <w:tr>
        <w:trPr/>
        <w:tc>
          <w:tcPr>
            <w:tcW w:w="2150" w:type="dxa"/>
            <w:tcBorders/>
            <w:shd w:fill="E8F4FF" w:val="clear"/>
            <w:vAlign w:val="center"/>
          </w:tcPr>
          <w:p>
            <w:pPr>
              <w:pStyle w:val="TableContents"/>
              <w:bidi w:val="0"/>
              <w:spacing w:before="0" w:after="283"/>
              <w:jc w:val="left"/>
              <w:rPr>
                <w:sz w:val="4"/>
                <w:szCs w:val="4"/>
              </w:rPr>
            </w:pPr>
            <w:r>
              <w:rPr>
                <w:sz w:val="4"/>
                <w:szCs w:val="4"/>
              </w:rPr>
            </w:r>
          </w:p>
        </w:tc>
        <w:tc>
          <w:tcPr>
            <w:tcW w:w="935" w:type="dxa"/>
            <w:gridSpan w:val="2"/>
            <w:tcBorders/>
            <w:shd w:fill="E8F4FF" w:val="clear"/>
            <w:vAlign w:val="center"/>
          </w:tcPr>
          <w:p>
            <w:pPr>
              <w:pStyle w:val="TableContents"/>
              <w:bidi w:val="0"/>
              <w:spacing w:before="0" w:after="283"/>
              <w:jc w:val="left"/>
              <w:rPr>
                <w:sz w:val="4"/>
                <w:szCs w:val="4"/>
              </w:rPr>
            </w:pPr>
            <w:r>
              <w:rPr>
                <w:sz w:val="4"/>
                <w:szCs w:val="4"/>
              </w:rPr>
            </w:r>
          </w:p>
        </w:tc>
        <w:tc>
          <w:tcPr>
            <w:tcW w:w="2180" w:type="dxa"/>
            <w:gridSpan w:val="2"/>
            <w:tcBorders/>
            <w:shd w:fill="E8F4FF" w:val="clear"/>
            <w:vAlign w:val="center"/>
          </w:tcPr>
          <w:p>
            <w:pPr>
              <w:pStyle w:val="TableContents"/>
              <w:bidi w:val="0"/>
              <w:spacing w:before="0" w:after="283"/>
              <w:jc w:val="left"/>
              <w:rPr>
                <w:sz w:val="4"/>
                <w:szCs w:val="4"/>
              </w:rPr>
            </w:pPr>
            <w:r>
              <w:rPr>
                <w:sz w:val="4"/>
                <w:szCs w:val="4"/>
              </w:rPr>
            </w:r>
          </w:p>
        </w:tc>
        <w:tc>
          <w:tcPr>
            <w:tcW w:w="2615" w:type="dxa"/>
            <w:gridSpan w:val="2"/>
            <w:tcBorders/>
            <w:shd w:fill="E8F4FF" w:val="clear"/>
            <w:vAlign w:val="center"/>
          </w:tcPr>
          <w:p>
            <w:pPr>
              <w:pStyle w:val="TableContents"/>
              <w:bidi w:val="0"/>
              <w:spacing w:before="0" w:after="283"/>
              <w:jc w:val="left"/>
              <w:rPr>
                <w:sz w:val="4"/>
                <w:szCs w:val="4"/>
              </w:rPr>
            </w:pPr>
            <w:r>
              <w:rPr>
                <w:sz w:val="4"/>
                <w:szCs w:val="4"/>
              </w:rPr>
            </w:r>
          </w:p>
        </w:tc>
        <w:tc>
          <w:tcPr>
            <w:tcW w:w="242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215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815" w:type="dxa"/>
            <w:tcBorders/>
            <w:shd w:fill="E8F4FF" w:val="clear"/>
            <w:vAlign w:val="center"/>
          </w:tcPr>
          <w:p>
            <w:pPr>
              <w:pStyle w:val="TableContents"/>
              <w:bidi w:val="0"/>
              <w:spacing w:before="0" w:after="283"/>
              <w:jc w:val="center"/>
              <w:rPr/>
            </w:pPr>
            <w:r>
              <w:rPr/>
              <w:t>Member</w:t>
            </w:r>
          </w:p>
        </w:tc>
        <w:tc>
          <w:tcPr>
            <w:tcW w:w="120" w:type="dxa"/>
            <w:tcBorders/>
            <w:shd w:fill="E8F4FF" w:val="clear"/>
            <w:vAlign w:val="center"/>
          </w:tcPr>
          <w:p>
            <w:pPr>
              <w:pStyle w:val="TableContents"/>
              <w:bidi w:val="0"/>
              <w:spacing w:before="0" w:after="283"/>
              <w:jc w:val="left"/>
              <w:rPr/>
            </w:pPr>
            <w:r>
              <w:rPr/>
              <w:t>  </w:t>
            </w:r>
          </w:p>
        </w:tc>
        <w:tc>
          <w:tcPr>
            <w:tcW w:w="20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2555"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2360" w:type="dxa"/>
            <w:tcBorders/>
            <w:shd w:fill="E8F4FF" w:val="clear"/>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2615"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0"/>
              <w:jc w:val="left"/>
              <w:rPr>
                <w:color w:val="2393FF"/>
              </w:rPr>
            </w:pPr>
            <w:r>
              <w:rPr>
                <w:color w:val="2393FF"/>
              </w:rPr>
              <w:t> </w:t>
            </w:r>
            <w:r>
              <w:rPr>
                <w:rFonts w:ascii="ARIAL" w:hAnsi="ARIAL"/>
                <w:b/>
                <w:color w:val="2393FF"/>
                <w:sz w:val="16"/>
              </w:rPr>
              <w:t>Nominating and Corporate</w:t>
            </w:r>
          </w:p>
          <w:p>
            <w:pPr>
              <w:pStyle w:val="TableContents"/>
              <w:bidi w:val="0"/>
              <w:spacing w:before="0" w:after="20"/>
              <w:jc w:val="left"/>
              <w:rPr>
                <w:color w:val="2393FF"/>
              </w:rPr>
            </w:pPr>
            <w:r>
              <w:rPr>
                <w:color w:val="2393FF"/>
              </w:rPr>
              <w:t> </w:t>
            </w:r>
            <w:r>
              <w:rPr>
                <w:rFonts w:ascii="ARIAL" w:hAnsi="ARIAL"/>
                <w:b/>
                <w:color w:val="2393FF"/>
                <w:sz w:val="16"/>
              </w:rPr>
              <w:t>Governance Committee</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pPr>
            <w:r>
              <w:rPr/>
              <w:t>$8,000</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2615"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Other</w:t>
            </w:r>
          </w:p>
        </w:tc>
        <w:tc>
          <w:tcPr>
            <w:tcW w:w="12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pPr>
            <w:r>
              <w:rPr/>
              <w:t>$4,000</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2615"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bottom w:val="single" w:sz="6" w:space="0" w:color="2393FF"/>
            </w:tcBorders>
            <w:tcMar>
              <w:bottom w:w="28" w:type="dxa"/>
            </w:tcMar>
            <w:vAlign w:val="center"/>
          </w:tcPr>
          <w:p>
            <w:pPr>
              <w:pStyle w:val="TableContents"/>
              <w:bidi w:val="0"/>
              <w:spacing w:before="0" w:after="283"/>
              <w:jc w:val="left"/>
              <w:rPr/>
            </w:pPr>
            <w:r>
              <w:rPr/>
              <w:t> </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815" w:type="dxa"/>
            <w:tcBorders>
              <w:bottom w:val="single" w:sz="6" w:space="0" w:color="2393FF"/>
            </w:tcBorders>
            <w:tcMar>
              <w:bottom w:w="60" w:type="dxa"/>
            </w:tcMar>
            <w:vAlign w:val="center"/>
          </w:tcPr>
          <w:p>
            <w:pPr>
              <w:pStyle w:val="TableContents"/>
              <w:bidi w:val="0"/>
              <w:spacing w:before="0" w:after="283"/>
              <w:jc w:val="center"/>
              <w:rPr/>
            </w:pPr>
            <w:r>
              <w:rPr/>
              <w:t>Member</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2060" w:type="dxa"/>
            <w:tcBorders>
              <w:bottom w:val="single" w:sz="6" w:space="0" w:color="2393FF"/>
            </w:tcBorders>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2555" w:type="dxa"/>
            <w:tcBorders>
              <w:bottom w:val="single" w:sz="6" w:space="0" w:color="2393FF"/>
            </w:tcBorders>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2360" w:type="dxa"/>
            <w:tcBorders>
              <w:bottom w:val="single" w:sz="6" w:space="0" w:color="2393FF"/>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305"/>
        <w:gridCol w:w="3455"/>
      </w:tblGrid>
      <w:tr>
        <w:trPr/>
        <w:tc>
          <w:tcPr>
            <w:tcW w:w="305" w:type="dxa"/>
            <w:tcBorders/>
            <w:vAlign w:val="center"/>
          </w:tcPr>
          <w:p>
            <w:pPr>
              <w:pStyle w:val="TableContents"/>
              <w:bidi w:val="0"/>
              <w:spacing w:before="0" w:after="283"/>
              <w:jc w:val="left"/>
              <w:rPr>
                <w:color w:val="333333"/>
              </w:rPr>
            </w:pPr>
            <w:r>
              <w:rPr>
                <w:color w:val="333333"/>
              </w:rPr>
              <w:t>(1)</w:t>
            </w:r>
          </w:p>
        </w:tc>
        <w:tc>
          <w:tcPr>
            <w:tcW w:w="345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Annual cash retainers are payable quarterly in arrears.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color w:val="333333"/>
              </w:rPr>
            </w:pPr>
            <w:r>
              <w:rPr>
                <w:color w:val="333333"/>
              </w:rPr>
              <w:t>(2)</w:t>
            </w:r>
          </w:p>
        </w:tc>
        <w:tc>
          <w:tcPr>
            <w:tcW w:w="994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Initial equity grants are automatically granted on the date the director is elected or appointed as a director and are calculated based on the closing price of our common stock on the date of grant. The initial equity grant upon election or appointment as a director shall vest in 3 equal annual installments following the grant date.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  22  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155" w:type="dxa"/>
        <w:jc w:val="left"/>
        <w:tblInd w:w="0" w:type="dxa"/>
        <w:tblLayout w:type="fixed"/>
        <w:tblCellMar>
          <w:top w:w="0" w:type="dxa"/>
          <w:left w:w="0" w:type="dxa"/>
          <w:bottom w:w="0" w:type="dxa"/>
          <w:right w:w="0" w:type="dxa"/>
        </w:tblCellMar>
      </w:tblPr>
      <w:tblGrid>
        <w:gridCol w:w="305"/>
        <w:gridCol w:w="7850"/>
      </w:tblGrid>
      <w:tr>
        <w:trPr/>
        <w:tc>
          <w:tcPr>
            <w:tcW w:w="305" w:type="dxa"/>
            <w:tcBorders/>
            <w:vAlign w:val="center"/>
          </w:tcPr>
          <w:p>
            <w:pPr>
              <w:pStyle w:val="TableContents"/>
              <w:bidi w:val="0"/>
              <w:spacing w:before="0" w:after="283"/>
              <w:jc w:val="left"/>
              <w:rPr>
                <w:color w:val="333333"/>
              </w:rPr>
            </w:pPr>
            <w:r>
              <w:rPr>
                <w:color w:val="333333"/>
              </w:rPr>
              <w:t>(3)</w:t>
            </w:r>
          </w:p>
        </w:tc>
        <w:tc>
          <w:tcPr>
            <w:tcW w:w="785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Such award will accelerate and fully vest upon a change in control, or such non-employee director’s earlier death or disability.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color w:val="333333"/>
              </w:rPr>
            </w:pPr>
            <w:r>
              <w:rPr>
                <w:color w:val="333333"/>
              </w:rPr>
              <w:t>(4)</w:t>
            </w:r>
          </w:p>
        </w:tc>
        <w:tc>
          <w:tcPr>
            <w:tcW w:w="9949"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Annual equity grants are automatically granted on the date of each annual regular meeting of the Company’s stockholders and are calculated based on the closing price of our common stock on the date of grant. The annual equity grant shall vest on the first anniversary of the grant date provided the director provides continuous service as a director, member of the applicable committee or chair, as applicable, through such date. </w:t>
            </w:r>
          </w:p>
        </w:tc>
      </w:tr>
    </w:tbl>
    <w:p>
      <w:pPr>
        <w:pStyle w:val="TextBody"/>
        <w:bidi w:val="0"/>
        <w:spacing w:before="200" w:after="0"/>
        <w:jc w:val="left"/>
        <w:rPr>
          <w:rFonts w:ascii="ARIAL" w:hAnsi="ARIAL"/>
          <w:sz w:val="18"/>
        </w:rPr>
      </w:pPr>
      <w:r>
        <w:rPr>
          <w:rFonts w:ascii="ARIAL" w:hAnsi="ARIAL"/>
          <w:sz w:val="18"/>
        </w:rPr>
        <w:t xml:space="preserve">We also reimburse our non-employee directors for their reasonable out-of-pocket expenses incurred in attending Board of Directors and committee meetings. </w:t>
      </w:r>
    </w:p>
    <w:p>
      <w:pPr>
        <w:pStyle w:val="TextBody"/>
        <w:bidi w:val="0"/>
        <w:spacing w:before="200" w:after="0"/>
        <w:jc w:val="left"/>
        <w:rPr>
          <w:rFonts w:ascii="ARIAL" w:hAnsi="ARIAL"/>
          <w:sz w:val="18"/>
        </w:rPr>
      </w:pPr>
      <w:bookmarkStart w:id="36" w:name="toc917810_33"/>
      <w:bookmarkEnd w:id="36"/>
      <w:r>
        <w:rPr>
          <w:rFonts w:ascii="ARIAL" w:hAnsi="ARIAL"/>
          <w:sz w:val="18"/>
        </w:rPr>
        <w:t xml:space="preserve">STOCKHOLDER COMMUNICATIONS WITH THE BOARD OF DIRECTORS </w:t>
      </w:r>
    </w:p>
    <w:p>
      <w:pPr>
        <w:pStyle w:val="TextBody"/>
        <w:bidi w:val="0"/>
        <w:spacing w:before="200" w:after="0"/>
        <w:jc w:val="left"/>
        <w:rPr>
          <w:rFonts w:ascii="ARIAL" w:hAnsi="ARIAL"/>
          <w:sz w:val="18"/>
        </w:rPr>
      </w:pPr>
      <w:r>
        <w:rPr>
          <w:rFonts w:ascii="ARIAL" w:hAnsi="ARIAL"/>
          <w:sz w:val="18"/>
        </w:rPr>
        <w:t xml:space="preserve">Stockholders wishing to communicate with our Board of Directors or with an individual member of our Board of Directors may do so by writing to our Board of Directors or to the particular member of our Board of Directors, care of our Corporate Secretary by mail to our principal executive offices, Attention: Corporate Secretary. The envelope should indicate that it contains a stockholder communication. All such stockholder communications will be forwarded to the director or directors to whom the communications are addressed.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  23  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393FF"/>
          <w:sz w:val="56"/>
        </w:rPr>
      </w:pPr>
      <w:bookmarkStart w:id="37" w:name="toc917810_34"/>
      <w:bookmarkEnd w:id="37"/>
      <w:r>
        <w:rPr>
          <w:rFonts w:ascii="ARIAL" w:hAnsi="ARIAL"/>
          <w:b/>
          <w:color w:val="2393FF"/>
          <w:sz w:val="56"/>
        </w:rPr>
        <w:t xml:space="preserve">Information About Our Executive Officers </w:t>
      </w:r>
    </w:p>
    <w:p>
      <w:pPr>
        <w:pStyle w:val="TextBody"/>
        <w:bidi w:val="0"/>
        <w:spacing w:before="0" w:after="0"/>
        <w:jc w:val="left"/>
        <w:rPr/>
      </w:pPr>
      <w:r>
        <w:rPr/>
        <w:t> </w:t>
      </w:r>
    </w:p>
    <w:p>
      <w:pPr>
        <w:pStyle w:val="TextBody"/>
        <w:bidi w:val="0"/>
        <w:spacing w:lineRule="atLeast" w:line="142" w:before="0" w:after="40"/>
        <w:jc w:val="left"/>
        <w:rPr>
          <w:bdr w:val="single" w:sz="2" w:space="1" w:color="2393FF"/>
        </w:rPr>
      </w:pPr>
      <w:r>
        <w:rPr>
          <w:bdr w:val="single" w:sz="2" w:space="1" w:color="2393FF"/>
        </w:rPr>
        <w:t> </w:t>
      </w:r>
    </w:p>
    <w:p>
      <w:pPr>
        <w:pStyle w:val="TextBody"/>
        <w:bidi w:val="0"/>
        <w:spacing w:before="200" w:after="0"/>
        <w:jc w:val="left"/>
        <w:rPr>
          <w:rFonts w:ascii="ARIAL" w:hAnsi="ARIAL"/>
          <w:sz w:val="18"/>
        </w:rPr>
      </w:pPr>
      <w:r>
        <w:rPr>
          <w:rFonts w:ascii="ARIAL" w:hAnsi="ARIAL"/>
          <w:sz w:val="18"/>
        </w:rPr>
        <w:t xml:space="preserve">The following table provides information concerning our executive officers as of April 8, 2025: </w:t>
      </w:r>
    </w:p>
    <w:p>
      <w:pPr>
        <w:pStyle w:val="TextBody"/>
        <w:bidi w:val="0"/>
        <w:spacing w:before="0" w:after="0"/>
        <w:jc w:val="left"/>
        <w:rPr/>
      </w:pPr>
      <w:r>
        <w:rPr/>
        <w:t> </w:t>
      </w:r>
    </w:p>
    <w:tbl>
      <w:tblPr>
        <w:tblW w:w="6855" w:type="dxa"/>
        <w:jc w:val="left"/>
        <w:tblInd w:w="0" w:type="dxa"/>
        <w:tblLayout w:type="fixed"/>
        <w:tblCellMar>
          <w:top w:w="0" w:type="dxa"/>
          <w:left w:w="0" w:type="dxa"/>
          <w:bottom w:w="0" w:type="dxa"/>
          <w:right w:w="0" w:type="dxa"/>
        </w:tblCellMar>
      </w:tblPr>
      <w:tblGrid>
        <w:gridCol w:w="1400"/>
        <w:gridCol w:w="120"/>
        <w:gridCol w:w="545"/>
        <w:gridCol w:w="240"/>
        <w:gridCol w:w="4550"/>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550"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283"/>
              <w:jc w:val="left"/>
              <w:rPr/>
            </w:pPr>
            <w:r>
              <w:rPr/>
              <w:t> </w:t>
            </w:r>
            <w:r>
              <w:rPr>
                <w:b/>
              </w:rPr>
              <w:t>NAME</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b/>
              </w:rPr>
            </w:pPr>
            <w:r>
              <w:rPr>
                <w:b/>
              </w:rPr>
              <w:t>AGE</w:t>
            </w:r>
          </w:p>
        </w:tc>
        <w:tc>
          <w:tcPr>
            <w:tcW w:w="24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b/>
              </w:rPr>
            </w:pPr>
            <w:r>
              <w:rPr>
                <w:b/>
              </w:rPr>
              <w:t xml:space="preserve">POSITION(S) </w:t>
            </w:r>
          </w:p>
        </w:tc>
      </w:tr>
      <w:tr>
        <w:trPr/>
        <w:tc>
          <w:tcPr>
            <w:tcW w:w="1400" w:type="dxa"/>
            <w:tcBorders/>
            <w:shd w:fill="E8F4FF" w:val="clear"/>
            <w:vAlign w:val="center"/>
          </w:tcPr>
          <w:p>
            <w:pPr>
              <w:pStyle w:val="TableContents"/>
              <w:bidi w:val="0"/>
              <w:spacing w:before="0" w:after="283"/>
              <w:jc w:val="left"/>
              <w:rPr>
                <w:sz w:val="4"/>
                <w:szCs w:val="4"/>
              </w:rPr>
            </w:pPr>
            <w:r>
              <w:rPr>
                <w:sz w:val="4"/>
                <w:szCs w:val="4"/>
              </w:rPr>
            </w:r>
          </w:p>
        </w:tc>
        <w:tc>
          <w:tcPr>
            <w:tcW w:w="665" w:type="dxa"/>
            <w:gridSpan w:val="2"/>
            <w:tcBorders/>
            <w:shd w:fill="E8F4FF" w:val="clear"/>
            <w:vAlign w:val="center"/>
          </w:tcPr>
          <w:p>
            <w:pPr>
              <w:pStyle w:val="TableContents"/>
              <w:bidi w:val="0"/>
              <w:spacing w:before="0" w:after="283"/>
              <w:jc w:val="left"/>
              <w:rPr>
                <w:sz w:val="4"/>
                <w:szCs w:val="4"/>
              </w:rPr>
            </w:pPr>
            <w:r>
              <w:rPr>
                <w:sz w:val="4"/>
                <w:szCs w:val="4"/>
              </w:rPr>
            </w:r>
          </w:p>
        </w:tc>
        <w:tc>
          <w:tcPr>
            <w:tcW w:w="479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140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Michael Massaro*</w:t>
            </w:r>
          </w:p>
        </w:tc>
        <w:tc>
          <w:tcPr>
            <w:tcW w:w="120" w:type="dxa"/>
            <w:tcBorders/>
            <w:shd w:fill="E8F4FF" w:val="clear"/>
            <w:vAlign w:val="center"/>
          </w:tcPr>
          <w:p>
            <w:pPr>
              <w:pStyle w:val="TableContents"/>
              <w:bidi w:val="0"/>
              <w:spacing w:before="0" w:after="283"/>
              <w:jc w:val="left"/>
              <w:rPr/>
            </w:pPr>
            <w:r>
              <w:rPr/>
              <w:t>  </w:t>
            </w:r>
          </w:p>
        </w:tc>
        <w:tc>
          <w:tcPr>
            <w:tcW w:w="545" w:type="dxa"/>
            <w:tcBorders/>
            <w:shd w:fill="E8F4FF" w:val="clear"/>
            <w:vAlign w:val="center"/>
          </w:tcPr>
          <w:p>
            <w:pPr>
              <w:pStyle w:val="TableContents"/>
              <w:bidi w:val="0"/>
              <w:spacing w:before="0" w:after="283"/>
              <w:jc w:val="center"/>
              <w:rPr/>
            </w:pPr>
            <w:r>
              <w:rPr/>
              <w:t>46</w:t>
            </w:r>
          </w:p>
        </w:tc>
        <w:tc>
          <w:tcPr>
            <w:tcW w:w="240" w:type="dxa"/>
            <w:tcBorders/>
            <w:shd w:fill="E8F4FF" w:val="clear"/>
            <w:vAlign w:val="center"/>
          </w:tcPr>
          <w:p>
            <w:pPr>
              <w:pStyle w:val="TableContents"/>
              <w:bidi w:val="0"/>
              <w:spacing w:before="0" w:after="283"/>
              <w:jc w:val="left"/>
              <w:rPr/>
            </w:pPr>
            <w:r>
              <w:rPr/>
              <w:t>    </w:t>
            </w:r>
          </w:p>
        </w:tc>
        <w:tc>
          <w:tcPr>
            <w:tcW w:w="4550" w:type="dxa"/>
            <w:tcBorders/>
            <w:shd w:fill="E8F4FF" w:val="clear"/>
            <w:vAlign w:val="center"/>
          </w:tcPr>
          <w:p>
            <w:pPr>
              <w:pStyle w:val="TableContents"/>
              <w:bidi w:val="0"/>
              <w:spacing w:before="0" w:after="283"/>
              <w:jc w:val="left"/>
              <w:rPr/>
            </w:pPr>
            <w:r>
              <w:rPr/>
              <w:t>Chief Executive Officer and Director</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479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Robert Orgel</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56</w:t>
            </w:r>
          </w:p>
        </w:tc>
        <w:tc>
          <w:tcPr>
            <w:tcW w:w="24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President and Chief Operating Officer</w:t>
            </w:r>
          </w:p>
        </w:tc>
      </w:tr>
      <w:tr>
        <w:trPr/>
        <w:tc>
          <w:tcPr>
            <w:tcW w:w="1400" w:type="dxa"/>
            <w:tcBorders/>
            <w:shd w:fill="E8F4FF" w:val="clear"/>
            <w:vAlign w:val="center"/>
          </w:tcPr>
          <w:p>
            <w:pPr>
              <w:pStyle w:val="TableContents"/>
              <w:bidi w:val="0"/>
              <w:spacing w:before="0" w:after="283"/>
              <w:jc w:val="left"/>
              <w:rPr>
                <w:sz w:val="4"/>
                <w:szCs w:val="4"/>
              </w:rPr>
            </w:pPr>
            <w:r>
              <w:rPr>
                <w:sz w:val="4"/>
                <w:szCs w:val="4"/>
              </w:rPr>
            </w:r>
          </w:p>
        </w:tc>
        <w:tc>
          <w:tcPr>
            <w:tcW w:w="665" w:type="dxa"/>
            <w:gridSpan w:val="2"/>
            <w:tcBorders/>
            <w:shd w:fill="E8F4FF" w:val="clear"/>
            <w:vAlign w:val="center"/>
          </w:tcPr>
          <w:p>
            <w:pPr>
              <w:pStyle w:val="TableContents"/>
              <w:bidi w:val="0"/>
              <w:spacing w:before="0" w:after="283"/>
              <w:jc w:val="left"/>
              <w:rPr>
                <w:sz w:val="4"/>
                <w:szCs w:val="4"/>
              </w:rPr>
            </w:pPr>
            <w:r>
              <w:rPr>
                <w:sz w:val="4"/>
                <w:szCs w:val="4"/>
              </w:rPr>
            </w:r>
          </w:p>
        </w:tc>
        <w:tc>
          <w:tcPr>
            <w:tcW w:w="479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140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Cosmin Pitigoi</w:t>
            </w:r>
          </w:p>
        </w:tc>
        <w:tc>
          <w:tcPr>
            <w:tcW w:w="120" w:type="dxa"/>
            <w:tcBorders/>
            <w:shd w:fill="E8F4FF" w:val="clear"/>
            <w:vAlign w:val="center"/>
          </w:tcPr>
          <w:p>
            <w:pPr>
              <w:pStyle w:val="TableContents"/>
              <w:bidi w:val="0"/>
              <w:spacing w:before="0" w:after="283"/>
              <w:jc w:val="left"/>
              <w:rPr/>
            </w:pPr>
            <w:r>
              <w:rPr/>
              <w:t>  </w:t>
            </w:r>
          </w:p>
        </w:tc>
        <w:tc>
          <w:tcPr>
            <w:tcW w:w="545" w:type="dxa"/>
            <w:tcBorders/>
            <w:shd w:fill="E8F4FF" w:val="clear"/>
            <w:vAlign w:val="center"/>
          </w:tcPr>
          <w:p>
            <w:pPr>
              <w:pStyle w:val="TableContents"/>
              <w:bidi w:val="0"/>
              <w:spacing w:before="0" w:after="283"/>
              <w:jc w:val="center"/>
              <w:rPr/>
            </w:pPr>
            <w:r>
              <w:rPr/>
              <w:t>48</w:t>
            </w:r>
          </w:p>
        </w:tc>
        <w:tc>
          <w:tcPr>
            <w:tcW w:w="240" w:type="dxa"/>
            <w:tcBorders/>
            <w:shd w:fill="E8F4FF" w:val="clear"/>
            <w:vAlign w:val="center"/>
          </w:tcPr>
          <w:p>
            <w:pPr>
              <w:pStyle w:val="TableContents"/>
              <w:bidi w:val="0"/>
              <w:spacing w:before="0" w:after="283"/>
              <w:jc w:val="left"/>
              <w:rPr/>
            </w:pPr>
            <w:r>
              <w:rPr/>
              <w:t>    </w:t>
            </w:r>
          </w:p>
        </w:tc>
        <w:tc>
          <w:tcPr>
            <w:tcW w:w="4550" w:type="dxa"/>
            <w:tcBorders/>
            <w:shd w:fill="E8F4FF" w:val="clear"/>
            <w:vAlign w:val="center"/>
          </w:tcPr>
          <w:p>
            <w:pPr>
              <w:pStyle w:val="TableContents"/>
              <w:bidi w:val="0"/>
              <w:spacing w:before="0" w:after="283"/>
              <w:jc w:val="left"/>
              <w:rPr/>
            </w:pPr>
            <w:r>
              <w:rPr/>
              <w:t>Chief Financial Officer</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479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Peter Butterfield</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60</w:t>
            </w:r>
          </w:p>
        </w:tc>
        <w:tc>
          <w:tcPr>
            <w:tcW w:w="24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General Counsel and Chief Compliance Officer</w:t>
            </w:r>
          </w:p>
        </w:tc>
      </w:tr>
      <w:tr>
        <w:trPr/>
        <w:tc>
          <w:tcPr>
            <w:tcW w:w="1400" w:type="dxa"/>
            <w:tcBorders/>
            <w:shd w:fill="E8F4FF" w:val="clear"/>
            <w:vAlign w:val="center"/>
          </w:tcPr>
          <w:p>
            <w:pPr>
              <w:pStyle w:val="TableContents"/>
              <w:bidi w:val="0"/>
              <w:spacing w:before="0" w:after="283"/>
              <w:jc w:val="left"/>
              <w:rPr>
                <w:sz w:val="4"/>
                <w:szCs w:val="4"/>
              </w:rPr>
            </w:pPr>
            <w:r>
              <w:rPr>
                <w:sz w:val="4"/>
                <w:szCs w:val="4"/>
              </w:rPr>
            </w:r>
          </w:p>
        </w:tc>
        <w:tc>
          <w:tcPr>
            <w:tcW w:w="665" w:type="dxa"/>
            <w:gridSpan w:val="2"/>
            <w:tcBorders/>
            <w:shd w:fill="E8F4FF" w:val="clear"/>
            <w:vAlign w:val="center"/>
          </w:tcPr>
          <w:p>
            <w:pPr>
              <w:pStyle w:val="TableContents"/>
              <w:bidi w:val="0"/>
              <w:spacing w:before="0" w:after="283"/>
              <w:jc w:val="left"/>
              <w:rPr>
                <w:sz w:val="4"/>
                <w:szCs w:val="4"/>
              </w:rPr>
            </w:pPr>
            <w:r>
              <w:rPr>
                <w:sz w:val="4"/>
                <w:szCs w:val="4"/>
              </w:rPr>
            </w:r>
          </w:p>
        </w:tc>
        <w:tc>
          <w:tcPr>
            <w:tcW w:w="479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140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David King</w:t>
            </w:r>
          </w:p>
        </w:tc>
        <w:tc>
          <w:tcPr>
            <w:tcW w:w="120" w:type="dxa"/>
            <w:tcBorders/>
            <w:shd w:fill="E8F4FF" w:val="clear"/>
            <w:vAlign w:val="center"/>
          </w:tcPr>
          <w:p>
            <w:pPr>
              <w:pStyle w:val="TableContents"/>
              <w:bidi w:val="0"/>
              <w:spacing w:before="0" w:after="283"/>
              <w:jc w:val="left"/>
              <w:rPr/>
            </w:pPr>
            <w:r>
              <w:rPr/>
              <w:t>  </w:t>
            </w:r>
          </w:p>
        </w:tc>
        <w:tc>
          <w:tcPr>
            <w:tcW w:w="545" w:type="dxa"/>
            <w:tcBorders/>
            <w:shd w:fill="E8F4FF" w:val="clear"/>
            <w:vAlign w:val="center"/>
          </w:tcPr>
          <w:p>
            <w:pPr>
              <w:pStyle w:val="TableContents"/>
              <w:bidi w:val="0"/>
              <w:spacing w:before="0" w:after="283"/>
              <w:jc w:val="center"/>
              <w:rPr/>
            </w:pPr>
            <w:r>
              <w:rPr/>
              <w:t>56</w:t>
            </w:r>
          </w:p>
        </w:tc>
        <w:tc>
          <w:tcPr>
            <w:tcW w:w="240" w:type="dxa"/>
            <w:tcBorders/>
            <w:shd w:fill="E8F4FF" w:val="clear"/>
            <w:vAlign w:val="center"/>
          </w:tcPr>
          <w:p>
            <w:pPr>
              <w:pStyle w:val="TableContents"/>
              <w:bidi w:val="0"/>
              <w:spacing w:before="0" w:after="283"/>
              <w:jc w:val="left"/>
              <w:rPr/>
            </w:pPr>
            <w:r>
              <w:rPr/>
              <w:t>    </w:t>
            </w:r>
          </w:p>
        </w:tc>
        <w:tc>
          <w:tcPr>
            <w:tcW w:w="4550" w:type="dxa"/>
            <w:tcBorders/>
            <w:shd w:fill="E8F4FF" w:val="clear"/>
            <w:vAlign w:val="center"/>
          </w:tcPr>
          <w:p>
            <w:pPr>
              <w:pStyle w:val="TableContents"/>
              <w:bidi w:val="0"/>
              <w:spacing w:before="0" w:after="283"/>
              <w:jc w:val="left"/>
              <w:rPr/>
            </w:pPr>
            <w:r>
              <w:rPr/>
              <w:t>Chief Technology Officer</w:t>
            </w:r>
          </w:p>
        </w:tc>
      </w:tr>
    </w:tbl>
    <w:p>
      <w:pPr>
        <w:pStyle w:val="TextBody"/>
        <w:bidi w:val="0"/>
        <w:spacing w:before="200" w:after="0"/>
        <w:jc w:val="left"/>
        <w:rPr>
          <w:rFonts w:ascii="ARIAL" w:hAnsi="ARIAL"/>
          <w:sz w:val="18"/>
        </w:rPr>
      </w:pPr>
      <w:r>
        <w:rPr>
          <w:rFonts w:ascii="ARIAL" w:hAnsi="ARIAL"/>
          <w:i/>
          <w:sz w:val="18"/>
        </w:rPr>
        <w:t>*Michael Massaro</w:t>
      </w:r>
      <w:r>
        <w:rPr>
          <w:rFonts w:ascii="ARIAL" w:hAnsi="ARIAL"/>
          <w:sz w:val="18"/>
        </w:rPr>
        <w:t xml:space="preserve"> See biographical information set forth above under “Nominees for Election as Class I Directors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35"/>
        <w:gridCol w:w="60"/>
        <w:gridCol w:w="891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1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ARIAL" w:hAnsi="ARIAL"/>
                <w:color w:val="2393FF"/>
                <w:sz w:val="36"/>
              </w:rPr>
            </w:pPr>
            <w:r>
              <w:rPr>
                <w:rFonts w:ascii="ARIAL" w:hAnsi="ARIAL"/>
                <w:color w:val="2393FF"/>
                <w:sz w:val="36"/>
              </w:rPr>
              <w:t>Robert</w:t>
            </w:r>
          </w:p>
          <w:p>
            <w:pPr>
              <w:pStyle w:val="TableContents"/>
              <w:bidi w:val="0"/>
              <w:spacing w:before="0" w:after="20"/>
              <w:jc w:val="left"/>
              <w:rPr>
                <w:rFonts w:ascii="ARIAL" w:hAnsi="ARIAL"/>
                <w:b/>
                <w:color w:val="2393FF"/>
                <w:sz w:val="36"/>
              </w:rPr>
            </w:pPr>
            <w:r>
              <w:rPr>
                <w:rFonts w:ascii="ARIAL" w:hAnsi="ARIAL"/>
                <w:b/>
                <w:color w:val="2393FF"/>
                <w:sz w:val="36"/>
              </w:rPr>
              <w:t>Orgel</w:t>
            </w:r>
          </w:p>
        </w:tc>
        <w:tc>
          <w:tcPr>
            <w:tcW w:w="6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rFonts w:ascii="ARIAL" w:hAnsi="ARIAL"/>
                <w:sz w:val="18"/>
              </w:rPr>
            </w:pPr>
            <w:r>
              <w:rPr>
                <w:rFonts w:ascii="ARIAL" w:hAnsi="ARIAL"/>
                <w:sz w:val="18"/>
              </w:rPr>
              <w:t>President and Chief Operating Officer | Age: 56</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color w:val="2393FF"/>
                <w:sz w:val="18"/>
              </w:rPr>
              <w:t>Robert Orgel</w:t>
            </w:r>
            <w:r>
              <w:rPr>
                <w:rFonts w:ascii="ARIAL" w:hAnsi="ARIAL"/>
                <w:sz w:val="18"/>
              </w:rPr>
              <w:t xml:space="preserve"> has served as our President and Chief Operating Officer since November 2019. Mr. Orgel leads Flywire’s business operations, legal, compliance, and corporate strategy functions. He brings extensive experience with 20 years in the technology/payments ecosystem to Flywire, including hands-on experience in legal, compliance, finance, go-to-market, business development and global operations. Prior to Flywire, Mr. Orgel served in various roles at Apple Inc. from 2010 to 2019 where he was part of the leadership team that developed, launched and grew the Apple Pay business and global expansion as well as the launch of the Apple Card. Prior to his time at Apple Inc., Mr. Orgel served as Chief Operating Officer at Quattro Wireless, Inc. from 2008 until it was acquired by Apple Inc. in 2010. Mr. Orgel has also played key leadership roles at m-Qube, Inc., a carrier billing and payment platform which was acquired by Verisign Inc., and edocs Inc., an e-billing and payment solution which was acquired by Siebel Systems (subsequently acquired by Oracle Corporation).</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8910" w:type="dxa"/>
            <w:tcBorders/>
            <w:shd w:fill="E8F4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393FF"/>
                <w:sz w:val="18"/>
              </w:rPr>
            </w:pPr>
            <w:r>
              <w:rPr>
                <w:rFonts w:ascii="ARIAL" w:hAnsi="ARIAL"/>
                <w:b/>
                <w:color w:val="2393FF"/>
                <w:sz w:val="18"/>
              </w:rPr>
              <w:t>Mr. Orgel holds Bachelor of Arts and Master of Arts degrees in International Relations from Stanford University and a Juris Doctor degree from Harvard Law School.</w:t>
            </w:r>
          </w:p>
          <w:p>
            <w:pPr>
              <w:pStyle w:val="TableContents"/>
              <w:bidi w:val="0"/>
              <w:spacing w:before="0" w:after="20"/>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8970" w:type="dxa"/>
            <w:gridSpan w:val="2"/>
            <w:tcBorders/>
            <w:vAlign w:val="center"/>
          </w:tcPr>
          <w:p>
            <w:pPr>
              <w:pStyle w:val="TableContents"/>
              <w:bidi w:val="0"/>
              <w:spacing w:before="0" w:after="283"/>
              <w:jc w:val="left"/>
              <w:rPr>
                <w:sz w:val="4"/>
                <w:szCs w:val="4"/>
              </w:rPr>
            </w:pPr>
            <w:r>
              <w:rPr>
                <w:sz w:val="4"/>
                <w:szCs w:val="4"/>
              </w:rPr>
            </w:r>
          </w:p>
        </w:tc>
      </w:tr>
      <w:tr>
        <w:trPr/>
        <w:tc>
          <w:tcPr>
            <w:tcW w:w="1235" w:type="dxa"/>
            <w:vMerge w:val="restart"/>
            <w:tcBorders/>
            <w:vAlign w:val="center"/>
          </w:tcPr>
          <w:p>
            <w:pPr>
              <w:pStyle w:val="TableContents"/>
              <w:bidi w:val="0"/>
              <w:spacing w:before="0" w:after="0"/>
              <w:jc w:val="left"/>
              <w:rPr>
                <w:rFonts w:ascii="ARIAL" w:hAnsi="ARIAL"/>
                <w:color w:val="2393FF"/>
                <w:sz w:val="36"/>
              </w:rPr>
            </w:pPr>
            <w:r>
              <w:rPr>
                <w:rFonts w:ascii="ARIAL" w:hAnsi="ARIAL"/>
                <w:color w:val="2393FF"/>
                <w:sz w:val="36"/>
              </w:rPr>
              <w:t>Cosmin</w:t>
            </w:r>
          </w:p>
          <w:p>
            <w:pPr>
              <w:pStyle w:val="TableContents"/>
              <w:bidi w:val="0"/>
              <w:spacing w:before="0" w:after="20"/>
              <w:jc w:val="left"/>
              <w:rPr>
                <w:rFonts w:ascii="ARIAL" w:hAnsi="ARIAL"/>
                <w:b/>
                <w:color w:val="2393FF"/>
                <w:sz w:val="36"/>
              </w:rPr>
            </w:pPr>
            <w:r>
              <w:rPr>
                <w:rFonts w:ascii="ARIAL" w:hAnsi="ARIAL"/>
                <w:b/>
                <w:color w:val="2393FF"/>
                <w:sz w:val="36"/>
              </w:rPr>
              <w:t>Pitigoi</w:t>
            </w:r>
          </w:p>
        </w:tc>
        <w:tc>
          <w:tcPr>
            <w:tcW w:w="6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rFonts w:ascii="ARIAL" w:hAnsi="ARIAL"/>
                <w:sz w:val="20"/>
              </w:rPr>
            </w:pPr>
            <w:r>
              <w:rPr>
                <w:rFonts w:ascii="ARIAL" w:hAnsi="ARIAL"/>
                <w:sz w:val="20"/>
              </w:rPr>
              <w:t>Chief Financial Officer | Age: 48</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color w:val="2393FF"/>
                <w:sz w:val="18"/>
              </w:rPr>
              <w:t>Cosmin Pitigoi</w:t>
            </w:r>
            <w:r>
              <w:rPr>
                <w:rFonts w:ascii="ARIAL" w:hAnsi="ARIAL"/>
                <w:sz w:val="18"/>
              </w:rPr>
              <w:t xml:space="preserve"> has served as our Chief Financial Officer since March 2024.</w:t>
            </w:r>
          </w:p>
          <w:p>
            <w:pPr>
              <w:pStyle w:val="TableContents"/>
              <w:bidi w:val="0"/>
              <w:spacing w:before="0" w:after="20"/>
              <w:jc w:val="left"/>
              <w:rPr>
                <w:rFonts w:ascii="ARIAL" w:hAnsi="ARIAL"/>
                <w:sz w:val="18"/>
              </w:rPr>
            </w:pPr>
            <w:r>
              <w:rPr>
                <w:rFonts w:ascii="ARIAL" w:hAnsi="ARIAL"/>
                <w:sz w:val="18"/>
              </w:rPr>
              <w:t>Prior to joining Flywire, Mr. Pitigoi served in a variety of senior level positions with PayPal Holdings, Inc. from November 2012 to February 2024, most recently serving as SVP Finance, Global FP&amp;A, Operational Finance and Pricing since January 2023. Commencing in January 2004, Mr. Pitigoi served in a variety of roles at eBay Inc., concluding as director of Investor Relations from December 2010 to November 2012. He began his career as a financial analyst at Barclays Global Investors and brokerage ops supervisor at E*Trade. Mr. Pitigoi served on the board of directors at Paidy Corporation (a PayPal acquisition) and was previously the Audit Committee Chair of the PayPal Giving Fund.</w:t>
            </w:r>
          </w:p>
        </w:tc>
      </w:tr>
      <w:tr>
        <w:trPr/>
        <w:tc>
          <w:tcPr>
            <w:tcW w:w="1235" w:type="dxa"/>
            <w:vMerge w:val="continue"/>
            <w:tcBorders/>
            <w:vAlign w:val="center"/>
          </w:tcPr>
          <w:p>
            <w:pPr>
              <w:pStyle w:val="Normal"/>
              <w:bidi w:val="0"/>
              <w:jc w:val="left"/>
              <w:rPr/>
            </w:pPr>
            <w:r>
              <w:rPr/>
            </w:r>
          </w:p>
        </w:tc>
        <w:tc>
          <w:tcPr>
            <w:tcW w:w="60" w:type="dxa"/>
            <w:tcBorders/>
            <w:shd w:fill="E8F4FF" w:val="clear"/>
            <w:vAlign w:val="center"/>
          </w:tcPr>
          <w:p>
            <w:pPr>
              <w:pStyle w:val="TableContents"/>
              <w:bidi w:val="0"/>
              <w:spacing w:before="0" w:after="283"/>
              <w:jc w:val="left"/>
              <w:rPr/>
            </w:pPr>
            <w:r>
              <w:rPr/>
              <w:t> </w:t>
            </w:r>
          </w:p>
        </w:tc>
        <w:tc>
          <w:tcPr>
            <w:tcW w:w="8910" w:type="dxa"/>
            <w:tcBorders/>
            <w:shd w:fill="E8F4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393FF"/>
                <w:sz w:val="18"/>
              </w:rPr>
            </w:pPr>
            <w:r>
              <w:rPr>
                <w:rFonts w:ascii="ARIAL" w:hAnsi="ARIAL"/>
                <w:b/>
                <w:color w:val="2393FF"/>
                <w:sz w:val="18"/>
              </w:rPr>
              <w:t>Mr. Pitigoi holds a B.Comm. from Stellenbosch University in South Africa and an M.B.A. from Santa Clara University.</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  24  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835"/>
        <w:gridCol w:w="60"/>
        <w:gridCol w:w="8310"/>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10" w:type="dxa"/>
            <w:tcBorders/>
            <w:vAlign w:val="center"/>
          </w:tcPr>
          <w:p>
            <w:pPr>
              <w:pStyle w:val="TableContents"/>
              <w:bidi w:val="0"/>
              <w:spacing w:before="0" w:after="283"/>
              <w:jc w:val="left"/>
              <w:rPr>
                <w:sz w:val="4"/>
                <w:szCs w:val="4"/>
              </w:rPr>
            </w:pPr>
            <w:r>
              <w:rPr>
                <w:sz w:val="4"/>
                <w:szCs w:val="4"/>
              </w:rPr>
            </w:r>
          </w:p>
        </w:tc>
      </w:tr>
      <w:tr>
        <w:trPr/>
        <w:tc>
          <w:tcPr>
            <w:tcW w:w="1835" w:type="dxa"/>
            <w:vMerge w:val="restart"/>
            <w:tcBorders/>
            <w:vAlign w:val="center"/>
          </w:tcPr>
          <w:p>
            <w:pPr>
              <w:pStyle w:val="TableContents"/>
              <w:bidi w:val="0"/>
              <w:spacing w:before="0" w:after="0"/>
              <w:jc w:val="left"/>
              <w:rPr>
                <w:rFonts w:ascii="ARIAL" w:hAnsi="ARIAL"/>
                <w:color w:val="2393FF"/>
                <w:sz w:val="36"/>
              </w:rPr>
            </w:pPr>
            <w:r>
              <w:rPr>
                <w:rFonts w:ascii="ARIAL" w:hAnsi="ARIAL"/>
                <w:color w:val="2393FF"/>
                <w:sz w:val="36"/>
              </w:rPr>
              <w:t>Peter</w:t>
            </w:r>
          </w:p>
          <w:p>
            <w:pPr>
              <w:pStyle w:val="TableContents"/>
              <w:bidi w:val="0"/>
              <w:spacing w:before="0" w:after="20"/>
              <w:jc w:val="left"/>
              <w:rPr>
                <w:rFonts w:ascii="ARIAL" w:hAnsi="ARIAL"/>
                <w:b/>
                <w:color w:val="2393FF"/>
                <w:sz w:val="36"/>
              </w:rPr>
            </w:pPr>
            <w:r>
              <w:rPr>
                <w:rFonts w:ascii="ARIAL" w:hAnsi="ARIAL"/>
                <w:b/>
                <w:color w:val="2393FF"/>
                <w:sz w:val="36"/>
              </w:rPr>
              <w:t>Butterfield</w:t>
            </w:r>
          </w:p>
        </w:tc>
        <w:tc>
          <w:tcPr>
            <w:tcW w:w="60" w:type="dxa"/>
            <w:tcBorders/>
            <w:vAlign w:val="center"/>
          </w:tcPr>
          <w:p>
            <w:pPr>
              <w:pStyle w:val="TableContents"/>
              <w:bidi w:val="0"/>
              <w:spacing w:before="0" w:after="283"/>
              <w:jc w:val="left"/>
              <w:rPr/>
            </w:pPr>
            <w:r>
              <w:rPr/>
              <w:t> </w:t>
            </w:r>
          </w:p>
        </w:tc>
        <w:tc>
          <w:tcPr>
            <w:tcW w:w="8310" w:type="dxa"/>
            <w:tcBorders/>
            <w:vAlign w:val="center"/>
          </w:tcPr>
          <w:p>
            <w:pPr>
              <w:pStyle w:val="TableContents"/>
              <w:bidi w:val="0"/>
              <w:spacing w:before="0" w:after="0"/>
              <w:jc w:val="left"/>
              <w:rPr>
                <w:rFonts w:ascii="ARIAL" w:hAnsi="ARIAL"/>
                <w:sz w:val="20"/>
              </w:rPr>
            </w:pPr>
            <w:r>
              <w:rPr>
                <w:rFonts w:ascii="ARIAL" w:hAnsi="ARIAL"/>
                <w:sz w:val="20"/>
              </w:rPr>
              <w:t>General Counsel and Chief Compliance Officer | Age: 60</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color w:val="2393FF"/>
                <w:sz w:val="18"/>
              </w:rPr>
              <w:t>Peter Butterfield</w:t>
            </w:r>
            <w:r>
              <w:rPr>
                <w:rFonts w:ascii="ARIAL" w:hAnsi="ARIAL"/>
                <w:sz w:val="18"/>
              </w:rPr>
              <w:t xml:space="preserve"> has served as our General Counsel and Chief Compliance Officer since March 2015. Prior to joining Flywire, Mr. Butterfield held various senior management roles within Devonshire Investors, the private equity arm of Fidelity Investments, and its operating companies from 2001 to 2015. During that time, Mr. Butterfield lived and worked for over a decade in Tokyo and Singapore managing legal, risk, audit and compliance functions, and leading the ex-Japan APAC operations for KVH Co., Ltd. (subsequently acquired by Colt Technology Services Group Limited).</w:t>
            </w:r>
          </w:p>
        </w:tc>
      </w:tr>
      <w:tr>
        <w:trPr/>
        <w:tc>
          <w:tcPr>
            <w:tcW w:w="1835" w:type="dxa"/>
            <w:vMerge w:val="continue"/>
            <w:tcBorders/>
            <w:vAlign w:val="center"/>
          </w:tcPr>
          <w:p>
            <w:pPr>
              <w:pStyle w:val="Normal"/>
              <w:bidi w:val="0"/>
              <w:jc w:val="left"/>
              <w:rPr/>
            </w:pPr>
            <w:r>
              <w:rPr/>
            </w:r>
          </w:p>
        </w:tc>
        <w:tc>
          <w:tcPr>
            <w:tcW w:w="60" w:type="dxa"/>
            <w:tcBorders/>
            <w:shd w:fill="E8F4FF" w:val="clear"/>
            <w:vAlign w:val="center"/>
          </w:tcPr>
          <w:p>
            <w:pPr>
              <w:pStyle w:val="TableContents"/>
              <w:bidi w:val="0"/>
              <w:spacing w:before="0" w:after="283"/>
              <w:jc w:val="left"/>
              <w:rPr/>
            </w:pPr>
            <w:r>
              <w:rPr/>
              <w:t> </w:t>
            </w:r>
          </w:p>
        </w:tc>
        <w:tc>
          <w:tcPr>
            <w:tcW w:w="8310" w:type="dxa"/>
            <w:tcBorders/>
            <w:shd w:fill="E8F4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393FF"/>
                <w:sz w:val="18"/>
              </w:rPr>
            </w:pPr>
            <w:r>
              <w:rPr>
                <w:rFonts w:ascii="ARIAL" w:hAnsi="ARIAL"/>
                <w:b/>
                <w:color w:val="2393FF"/>
                <w:sz w:val="18"/>
              </w:rPr>
              <w:t>Mr. Butterfield holds a Bachelor of Arts in History and Government from Bowdoin College and a Juris Doctor degree from Columbia University.</w:t>
            </w:r>
          </w:p>
          <w:p>
            <w:pPr>
              <w:pStyle w:val="TableContents"/>
              <w:bidi w:val="0"/>
              <w:spacing w:before="0" w:after="20"/>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8370" w:type="dxa"/>
            <w:gridSpan w:val="2"/>
            <w:tcBorders/>
            <w:vAlign w:val="center"/>
          </w:tcPr>
          <w:p>
            <w:pPr>
              <w:pStyle w:val="TableContents"/>
              <w:bidi w:val="0"/>
              <w:spacing w:before="0" w:after="283"/>
              <w:jc w:val="left"/>
              <w:rPr>
                <w:sz w:val="4"/>
                <w:szCs w:val="4"/>
              </w:rPr>
            </w:pPr>
            <w:r>
              <w:rPr>
                <w:sz w:val="4"/>
                <w:szCs w:val="4"/>
              </w:rPr>
            </w:r>
          </w:p>
        </w:tc>
      </w:tr>
      <w:tr>
        <w:trPr/>
        <w:tc>
          <w:tcPr>
            <w:tcW w:w="1835" w:type="dxa"/>
            <w:vMerge w:val="restart"/>
            <w:tcBorders/>
            <w:vAlign w:val="center"/>
          </w:tcPr>
          <w:p>
            <w:pPr>
              <w:pStyle w:val="TableContents"/>
              <w:bidi w:val="0"/>
              <w:spacing w:before="0" w:after="0"/>
              <w:jc w:val="left"/>
              <w:rPr>
                <w:rFonts w:ascii="ARIAL" w:hAnsi="ARIAL"/>
                <w:color w:val="2393FF"/>
                <w:sz w:val="36"/>
              </w:rPr>
            </w:pPr>
            <w:r>
              <w:rPr>
                <w:rFonts w:ascii="ARIAL" w:hAnsi="ARIAL"/>
                <w:color w:val="2393FF"/>
                <w:sz w:val="36"/>
              </w:rPr>
              <w:t>David</w:t>
            </w:r>
          </w:p>
          <w:p>
            <w:pPr>
              <w:pStyle w:val="TableContents"/>
              <w:bidi w:val="0"/>
              <w:spacing w:before="0" w:after="20"/>
              <w:jc w:val="left"/>
              <w:rPr>
                <w:rFonts w:ascii="ARIAL" w:hAnsi="ARIAL"/>
                <w:b/>
                <w:color w:val="2393FF"/>
                <w:sz w:val="36"/>
              </w:rPr>
            </w:pPr>
            <w:r>
              <w:rPr>
                <w:rFonts w:ascii="ARIAL" w:hAnsi="ARIAL"/>
                <w:b/>
                <w:color w:val="2393FF"/>
                <w:sz w:val="36"/>
              </w:rPr>
              <w:t>King</w:t>
            </w:r>
          </w:p>
        </w:tc>
        <w:tc>
          <w:tcPr>
            <w:tcW w:w="60" w:type="dxa"/>
            <w:tcBorders/>
            <w:vAlign w:val="center"/>
          </w:tcPr>
          <w:p>
            <w:pPr>
              <w:pStyle w:val="TableContents"/>
              <w:bidi w:val="0"/>
              <w:spacing w:before="0" w:after="283"/>
              <w:jc w:val="left"/>
              <w:rPr/>
            </w:pPr>
            <w:r>
              <w:rPr/>
              <w:t> </w:t>
            </w:r>
          </w:p>
        </w:tc>
        <w:tc>
          <w:tcPr>
            <w:tcW w:w="8310" w:type="dxa"/>
            <w:tcBorders/>
            <w:vAlign w:val="center"/>
          </w:tcPr>
          <w:p>
            <w:pPr>
              <w:pStyle w:val="TableContents"/>
              <w:bidi w:val="0"/>
              <w:spacing w:before="0" w:after="0"/>
              <w:jc w:val="left"/>
              <w:rPr>
                <w:rFonts w:ascii="ARIAL" w:hAnsi="ARIAL"/>
                <w:sz w:val="20"/>
              </w:rPr>
            </w:pPr>
            <w:r>
              <w:rPr>
                <w:rFonts w:ascii="ARIAL" w:hAnsi="ARIAL"/>
                <w:sz w:val="20"/>
              </w:rPr>
              <w:t>Chief Technology Officer | Age: 56</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b/>
                <w:color w:val="2393FF"/>
                <w:sz w:val="18"/>
              </w:rPr>
              <w:t>David King</w:t>
            </w:r>
            <w:r>
              <w:rPr>
                <w:rFonts w:ascii="ARIAL" w:hAnsi="ARIAL"/>
                <w:sz w:val="18"/>
              </w:rPr>
              <w:t xml:space="preserve"> has served as our Chief Technology Officer since June 2019 and is responsible for oversight of our global technology and solutions development. Mr. King joined Flywire as its Vice President of Engineering in January 2018, following our acquisition of OnPlan Holdings where he was a co-founder and leveraged his background in payments, analytics and billing to develop innovative payment plan solutions for the healthcare and education sectors. Before co-founding OnPlan in May 2014, Mr. King founded other companies including infiNET Solutions, Inc., which delivered SaaS solutions to higher education and was subsequently acquired by Nelnet, Inc. in 2006. Mr. King served as president of Nelnet’s higher education division and led various initiatives in Nelnet such as launching an online medical education program, and leading data security. Mr. King is also an owner of AmagiSoft, LLC, which provides gym membership management software to CrossFit gyms.</w:t>
            </w:r>
          </w:p>
        </w:tc>
      </w:tr>
      <w:tr>
        <w:trPr/>
        <w:tc>
          <w:tcPr>
            <w:tcW w:w="1835" w:type="dxa"/>
            <w:vMerge w:val="continue"/>
            <w:tcBorders/>
            <w:vAlign w:val="center"/>
          </w:tcPr>
          <w:p>
            <w:pPr>
              <w:pStyle w:val="Normal"/>
              <w:bidi w:val="0"/>
              <w:jc w:val="left"/>
              <w:rPr/>
            </w:pPr>
            <w:r>
              <w:rPr/>
            </w:r>
          </w:p>
        </w:tc>
        <w:tc>
          <w:tcPr>
            <w:tcW w:w="60" w:type="dxa"/>
            <w:tcBorders/>
            <w:shd w:fill="E8F4FF" w:val="clear"/>
            <w:vAlign w:val="center"/>
          </w:tcPr>
          <w:p>
            <w:pPr>
              <w:pStyle w:val="TableContents"/>
              <w:bidi w:val="0"/>
              <w:spacing w:before="0" w:after="283"/>
              <w:jc w:val="left"/>
              <w:rPr/>
            </w:pPr>
            <w:r>
              <w:rPr/>
              <w:t> </w:t>
            </w:r>
          </w:p>
        </w:tc>
        <w:tc>
          <w:tcPr>
            <w:tcW w:w="8310" w:type="dxa"/>
            <w:tcBorders/>
            <w:shd w:fill="E8F4FF"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393FF"/>
                <w:sz w:val="18"/>
              </w:rPr>
            </w:pPr>
            <w:r>
              <w:rPr>
                <w:rFonts w:ascii="ARIAL" w:hAnsi="ARIAL"/>
                <w:b/>
                <w:color w:val="2393FF"/>
                <w:sz w:val="18"/>
              </w:rPr>
              <w:t>Mr. King holds a Bachelor of Science in Mathematics and Physics from Westminster College, and a Master of Science in Physics from Miami University.</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  25  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393FF"/>
          <w:sz w:val="56"/>
        </w:rPr>
      </w:pPr>
      <w:bookmarkStart w:id="38" w:name="toc917810_35"/>
      <w:bookmarkEnd w:id="38"/>
      <w:r>
        <w:rPr>
          <w:rFonts w:ascii="ARIAL" w:hAnsi="ARIAL"/>
          <w:b/>
          <w:color w:val="2393FF"/>
          <w:sz w:val="56"/>
        </w:rPr>
        <w:t xml:space="preserve">Executive Compensation </w:t>
      </w:r>
    </w:p>
    <w:p>
      <w:pPr>
        <w:pStyle w:val="TextBody"/>
        <w:bidi w:val="0"/>
        <w:spacing w:before="0" w:after="0"/>
        <w:jc w:val="left"/>
        <w:rPr/>
      </w:pPr>
      <w:r>
        <w:rPr/>
        <w:t> </w:t>
      </w:r>
    </w:p>
    <w:p>
      <w:pPr>
        <w:pStyle w:val="TextBody"/>
        <w:bidi w:val="0"/>
        <w:spacing w:lineRule="atLeast" w:line="142" w:before="0" w:after="40"/>
        <w:jc w:val="left"/>
        <w:rPr>
          <w:bdr w:val="single" w:sz="2" w:space="1" w:color="2393FF"/>
        </w:rPr>
      </w:pPr>
      <w:r>
        <w:rPr>
          <w:bdr w:val="single" w:sz="2" w:space="1" w:color="2393FF"/>
        </w:rPr>
        <w:t> </w:t>
      </w:r>
    </w:p>
    <w:p>
      <w:pPr>
        <w:pStyle w:val="TextBody"/>
        <w:bidi w:val="0"/>
        <w:spacing w:before="200" w:after="0"/>
        <w:jc w:val="left"/>
        <w:rPr>
          <w:rFonts w:ascii="ARIAL" w:hAnsi="ARIAL"/>
          <w:sz w:val="18"/>
        </w:rPr>
      </w:pPr>
      <w:bookmarkStart w:id="39" w:name="toc917810_36"/>
      <w:bookmarkEnd w:id="39"/>
      <w:r>
        <w:rPr>
          <w:rFonts w:ascii="ARIAL" w:hAnsi="ARIAL"/>
          <w:sz w:val="18"/>
        </w:rPr>
        <w:t xml:space="preserve">COMPENSATION DISCUSSION AND ANALYSIS </w:t>
      </w:r>
    </w:p>
    <w:p>
      <w:pPr>
        <w:pStyle w:val="TextBody"/>
        <w:bidi w:val="0"/>
        <w:spacing w:before="200" w:after="0"/>
        <w:jc w:val="left"/>
        <w:rPr>
          <w:rFonts w:ascii="ARIAL" w:hAnsi="ARIAL"/>
          <w:sz w:val="18"/>
        </w:rPr>
      </w:pPr>
      <w:r>
        <w:rPr>
          <w:rFonts w:ascii="ARIAL" w:hAnsi="ARIAL"/>
          <w:sz w:val="18"/>
        </w:rPr>
        <w:t xml:space="preserve">This section discusses our compensation philosophy, summarizes our compensation programs and reviews compensation decisions for our named executive officers (NEOs) for the year ended December 31, 2024 (Fiscal 2024). The following discussion contains forward-looking statements that are based on our current plans, considerations, expectations, and determinations regarding existing and future compensation programs. The actual amount and form of compensation and the compensation policies and practices that we adopt in the future may differ materially from currently planned programs as summarized in this discussion. </w:t>
      </w:r>
    </w:p>
    <w:p>
      <w:pPr>
        <w:pStyle w:val="TextBody"/>
        <w:bidi w:val="0"/>
        <w:spacing w:before="200" w:after="0"/>
        <w:jc w:val="left"/>
        <w:rPr>
          <w:rFonts w:ascii="ARIAL" w:hAnsi="ARIAL"/>
          <w:sz w:val="18"/>
        </w:rPr>
      </w:pPr>
      <w:r>
        <w:rPr>
          <w:rFonts w:ascii="ARIAL" w:hAnsi="ARIAL"/>
          <w:sz w:val="18"/>
        </w:rPr>
        <w:t xml:space="preserve">For Fiscal 2024, our NEOs were: </w:t>
      </w:r>
    </w:p>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ARIAL" w:hAnsi="ARIAL"/>
                <w:sz w:val="18"/>
              </w:rPr>
            </w:pPr>
            <w:r>
              <w:rPr>
                <w:rFonts w:ascii="ARIAL" w:hAnsi="ARIAL"/>
                <w:sz w:val="18"/>
              </w:rPr>
              <w:t xml:space="preserve">Michael Massaro, our Chief Executive Officer and member of our Board of Directors;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75"/>
        <w:gridCol w:w="110"/>
        <w:gridCol w:w="60"/>
        <w:gridCol w:w="4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left"/>
              <w:rPr>
                <w:rFonts w:ascii="ARIAL" w:hAnsi="ARIAL"/>
                <w:sz w:val="18"/>
              </w:rPr>
            </w:pPr>
            <w:r>
              <w:rPr>
                <w:rFonts w:ascii="ARIAL" w:hAnsi="ARIAL"/>
                <w:sz w:val="18"/>
              </w:rPr>
              <w:t xml:space="preserve">Robert Orgel, our President and Chief Operating Officer; </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75"/>
        <w:gridCol w:w="110"/>
        <w:gridCol w:w="60"/>
        <w:gridCol w:w="3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jc w:val="left"/>
              <w:rPr>
                <w:rFonts w:ascii="ARIAL" w:hAnsi="ARIAL"/>
                <w:sz w:val="18"/>
              </w:rPr>
            </w:pPr>
            <w:r>
              <w:rPr>
                <w:rFonts w:ascii="ARIAL" w:hAnsi="ARIAL"/>
                <w:sz w:val="18"/>
              </w:rPr>
              <w:t xml:space="preserve">Cosmin Pitigoi, our Chief Financial Officer(1);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ARIAL" w:hAnsi="ARIAL"/>
                <w:sz w:val="18"/>
              </w:rPr>
            </w:pPr>
            <w:r>
              <w:rPr>
                <w:rFonts w:ascii="ARIAL" w:hAnsi="ARIAL"/>
                <w:sz w:val="18"/>
              </w:rPr>
              <w:t xml:space="preserve">Peter Butterfield, our General Counsel and Chief Compliance Officer;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75"/>
        <w:gridCol w:w="110"/>
        <w:gridCol w:w="60"/>
        <w:gridCol w:w="3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left"/>
              <w:rPr>
                <w:rFonts w:ascii="ARIAL" w:hAnsi="ARIAL"/>
                <w:sz w:val="18"/>
              </w:rPr>
            </w:pPr>
            <w:r>
              <w:rPr>
                <w:rFonts w:ascii="ARIAL" w:hAnsi="ARIAL"/>
                <w:sz w:val="18"/>
              </w:rPr>
              <w:t xml:space="preserve">David King, our Chief Technology Officer; and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110"/>
        <w:gridCol w:w="60"/>
        <w:gridCol w:w="4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ARIAL" w:hAnsi="ARIAL"/>
                <w:sz w:val="18"/>
              </w:rPr>
            </w:pPr>
            <w:r>
              <w:rPr>
                <w:rFonts w:ascii="ARIAL" w:hAnsi="ARIAL"/>
                <w:sz w:val="18"/>
              </w:rPr>
              <w:t xml:space="preserve">Michael Ellis, our former Chief Financial Officer(1)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color w:val="333333"/>
              </w:rPr>
            </w:pPr>
            <w:r>
              <w:rPr>
                <w:color w:val="333333"/>
              </w:rPr>
              <w:t>(1)</w:t>
            </w:r>
          </w:p>
        </w:tc>
        <w:tc>
          <w:tcPr>
            <w:tcW w:w="9918"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Effective March 4, 2024, Mr. Pitigoi commenced serving as our Chief Financial Officer and principal financial officer and Mr. Ellis ceased serving as our Chief Financial Officer and principal financial officer. </w:t>
            </w:r>
          </w:p>
        </w:tc>
      </w:tr>
    </w:tbl>
    <w:p>
      <w:pPr>
        <w:pStyle w:val="TextBody"/>
        <w:bidi w:val="0"/>
        <w:spacing w:before="200" w:after="0"/>
        <w:jc w:val="left"/>
        <w:rPr>
          <w:rFonts w:ascii="ARIAL" w:hAnsi="ARIAL"/>
          <w:sz w:val="18"/>
        </w:rPr>
      </w:pPr>
      <w:r>
        <w:rPr>
          <w:rFonts w:ascii="ARIAL" w:hAnsi="ARIAL"/>
          <w:sz w:val="18"/>
        </w:rPr>
        <w:t xml:space="preserve">FISCAL 2024 BUSINESS HIGHLIGHTS </w:t>
      </w:r>
    </w:p>
    <w:p>
      <w:pPr>
        <w:pStyle w:val="TextBody"/>
        <w:bidi w:val="0"/>
        <w:spacing w:before="200" w:after="0"/>
        <w:jc w:val="left"/>
        <w:rPr>
          <w:rFonts w:ascii="ARIAL" w:hAnsi="ARIAL"/>
          <w:sz w:val="18"/>
        </w:rPr>
      </w:pPr>
      <w:r>
        <w:rPr>
          <w:rFonts w:ascii="ARIAL" w:hAnsi="ARIAL"/>
          <w:sz w:val="18"/>
        </w:rPr>
        <w:t xml:space="preserve">During Fiscal 2024, we continued to make targeted investments in go-to-market, geographic expansion, payment network growth, strategic partnership integrations and product and payment innovation. We saw the benefits of the execution of these growth strategies with notable success in our key investment areas, as we efficiently won new clients and cross-sold and up-sold existing ones. Despite the uncertain macroeconomic backdrop, the sustainability of our business model, combined with the resilience of the industries we serve, continued to position us well for ongoing success. Our business achievements during Fiscal 2024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Performance Metrics</w:t>
            </w:r>
            <w:r>
              <w:rPr>
                <w:rFonts w:ascii="ARIAL" w:hAnsi="ARIAL"/>
                <w:sz w:val="18"/>
              </w:rPr>
              <w:t xml:space="preserve">. We reported growth across many of our key performance metrics. Our total payment volume was over $29.7 billion, an increase of 23.6% year-over-year. Revenue increased 22% year-over-year to $492.1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Client Growth</w:t>
            </w:r>
            <w:r>
              <w:rPr>
                <w:rFonts w:ascii="ARIAL" w:hAnsi="ARIAL"/>
                <w:sz w:val="18"/>
              </w:rPr>
              <w:t xml:space="preserve">. We added over 800 new clients, ending the year with over 4,500 clients (excluding our Invoiced acquisition) in our four primary verticals as we continued to win new clients and expand our channel partnerships around the world. We continued to help our clients get paid and help their customers pay with ease – no matter where they are in the world. In addition, we continued to focus on solving the major pain points for our clients and continue to invest in accelerating our ability to build, sell and deploy new solutions.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Successful Acquisitions</w:t>
            </w:r>
            <w:r>
              <w:rPr>
                <w:rFonts w:ascii="ARIAL" w:hAnsi="ARIAL"/>
                <w:sz w:val="18"/>
              </w:rPr>
              <w:t xml:space="preserve">. In August 2024, we acquired Invoiced, Inc., a U.S.-based global payments enablement and software company that empowers B2B finance teams to automate A/R processes by managing invoices, communicating with payers, and reconciling payments to their Enterprise Resource Planning (ERP) systems. This follows our education vertical acquisitions and successful integration of each of Cohort Solutions Pty Ltd. (CohortGo) in Australia in 2022 and Learning Information Systems Pty Ltd (StudyLink) in Australia in November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Strengthening of Payment Networks</w:t>
            </w:r>
            <w:r>
              <w:rPr>
                <w:rFonts w:ascii="ARIAL" w:hAnsi="ARIAL"/>
                <w:sz w:val="18"/>
              </w:rPr>
              <w:t xml:space="preserve">. Flywire continued to invest in its proprietary global payment network with a particular focus on building new acceptance rails, increasing localization efforts, and expanding its domestic payments capabilities all around the world. For example, Flywire optimized local payment experiences in Australia, the United Kingdom and Europe, driving higher conversion rates and an improved payer experience. We also launched expanded payment capabilities in India and China, enabling new use cases for global clients and enhancing cross-border transactions.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  26  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Share Repurchase Program</w:t>
            </w:r>
            <w:r>
              <w:rPr>
                <w:rFonts w:ascii="ARIAL" w:hAnsi="ARIAL"/>
                <w:sz w:val="18"/>
              </w:rPr>
              <w:t xml:space="preserve">. On August 6, 2024, we announced a share repurchase program (the Repurchase Program) pursuant to which we may, from time to time, purchase shares of our Voting and Non-voting common stock for an aggregate purchase price not to exceed $150 million. During Fiscal 2024, we repurchased 2,386,856 shares of our common stock for an aggregate amount of $45.6 million (including commissions and excise taxes) under the Repurchase Program. As of December 31, 2024, approximately $104.9 million remained available for repurchases under the Repurchase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Employee Growth and Culture</w:t>
            </w:r>
            <w:r>
              <w:rPr>
                <w:rFonts w:ascii="ARIAL" w:hAnsi="ARIAL"/>
                <w:sz w:val="18"/>
              </w:rPr>
              <w:t xml:space="preserve">. With a workforce that spans more than 15 countries/territories, and represents more than 50 nationalities and 40 spoken languages, we were committed to growing high performance teams. In 2024, we were named one of the World’s Top FinTech Companies (CNBC) and a Best Company to Work for (U.S. News &amp; World Report). </w:t>
            </w:r>
          </w:p>
        </w:tc>
      </w:tr>
    </w:tbl>
    <w:p>
      <w:pPr>
        <w:pStyle w:val="TextBody"/>
        <w:bidi w:val="0"/>
        <w:spacing w:before="200" w:after="0"/>
        <w:jc w:val="left"/>
        <w:rPr>
          <w:rFonts w:ascii="ARIAL" w:hAnsi="ARIAL"/>
          <w:sz w:val="18"/>
        </w:rPr>
      </w:pPr>
      <w:r>
        <w:rPr>
          <w:rFonts w:ascii="ARIAL" w:hAnsi="ARIAL"/>
          <w:sz w:val="18"/>
        </w:rPr>
        <w:t xml:space="preserve">FISCAL 2024 EXECUTIVE COMPENSATION PROGRAM HIGHLIGHTS </w:t>
      </w:r>
    </w:p>
    <w:p>
      <w:pPr>
        <w:pStyle w:val="TextBody"/>
        <w:bidi w:val="0"/>
        <w:spacing w:before="200" w:after="0"/>
        <w:jc w:val="left"/>
        <w:rPr>
          <w:rFonts w:ascii="ARIAL" w:hAnsi="ARIAL"/>
          <w:sz w:val="18"/>
        </w:rPr>
      </w:pPr>
      <w:r>
        <w:rPr>
          <w:rFonts w:ascii="ARIAL" w:hAnsi="ARIAL"/>
          <w:sz w:val="18"/>
        </w:rPr>
        <w:t xml:space="preserve">Our Fiscal 2024 compensation program for our NEOs reflects our overarching philosophy of pay for performance. Highlights of our Fiscal 2024 executive compensation program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Reviewed our Peer Group of Publicly-traded Companies.</w:t>
            </w:r>
            <w:r>
              <w:rPr>
                <w:rFonts w:ascii="ARIAL" w:hAnsi="ARIAL"/>
                <w:sz w:val="18"/>
              </w:rPr>
              <w:t xml:space="preserve"> The People &amp; Compensation Committee of our Board of Directors (People &amp; Compensation Committee) reviewed and updated our peer group of publicly-traded technology companies to evaluate our compensation practices for purposes such as pay levels and compensation program design for our NEOs.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Review of Total Compensation Opportunities</w:t>
            </w:r>
            <w:r>
              <w:rPr>
                <w:rFonts w:ascii="ARIAL" w:hAnsi="ARIAL"/>
                <w:sz w:val="18"/>
              </w:rPr>
              <w:t xml:space="preserve">. The People &amp; Compensation Committee evaluated the competitive positioning of our NEOs’ compensation relative to the market and made adjustments considering both internal and external factors. In terms of market positioning, the People &amp; Compensation Committee reference the 50th - 75th percentile range of market for target total compensation, with compensation weighted more heavily towards equity.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Challenging Annual Incentive Goals</w:t>
            </w:r>
            <w:r>
              <w:rPr>
                <w:rFonts w:ascii="ARIAL" w:hAnsi="ARIAL"/>
                <w:sz w:val="18"/>
              </w:rPr>
              <w:t xml:space="preserve">. Our NEOs were eligible to earn a cash bonus based on our achievement of annual corporate goals established by our People &amp; Compensation Committee. Based on our Fiscal 2024 performance, including Revenue Less Ancillary Services of $474.2 million and adjusted EBITDA of $77.9 million, our NEOs earned bonuses of 53.7% of their target bonus for the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 xml:space="preserve">Compensation Mix Weighted Towards Equity. </w:t>
            </w:r>
            <w:r>
              <w:rPr>
                <w:rFonts w:ascii="ARIAL" w:hAnsi="ARIAL"/>
                <w:sz w:val="18"/>
              </w:rPr>
              <w:t xml:space="preserve">Our NEOs total target direct compensation mix was more weighted towards equity than cash to emphasize alignment with stockholders and long-term performance. In Fiscal 2024, we granted an average of over 80% of our NEOs’ target direct compensation as equity-based compensation in the form of restricted stock unit awards (RSUs). We believe that RSUs, as well as certain previously issued stock options that continued to vest in 2024, support retention and effectively align the interests of our executives with those of our stockholders by directly linking compensation to the value of our common stock. </w:t>
            </w:r>
          </w:p>
        </w:tc>
      </w:tr>
    </w:tbl>
    <w:p>
      <w:pPr>
        <w:pStyle w:val="TextBody"/>
        <w:bidi w:val="0"/>
        <w:spacing w:before="200" w:after="0"/>
        <w:jc w:val="left"/>
        <w:rPr>
          <w:rFonts w:ascii="ARIAL" w:hAnsi="ARIAL"/>
          <w:sz w:val="18"/>
        </w:rPr>
      </w:pPr>
      <w:r>
        <w:rPr>
          <w:rFonts w:ascii="ARIAL" w:hAnsi="ARIAL"/>
          <w:sz w:val="18"/>
        </w:rPr>
        <w:t xml:space="preserve">COMPENSATION PHILOSOPHY AND OBJECTIVES </w:t>
      </w:r>
    </w:p>
    <w:p>
      <w:pPr>
        <w:pStyle w:val="TextBody"/>
        <w:bidi w:val="0"/>
        <w:spacing w:before="200" w:after="0"/>
        <w:jc w:val="left"/>
        <w:rPr>
          <w:rFonts w:ascii="ARIAL" w:hAnsi="ARIAL"/>
          <w:sz w:val="18"/>
        </w:rPr>
      </w:pPr>
      <w:r>
        <w:rPr>
          <w:rFonts w:ascii="ARIAL" w:hAnsi="ARIAL"/>
          <w:sz w:val="18"/>
        </w:rPr>
        <w:t xml:space="preserve">Our compensation philosophy and guiding principles provide a framework for the development and management of our executive compensation programs and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Competitive.</w:t>
            </w:r>
            <w:r>
              <w:rPr>
                <w:rFonts w:ascii="ARIAL" w:hAnsi="ARIAL"/>
                <w:sz w:val="18"/>
              </w:rPr>
              <w:t xml:space="preserve"> Our compensation programs should be market-competitive, enabling Flywire to attract and retain top talent in a highly-competitive global, technology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 xml:space="preserve">Pay-for-Performance. </w:t>
            </w:r>
            <w:r>
              <w:rPr>
                <w:rFonts w:ascii="ARIAL" w:hAnsi="ARIAL"/>
                <w:sz w:val="18"/>
              </w:rPr>
              <w:t xml:space="preserve">We strive to provide a strong relationship between pay and performance. Annual performance-based cash bonuses are tied to achievement of annual corporate financial goals. Long-term incentive awards deliver value based on the performance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 xml:space="preserve">Emphasis on Equity Compensation. </w:t>
            </w:r>
            <w:r>
              <w:rPr>
                <w:rFonts w:ascii="ARIAL" w:hAnsi="ARIAL"/>
                <w:sz w:val="18"/>
              </w:rPr>
              <w:t xml:space="preserve">Total compensation is heavily weighted toward equity incentive compensation. Long-term incentives focus our NEOs on sustainable and long-term stockholder value creation. The value realized by our NEOs depends on the value of our common stock, which we believe aligns our NEOs’ interests with the long-term interests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b/>
                <w:sz w:val="18"/>
              </w:rPr>
              <w:t>Fair and Fact-Based.</w:t>
            </w:r>
            <w:r>
              <w:rPr>
                <w:rFonts w:ascii="ARIAL" w:hAnsi="ARIAL"/>
                <w:sz w:val="18"/>
              </w:rPr>
              <w:t xml:space="preserve"> We believe compensation decisions should be made based on objective and relevant information and support internal pay fairness in support of our company core values of execution, ambitious innovation and global collaboration.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ARIAL" w:hAnsi="ARIAL"/>
                <w:sz w:val="18"/>
              </w:rPr>
            </w:pPr>
            <w:r>
              <w:rPr>
                <w:rFonts w:ascii="ARIAL" w:hAnsi="ARIAL"/>
                <w:b/>
                <w:sz w:val="18"/>
              </w:rPr>
              <w:t>Simple and Transparent.</w:t>
            </w:r>
            <w:r>
              <w:rPr>
                <w:rFonts w:ascii="ARIAL" w:hAnsi="ARIAL"/>
                <w:sz w:val="18"/>
              </w:rPr>
              <w:t xml:space="preserve"> Our compensation programs should be easy to understand, communicate and administer.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  27  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In addition, our People &amp; Compensation Committee seeks to ensure that we maintain sound governance and compensation policies and practices. Our key compensation practices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120"/>
        <w:gridCol w:w="5847"/>
        <w:gridCol w:w="60"/>
        <w:gridCol w:w="60"/>
        <w:gridCol w:w="120"/>
        <w:gridCol w:w="155"/>
        <w:gridCol w:w="120"/>
        <w:gridCol w:w="3478"/>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78" w:type="dxa"/>
            <w:tcBorders/>
            <w:vAlign w:val="center"/>
          </w:tcPr>
          <w:p>
            <w:pPr>
              <w:pStyle w:val="TableContents"/>
              <w:bidi w:val="0"/>
              <w:spacing w:before="0" w:after="283"/>
              <w:jc w:val="left"/>
              <w:rPr>
                <w:sz w:val="4"/>
                <w:szCs w:val="4"/>
              </w:rPr>
            </w:pPr>
            <w:r>
              <w:rPr>
                <w:sz w:val="4"/>
                <w:szCs w:val="4"/>
              </w:rPr>
            </w:r>
          </w:p>
        </w:tc>
      </w:tr>
      <w:tr>
        <w:trPr/>
        <w:tc>
          <w:tcPr>
            <w:tcW w:w="6212" w:type="dxa"/>
            <w:gridSpan w:val="3"/>
            <w:tcBorders/>
            <w:vAlign w:val="center"/>
          </w:tcPr>
          <w:p>
            <w:pPr>
              <w:pStyle w:val="TableContents"/>
              <w:bidi w:val="0"/>
              <w:spacing w:before="0" w:after="283"/>
              <w:jc w:val="center"/>
              <w:rPr>
                <w:b/>
              </w:rPr>
            </w:pPr>
            <w:r>
              <w:rPr>
                <w:b/>
              </w:rPr>
              <w:t>WHAT WE DO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78" w:type="dxa"/>
            <w:tcBorders/>
            <w:vAlign w:val="center"/>
          </w:tcPr>
          <w:p>
            <w:pPr>
              <w:pStyle w:val="TableContents"/>
              <w:bidi w:val="0"/>
              <w:spacing w:before="0" w:after="283"/>
              <w:jc w:val="center"/>
              <w:rPr>
                <w:b/>
              </w:rPr>
            </w:pPr>
            <w:r>
              <w:rPr>
                <w:b/>
              </w:rPr>
              <w:t xml:space="preserve">WHAT WE DO NOT DO </w:t>
            </w:r>
          </w:p>
        </w:tc>
      </w:tr>
      <w:tr>
        <w:trPr/>
        <w:tc>
          <w:tcPr>
            <w:tcW w:w="245" w:type="dxa"/>
            <w:tcBorders/>
            <w:shd w:fill="E8F4FF" w:val="clear"/>
            <w:vAlign w:val="center"/>
          </w:tcPr>
          <w:p>
            <w:pPr>
              <w:pStyle w:val="TableContents"/>
              <w:bidi w:val="0"/>
              <w:spacing w:before="0" w:after="283"/>
              <w:jc w:val="left"/>
              <w:rPr>
                <w:sz w:val="4"/>
                <w:szCs w:val="4"/>
              </w:rPr>
            </w:pPr>
            <w:r>
              <w:rPr>
                <w:sz w:val="4"/>
                <w:szCs w:val="4"/>
              </w:rPr>
            </w:r>
          </w:p>
        </w:tc>
        <w:tc>
          <w:tcPr>
            <w:tcW w:w="5967" w:type="dxa"/>
            <w:gridSpan w:val="2"/>
            <w:tcBorders/>
            <w:shd w:fill="E8F4F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75" w:type="dxa"/>
            <w:gridSpan w:val="2"/>
            <w:tcBorders/>
            <w:shd w:fill="E8F4FF" w:val="clear"/>
            <w:vAlign w:val="center"/>
          </w:tcPr>
          <w:p>
            <w:pPr>
              <w:pStyle w:val="TableContents"/>
              <w:bidi w:val="0"/>
              <w:spacing w:before="0" w:after="283"/>
              <w:jc w:val="left"/>
              <w:rPr>
                <w:sz w:val="4"/>
                <w:szCs w:val="4"/>
              </w:rPr>
            </w:pPr>
            <w:r>
              <w:rPr>
                <w:sz w:val="4"/>
                <w:szCs w:val="4"/>
              </w:rPr>
            </w:r>
          </w:p>
        </w:tc>
        <w:tc>
          <w:tcPr>
            <w:tcW w:w="3598"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245" w:type="dxa"/>
            <w:tcBorders/>
            <w:shd w:fill="E8F4FF" w:val="clear"/>
            <w:vAlign w:val="center"/>
          </w:tcPr>
          <w:p>
            <w:pPr>
              <w:pStyle w:val="TableContents"/>
              <w:bidi w:val="0"/>
              <w:spacing w:before="0" w:after="0"/>
              <w:jc w:val="left"/>
              <w:rPr/>
            </w:pPr>
            <w:r>
              <w:rPr/>
              <w:t>✓</w:t>
            </w:r>
          </w:p>
        </w:tc>
        <w:tc>
          <w:tcPr>
            <w:tcW w:w="120" w:type="dxa"/>
            <w:tcBorders/>
            <w:shd w:fill="E8F4FF" w:val="clear"/>
            <w:vAlign w:val="center"/>
          </w:tcPr>
          <w:p>
            <w:pPr>
              <w:pStyle w:val="TableContents"/>
              <w:bidi w:val="0"/>
              <w:spacing w:before="0" w:after="283"/>
              <w:jc w:val="left"/>
              <w:rPr/>
            </w:pPr>
            <w:r>
              <w:rPr/>
              <w:t>  </w:t>
            </w:r>
          </w:p>
        </w:tc>
        <w:tc>
          <w:tcPr>
            <w:tcW w:w="5847" w:type="dxa"/>
            <w:tcBorders/>
            <w:shd w:fill="E8F4FF" w:val="clear"/>
            <w:vAlign w:val="center"/>
          </w:tcPr>
          <w:p>
            <w:pPr>
              <w:pStyle w:val="TableContents"/>
              <w:bidi w:val="0"/>
              <w:spacing w:before="0" w:after="283"/>
              <w:jc w:val="left"/>
              <w:rPr/>
            </w:pPr>
            <w:r>
              <w:rPr/>
              <w:t>Employ a pay for performance philosophy reflected in program design and target pay levels for 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155" w:type="dxa"/>
            <w:tcBorders/>
            <w:shd w:fill="E8F4FF" w:val="clear"/>
            <w:vAlign w:val="center"/>
          </w:tcPr>
          <w:p>
            <w:pPr>
              <w:pStyle w:val="TableContents"/>
              <w:bidi w:val="0"/>
              <w:spacing w:before="0" w:after="283"/>
              <w:jc w:val="center"/>
              <w:rPr>
                <w:rFonts w:ascii="Times New Roman" w:hAnsi="Times New Roman"/>
              </w:rPr>
            </w:pPr>
            <w:r>
              <w:rPr>
                <w:rFonts w:ascii="Times New Roman" w:hAnsi="Times New Roman"/>
              </w:rPr>
              <w:t>×</w:t>
            </w:r>
          </w:p>
        </w:tc>
        <w:tc>
          <w:tcPr>
            <w:tcW w:w="120" w:type="dxa"/>
            <w:tcBorders/>
            <w:shd w:fill="E8F4FF" w:val="clear"/>
            <w:vAlign w:val="center"/>
          </w:tcPr>
          <w:p>
            <w:pPr>
              <w:pStyle w:val="TableContents"/>
              <w:bidi w:val="0"/>
              <w:spacing w:before="0" w:after="283"/>
              <w:jc w:val="left"/>
              <w:rPr/>
            </w:pPr>
            <w:r>
              <w:rPr/>
              <w:t>  </w:t>
            </w:r>
          </w:p>
        </w:tc>
        <w:tc>
          <w:tcPr>
            <w:tcW w:w="3478" w:type="dxa"/>
            <w:tcBorders/>
            <w:shd w:fill="E8F4FF" w:val="clear"/>
            <w:vAlign w:val="center"/>
          </w:tcPr>
          <w:p>
            <w:pPr>
              <w:pStyle w:val="TableContents"/>
              <w:bidi w:val="0"/>
              <w:spacing w:before="0" w:after="283"/>
              <w:jc w:val="left"/>
              <w:rPr/>
            </w:pPr>
            <w:r>
              <w:rPr/>
              <w:t>Guarantee bonuses to our executive officers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5967"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75" w:type="dxa"/>
            <w:gridSpan w:val="2"/>
            <w:tcBorders/>
            <w:vAlign w:val="center"/>
          </w:tcPr>
          <w:p>
            <w:pPr>
              <w:pStyle w:val="TableContents"/>
              <w:bidi w:val="0"/>
              <w:spacing w:before="0" w:after="283"/>
              <w:jc w:val="left"/>
              <w:rPr>
                <w:sz w:val="4"/>
                <w:szCs w:val="4"/>
              </w:rPr>
            </w:pPr>
            <w:r>
              <w:rPr>
                <w:sz w:val="4"/>
                <w:szCs w:val="4"/>
              </w:rPr>
            </w:r>
          </w:p>
        </w:tc>
        <w:tc>
          <w:tcPr>
            <w:tcW w:w="3598"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5847" w:type="dxa"/>
            <w:tcBorders/>
            <w:vAlign w:val="center"/>
          </w:tcPr>
          <w:p>
            <w:pPr>
              <w:pStyle w:val="TableContents"/>
              <w:bidi w:val="0"/>
              <w:spacing w:before="0" w:after="283"/>
              <w:jc w:val="left"/>
              <w:rPr/>
            </w:pPr>
            <w:r>
              <w:rPr/>
              <w:t>Deliver majority of compensation in equity to promote executive retention and reward long-term value creation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rFonts w:ascii="Times New Roman" w:hAnsi="Times New Roman"/>
              </w:rPr>
            </w:pPr>
            <w:r>
              <w:rPr>
                <w:rFonts w:ascii="Times New Roman" w:hAnsi="Times New Roman"/>
              </w:rPr>
              <w:t>×</w:t>
            </w:r>
          </w:p>
        </w:tc>
        <w:tc>
          <w:tcPr>
            <w:tcW w:w="120" w:type="dxa"/>
            <w:tcBorders/>
            <w:vAlign w:val="center"/>
          </w:tcPr>
          <w:p>
            <w:pPr>
              <w:pStyle w:val="TableContents"/>
              <w:bidi w:val="0"/>
              <w:spacing w:before="0" w:after="283"/>
              <w:jc w:val="left"/>
              <w:rPr/>
            </w:pPr>
            <w:r>
              <w:rPr/>
              <w:t>  </w:t>
            </w:r>
          </w:p>
        </w:tc>
        <w:tc>
          <w:tcPr>
            <w:tcW w:w="3478" w:type="dxa"/>
            <w:tcBorders/>
            <w:vAlign w:val="center"/>
          </w:tcPr>
          <w:p>
            <w:pPr>
              <w:pStyle w:val="TableContents"/>
              <w:bidi w:val="0"/>
              <w:spacing w:before="0" w:after="283"/>
              <w:jc w:val="left"/>
              <w:rPr/>
            </w:pPr>
            <w:r>
              <w:rPr/>
              <w:t>Provide tax gross-ups</w:t>
            </w:r>
          </w:p>
        </w:tc>
      </w:tr>
      <w:tr>
        <w:trPr/>
        <w:tc>
          <w:tcPr>
            <w:tcW w:w="245" w:type="dxa"/>
            <w:tcBorders/>
            <w:shd w:fill="E8F4FF" w:val="clear"/>
            <w:vAlign w:val="center"/>
          </w:tcPr>
          <w:p>
            <w:pPr>
              <w:pStyle w:val="TableContents"/>
              <w:bidi w:val="0"/>
              <w:spacing w:before="0" w:after="283"/>
              <w:jc w:val="left"/>
              <w:rPr>
                <w:sz w:val="4"/>
                <w:szCs w:val="4"/>
              </w:rPr>
            </w:pPr>
            <w:r>
              <w:rPr>
                <w:sz w:val="4"/>
                <w:szCs w:val="4"/>
              </w:rPr>
            </w:r>
          </w:p>
        </w:tc>
        <w:tc>
          <w:tcPr>
            <w:tcW w:w="5967" w:type="dxa"/>
            <w:gridSpan w:val="2"/>
            <w:tcBorders/>
            <w:shd w:fill="E8F4F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75" w:type="dxa"/>
            <w:gridSpan w:val="2"/>
            <w:tcBorders/>
            <w:shd w:fill="E8F4FF" w:val="clear"/>
            <w:vAlign w:val="center"/>
          </w:tcPr>
          <w:p>
            <w:pPr>
              <w:pStyle w:val="TableContents"/>
              <w:bidi w:val="0"/>
              <w:spacing w:before="0" w:after="283"/>
              <w:jc w:val="left"/>
              <w:rPr>
                <w:sz w:val="4"/>
                <w:szCs w:val="4"/>
              </w:rPr>
            </w:pPr>
            <w:r>
              <w:rPr>
                <w:sz w:val="4"/>
                <w:szCs w:val="4"/>
              </w:rPr>
            </w:r>
          </w:p>
        </w:tc>
        <w:tc>
          <w:tcPr>
            <w:tcW w:w="3598"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245" w:type="dxa"/>
            <w:tcBorders/>
            <w:shd w:fill="E8F4FF" w:val="clear"/>
            <w:vAlign w:val="center"/>
          </w:tcPr>
          <w:p>
            <w:pPr>
              <w:pStyle w:val="TableContents"/>
              <w:bidi w:val="0"/>
              <w:spacing w:before="0" w:after="0"/>
              <w:jc w:val="left"/>
              <w:rPr/>
            </w:pPr>
            <w:r>
              <w:rPr/>
              <w:t>✓</w:t>
            </w:r>
          </w:p>
        </w:tc>
        <w:tc>
          <w:tcPr>
            <w:tcW w:w="120" w:type="dxa"/>
            <w:tcBorders/>
            <w:shd w:fill="E8F4FF" w:val="clear"/>
            <w:vAlign w:val="center"/>
          </w:tcPr>
          <w:p>
            <w:pPr>
              <w:pStyle w:val="TableContents"/>
              <w:bidi w:val="0"/>
              <w:spacing w:before="0" w:after="283"/>
              <w:jc w:val="left"/>
              <w:rPr/>
            </w:pPr>
            <w:r>
              <w:rPr/>
              <w:t>  </w:t>
            </w:r>
          </w:p>
        </w:tc>
        <w:tc>
          <w:tcPr>
            <w:tcW w:w="5847" w:type="dxa"/>
            <w:tcBorders/>
            <w:shd w:fill="E8F4FF" w:val="clear"/>
            <w:vAlign w:val="center"/>
          </w:tcPr>
          <w:p>
            <w:pPr>
              <w:pStyle w:val="TableContents"/>
              <w:bidi w:val="0"/>
              <w:spacing w:before="0" w:after="283"/>
              <w:jc w:val="left"/>
              <w:rPr/>
            </w:pPr>
            <w:r>
              <w:rPr/>
              <w:t>Cap maximum annual cash incentive bonus payouts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155" w:type="dxa"/>
            <w:tcBorders/>
            <w:shd w:fill="E8F4FF" w:val="clear"/>
            <w:vAlign w:val="center"/>
          </w:tcPr>
          <w:p>
            <w:pPr>
              <w:pStyle w:val="TableContents"/>
              <w:bidi w:val="0"/>
              <w:spacing w:before="0" w:after="283"/>
              <w:jc w:val="left"/>
              <w:rPr>
                <w:rFonts w:ascii="Times New Roman" w:hAnsi="Times New Roman"/>
              </w:rPr>
            </w:pPr>
            <w:r>
              <w:rPr>
                <w:rFonts w:ascii="Times New Roman" w:hAnsi="Times New Roman"/>
              </w:rPr>
              <w:t>×</w:t>
            </w:r>
          </w:p>
        </w:tc>
        <w:tc>
          <w:tcPr>
            <w:tcW w:w="120" w:type="dxa"/>
            <w:tcBorders/>
            <w:shd w:fill="E8F4FF" w:val="clear"/>
            <w:vAlign w:val="center"/>
          </w:tcPr>
          <w:p>
            <w:pPr>
              <w:pStyle w:val="TableContents"/>
              <w:bidi w:val="0"/>
              <w:spacing w:before="0" w:after="283"/>
              <w:jc w:val="left"/>
              <w:rPr/>
            </w:pPr>
            <w:r>
              <w:rPr/>
              <w:t>  </w:t>
            </w:r>
          </w:p>
        </w:tc>
        <w:tc>
          <w:tcPr>
            <w:tcW w:w="3478" w:type="dxa"/>
            <w:tcBorders/>
            <w:shd w:fill="E8F4FF" w:val="clear"/>
            <w:vAlign w:val="center"/>
          </w:tcPr>
          <w:p>
            <w:pPr>
              <w:pStyle w:val="TableContents"/>
              <w:bidi w:val="0"/>
              <w:spacing w:before="0" w:after="283"/>
              <w:jc w:val="left"/>
              <w:rPr/>
            </w:pPr>
            <w:r>
              <w:rPr/>
              <w:t>Permit hedging or short sales of our common stock</w:t>
            </w:r>
          </w:p>
        </w:tc>
      </w:tr>
      <w:tr>
        <w:trPr/>
        <w:tc>
          <w:tcPr>
            <w:tcW w:w="245" w:type="dxa"/>
            <w:tcBorders/>
            <w:vAlign w:val="center"/>
          </w:tcPr>
          <w:p>
            <w:pPr>
              <w:pStyle w:val="TableContents"/>
              <w:bidi w:val="0"/>
              <w:spacing w:before="0" w:after="283"/>
              <w:jc w:val="left"/>
              <w:rPr>
                <w:sz w:val="4"/>
                <w:szCs w:val="4"/>
              </w:rPr>
            </w:pPr>
            <w:r>
              <w:rPr>
                <w:sz w:val="4"/>
                <w:szCs w:val="4"/>
              </w:rPr>
            </w:r>
          </w:p>
        </w:tc>
        <w:tc>
          <w:tcPr>
            <w:tcW w:w="5967"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75" w:type="dxa"/>
            <w:gridSpan w:val="2"/>
            <w:tcBorders/>
            <w:vAlign w:val="center"/>
          </w:tcPr>
          <w:p>
            <w:pPr>
              <w:pStyle w:val="TableContents"/>
              <w:bidi w:val="0"/>
              <w:spacing w:before="0" w:after="283"/>
              <w:jc w:val="left"/>
              <w:rPr>
                <w:sz w:val="4"/>
                <w:szCs w:val="4"/>
              </w:rPr>
            </w:pPr>
            <w:r>
              <w:rPr>
                <w:sz w:val="4"/>
                <w:szCs w:val="4"/>
              </w:rPr>
            </w:r>
          </w:p>
        </w:tc>
        <w:tc>
          <w:tcPr>
            <w:tcW w:w="3598"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5847" w:type="dxa"/>
            <w:tcBorders/>
            <w:vAlign w:val="center"/>
          </w:tcPr>
          <w:p>
            <w:pPr>
              <w:pStyle w:val="TableContents"/>
              <w:bidi w:val="0"/>
              <w:spacing w:before="0" w:after="283"/>
              <w:jc w:val="left"/>
              <w:rPr/>
            </w:pPr>
            <w:r>
              <w:rPr/>
              <w:t>Maintain and annually review a group of peer companies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20" w:type="dxa"/>
            <w:tcBorders/>
            <w:vAlign w:val="center"/>
          </w:tcPr>
          <w:p>
            <w:pPr>
              <w:pStyle w:val="TableContents"/>
              <w:bidi w:val="0"/>
              <w:spacing w:before="0" w:after="283"/>
              <w:jc w:val="left"/>
              <w:rPr/>
            </w:pPr>
            <w:r>
              <w:rPr/>
              <w:t>  </w:t>
            </w:r>
          </w:p>
        </w:tc>
        <w:tc>
          <w:tcPr>
            <w:tcW w:w="3478" w:type="dxa"/>
            <w:tcBorders/>
            <w:vAlign w:val="center"/>
          </w:tcPr>
          <w:p>
            <w:pPr>
              <w:pStyle w:val="TableContents"/>
              <w:bidi w:val="0"/>
              <w:spacing w:before="0" w:after="283"/>
              <w:jc w:val="left"/>
              <w:rPr/>
            </w:pPr>
            <w:r>
              <w:rPr/>
              <w:t>Provide single trigger equity acceleration upon a change in control</w:t>
            </w:r>
          </w:p>
        </w:tc>
      </w:tr>
      <w:tr>
        <w:trPr/>
        <w:tc>
          <w:tcPr>
            <w:tcW w:w="245" w:type="dxa"/>
            <w:tcBorders/>
            <w:shd w:fill="E8F4FF" w:val="clear"/>
            <w:vAlign w:val="center"/>
          </w:tcPr>
          <w:p>
            <w:pPr>
              <w:pStyle w:val="TableContents"/>
              <w:bidi w:val="0"/>
              <w:spacing w:before="0" w:after="283"/>
              <w:jc w:val="left"/>
              <w:rPr>
                <w:sz w:val="4"/>
                <w:szCs w:val="4"/>
              </w:rPr>
            </w:pPr>
            <w:r>
              <w:rPr>
                <w:sz w:val="4"/>
                <w:szCs w:val="4"/>
              </w:rPr>
            </w:r>
          </w:p>
        </w:tc>
        <w:tc>
          <w:tcPr>
            <w:tcW w:w="5967" w:type="dxa"/>
            <w:gridSpan w:val="2"/>
            <w:tcBorders/>
            <w:shd w:fill="E8F4F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75" w:type="dxa"/>
            <w:gridSpan w:val="2"/>
            <w:tcBorders/>
            <w:shd w:fill="E8F4FF" w:val="clear"/>
            <w:vAlign w:val="center"/>
          </w:tcPr>
          <w:p>
            <w:pPr>
              <w:pStyle w:val="TableContents"/>
              <w:bidi w:val="0"/>
              <w:spacing w:before="0" w:after="283"/>
              <w:jc w:val="left"/>
              <w:rPr>
                <w:sz w:val="4"/>
                <w:szCs w:val="4"/>
              </w:rPr>
            </w:pPr>
            <w:r>
              <w:rPr>
                <w:sz w:val="4"/>
                <w:szCs w:val="4"/>
              </w:rPr>
            </w:r>
          </w:p>
        </w:tc>
        <w:tc>
          <w:tcPr>
            <w:tcW w:w="3598"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245" w:type="dxa"/>
            <w:tcBorders/>
            <w:shd w:fill="E8F4FF" w:val="clear"/>
            <w:vAlign w:val="center"/>
          </w:tcPr>
          <w:p>
            <w:pPr>
              <w:pStyle w:val="TableContents"/>
              <w:bidi w:val="0"/>
              <w:spacing w:before="0" w:after="0"/>
              <w:jc w:val="left"/>
              <w:rPr/>
            </w:pPr>
            <w:r>
              <w:rPr/>
              <w:t>✓</w:t>
            </w:r>
          </w:p>
        </w:tc>
        <w:tc>
          <w:tcPr>
            <w:tcW w:w="120" w:type="dxa"/>
            <w:tcBorders/>
            <w:shd w:fill="E8F4FF" w:val="clear"/>
            <w:vAlign w:val="center"/>
          </w:tcPr>
          <w:p>
            <w:pPr>
              <w:pStyle w:val="TableContents"/>
              <w:bidi w:val="0"/>
              <w:spacing w:before="0" w:after="283"/>
              <w:jc w:val="left"/>
              <w:rPr/>
            </w:pPr>
            <w:r>
              <w:rPr/>
              <w:t>  </w:t>
            </w:r>
          </w:p>
        </w:tc>
        <w:tc>
          <w:tcPr>
            <w:tcW w:w="5847" w:type="dxa"/>
            <w:tcBorders/>
            <w:shd w:fill="E8F4FF" w:val="clear"/>
            <w:vAlign w:val="center"/>
          </w:tcPr>
          <w:p>
            <w:pPr>
              <w:pStyle w:val="TableContents"/>
              <w:bidi w:val="0"/>
              <w:spacing w:before="0" w:after="283"/>
              <w:jc w:val="left"/>
              <w:rPr/>
            </w:pPr>
            <w:r>
              <w:rPr/>
              <w:t>Fully independent directors on our People &amp; Compensation Committee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155" w:type="dxa"/>
            <w:tcBorders/>
            <w:shd w:fill="E8F4FF" w:val="clear"/>
            <w:vAlign w:val="center"/>
          </w:tcPr>
          <w:p>
            <w:pPr>
              <w:pStyle w:val="TableContents"/>
              <w:bidi w:val="0"/>
              <w:spacing w:before="0" w:after="283"/>
              <w:jc w:val="left"/>
              <w:rPr>
                <w:rFonts w:ascii="Times New Roman" w:hAnsi="Times New Roman"/>
              </w:rPr>
            </w:pPr>
            <w:r>
              <w:rPr>
                <w:rFonts w:ascii="Times New Roman" w:hAnsi="Times New Roman"/>
              </w:rPr>
              <w:t>×</w:t>
            </w:r>
          </w:p>
        </w:tc>
        <w:tc>
          <w:tcPr>
            <w:tcW w:w="120" w:type="dxa"/>
            <w:tcBorders/>
            <w:shd w:fill="E8F4FF" w:val="clear"/>
            <w:vAlign w:val="center"/>
          </w:tcPr>
          <w:p>
            <w:pPr>
              <w:pStyle w:val="TableContents"/>
              <w:bidi w:val="0"/>
              <w:spacing w:before="0" w:after="283"/>
              <w:jc w:val="left"/>
              <w:rPr/>
            </w:pPr>
            <w:r>
              <w:rPr/>
              <w:t>  </w:t>
            </w:r>
          </w:p>
        </w:tc>
        <w:tc>
          <w:tcPr>
            <w:tcW w:w="3478" w:type="dxa"/>
            <w:tcBorders/>
            <w:shd w:fill="E8F4FF" w:val="clear"/>
            <w:vAlign w:val="center"/>
          </w:tcPr>
          <w:p>
            <w:pPr>
              <w:pStyle w:val="TableContents"/>
              <w:bidi w:val="0"/>
              <w:spacing w:before="0" w:after="283"/>
              <w:jc w:val="left"/>
              <w:rPr/>
            </w:pPr>
            <w:r>
              <w:rPr/>
              <w:t>Maintain compensation plans that encourage excessive risk taking</w:t>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5847" w:type="dxa"/>
            <w:tcBorders/>
            <w:vAlign w:val="center"/>
          </w:tcPr>
          <w:p>
            <w:pPr>
              <w:pStyle w:val="TableContents"/>
              <w:bidi w:val="0"/>
              <w:spacing w:before="0" w:after="283"/>
              <w:jc w:val="left"/>
              <w:rPr/>
            </w:pPr>
            <w:r>
              <w:rPr/>
              <w:t>Engage an independent compensation consultant to advise our People &amp; Compensation Committee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20" w:type="dxa"/>
            <w:tcBorders/>
            <w:vAlign w:val="center"/>
          </w:tcPr>
          <w:p>
            <w:pPr>
              <w:pStyle w:val="TableContents"/>
              <w:bidi w:val="0"/>
              <w:spacing w:before="0" w:after="283"/>
              <w:jc w:val="left"/>
              <w:rPr/>
            </w:pPr>
            <w:r>
              <w:rPr/>
              <w:t>  </w:t>
            </w:r>
          </w:p>
        </w:tc>
        <w:tc>
          <w:tcPr>
            <w:tcW w:w="3478" w:type="dxa"/>
            <w:tcBorders/>
            <w:vAlign w:val="center"/>
          </w:tcPr>
          <w:p>
            <w:pPr>
              <w:pStyle w:val="TableContents"/>
              <w:bidi w:val="0"/>
              <w:spacing w:before="0" w:after="283"/>
              <w:jc w:val="left"/>
              <w:rPr/>
            </w:pPr>
            <w:r>
              <w:rPr/>
              <w:t>Provide significant perquisites or personal benefits</w:t>
            </w:r>
          </w:p>
        </w:tc>
      </w:tr>
      <w:tr>
        <w:trPr/>
        <w:tc>
          <w:tcPr>
            <w:tcW w:w="245" w:type="dxa"/>
            <w:tcBorders/>
            <w:shd w:fill="E8F4FF" w:val="clear"/>
            <w:vAlign w:val="center"/>
          </w:tcPr>
          <w:p>
            <w:pPr>
              <w:pStyle w:val="TableContents"/>
              <w:bidi w:val="0"/>
              <w:spacing w:before="0" w:after="283"/>
              <w:jc w:val="left"/>
              <w:rPr>
                <w:sz w:val="4"/>
                <w:szCs w:val="4"/>
              </w:rPr>
            </w:pPr>
            <w:r>
              <w:rPr>
                <w:sz w:val="4"/>
                <w:szCs w:val="4"/>
              </w:rPr>
            </w:r>
          </w:p>
        </w:tc>
        <w:tc>
          <w:tcPr>
            <w:tcW w:w="5967" w:type="dxa"/>
            <w:gridSpan w:val="2"/>
            <w:tcBorders/>
            <w:shd w:fill="E8F4F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75" w:type="dxa"/>
            <w:gridSpan w:val="2"/>
            <w:tcBorders/>
            <w:vAlign w:val="center"/>
          </w:tcPr>
          <w:p>
            <w:pPr>
              <w:pStyle w:val="TableContents"/>
              <w:bidi w:val="0"/>
              <w:spacing w:before="0" w:after="283"/>
              <w:jc w:val="left"/>
              <w:rPr>
                <w:sz w:val="4"/>
                <w:szCs w:val="4"/>
              </w:rPr>
            </w:pPr>
            <w:r>
              <w:rPr>
                <w:sz w:val="4"/>
                <w:szCs w:val="4"/>
              </w:rPr>
            </w:r>
          </w:p>
        </w:tc>
        <w:tc>
          <w:tcPr>
            <w:tcW w:w="3598"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shd w:fill="E8F4FF" w:val="clear"/>
            <w:vAlign w:val="center"/>
          </w:tcPr>
          <w:p>
            <w:pPr>
              <w:pStyle w:val="TableContents"/>
              <w:bidi w:val="0"/>
              <w:spacing w:before="0" w:after="0"/>
              <w:jc w:val="left"/>
              <w:rPr/>
            </w:pPr>
            <w:r>
              <w:rPr/>
              <w:t>✓</w:t>
            </w:r>
          </w:p>
        </w:tc>
        <w:tc>
          <w:tcPr>
            <w:tcW w:w="120" w:type="dxa"/>
            <w:tcBorders/>
            <w:shd w:fill="E8F4FF" w:val="clear"/>
            <w:vAlign w:val="center"/>
          </w:tcPr>
          <w:p>
            <w:pPr>
              <w:pStyle w:val="TableContents"/>
              <w:bidi w:val="0"/>
              <w:spacing w:before="0" w:after="283"/>
              <w:jc w:val="left"/>
              <w:rPr/>
            </w:pPr>
            <w:r>
              <w:rPr/>
              <w:t>  </w:t>
            </w:r>
          </w:p>
        </w:tc>
        <w:tc>
          <w:tcPr>
            <w:tcW w:w="5847" w:type="dxa"/>
            <w:tcBorders/>
            <w:shd w:fill="E8F4FF" w:val="clear"/>
            <w:vAlign w:val="center"/>
          </w:tcPr>
          <w:p>
            <w:pPr>
              <w:pStyle w:val="TableContents"/>
              <w:bidi w:val="0"/>
              <w:spacing w:before="0" w:after="283"/>
              <w:jc w:val="left"/>
              <w:rPr/>
            </w:pPr>
            <w:r>
              <w:rPr/>
              <w:t>Utilize stock ownership guidelines to align our NEOs with long-term stockholder interests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78"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5967"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75" w:type="dxa"/>
            <w:gridSpan w:val="2"/>
            <w:tcBorders/>
            <w:vAlign w:val="center"/>
          </w:tcPr>
          <w:p>
            <w:pPr>
              <w:pStyle w:val="TableContents"/>
              <w:bidi w:val="0"/>
              <w:spacing w:before="0" w:after="283"/>
              <w:jc w:val="left"/>
              <w:rPr>
                <w:sz w:val="4"/>
                <w:szCs w:val="4"/>
              </w:rPr>
            </w:pPr>
            <w:r>
              <w:rPr>
                <w:sz w:val="4"/>
                <w:szCs w:val="4"/>
              </w:rPr>
            </w:r>
          </w:p>
        </w:tc>
        <w:tc>
          <w:tcPr>
            <w:tcW w:w="3598"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bottom w:val="single" w:sz="8" w:space="0" w:color="2393FF"/>
            </w:tcBorders>
            <w:tcMar>
              <w:bottom w:w="120" w:type="dxa"/>
            </w:tcMar>
            <w:vAlign w:val="center"/>
          </w:tcPr>
          <w:p>
            <w:pPr>
              <w:pStyle w:val="TableContents"/>
              <w:bidi w:val="0"/>
              <w:spacing w:before="0" w:after="0"/>
              <w:jc w:val="left"/>
              <w:rPr/>
            </w:pPr>
            <w:r>
              <w:rPr/>
              <w:t>✓</w:t>
            </w:r>
          </w:p>
        </w:tc>
        <w:tc>
          <w:tcPr>
            <w:tcW w:w="120" w:type="dxa"/>
            <w:tcBorders>
              <w:bottom w:val="single" w:sz="8" w:space="0" w:color="2393FF"/>
            </w:tcBorders>
            <w:tcMar>
              <w:bottom w:w="28" w:type="dxa"/>
            </w:tcMar>
            <w:vAlign w:val="center"/>
          </w:tcPr>
          <w:p>
            <w:pPr>
              <w:pStyle w:val="TableContents"/>
              <w:bidi w:val="0"/>
              <w:spacing w:before="0" w:after="283"/>
              <w:jc w:val="left"/>
              <w:rPr/>
            </w:pPr>
            <w:r>
              <w:rPr/>
              <w:t>  </w:t>
            </w:r>
          </w:p>
        </w:tc>
        <w:tc>
          <w:tcPr>
            <w:tcW w:w="5847" w:type="dxa"/>
            <w:tcBorders>
              <w:bottom w:val="single" w:sz="8" w:space="0" w:color="2393FF"/>
            </w:tcBorders>
            <w:tcMar>
              <w:bottom w:w="120" w:type="dxa"/>
            </w:tcMar>
            <w:vAlign w:val="center"/>
          </w:tcPr>
          <w:p>
            <w:pPr>
              <w:pStyle w:val="TableContents"/>
              <w:bidi w:val="0"/>
              <w:spacing w:before="0" w:after="283"/>
              <w:jc w:val="left"/>
              <w:rPr/>
            </w:pPr>
            <w:r>
              <w:rPr/>
              <w:t>Administer and enforce a policy to recover erroneously awarded incentive-based compensation</w:t>
            </w:r>
          </w:p>
        </w:tc>
        <w:tc>
          <w:tcPr>
            <w:tcW w:w="60" w:type="dxa"/>
            <w:tcBorders>
              <w:bottom w:val="single" w:sz="8" w:space="0" w:color="2393FF"/>
            </w:tcBorders>
            <w:tcMar>
              <w:bottom w:w="28" w:type="dxa"/>
            </w:tcMar>
            <w:vAlign w:val="center"/>
          </w:tcPr>
          <w:p>
            <w:pPr>
              <w:pStyle w:val="TableContents"/>
              <w:bidi w:val="0"/>
              <w:spacing w:before="0" w:after="283"/>
              <w:jc w:val="left"/>
              <w:rPr/>
            </w:pPr>
            <w:r>
              <w:rPr/>
              <w:t> </w:t>
            </w:r>
          </w:p>
        </w:tc>
        <w:tc>
          <w:tcPr>
            <w:tcW w:w="60" w:type="dxa"/>
            <w:tcBorders>
              <w:bottom w:val="single" w:sz="8" w:space="0" w:color="2393FF"/>
            </w:tcBorders>
            <w:tcMar>
              <w:bottom w:w="28" w:type="dxa"/>
            </w:tcMar>
            <w:vAlign w:val="center"/>
          </w:tcPr>
          <w:p>
            <w:pPr>
              <w:pStyle w:val="TableContents"/>
              <w:bidi w:val="0"/>
              <w:spacing w:before="0" w:after="283"/>
              <w:jc w:val="left"/>
              <w:rPr/>
            </w:pPr>
            <w:r>
              <w:rPr/>
              <w:t> </w:t>
            </w:r>
          </w:p>
        </w:tc>
        <w:tc>
          <w:tcPr>
            <w:tcW w:w="120" w:type="dxa"/>
            <w:tcBorders>
              <w:bottom w:val="single" w:sz="8" w:space="0" w:color="2393FF"/>
            </w:tcBorders>
            <w:tcMar>
              <w:bottom w:w="28" w:type="dxa"/>
            </w:tcMar>
            <w:vAlign w:val="center"/>
          </w:tcPr>
          <w:p>
            <w:pPr>
              <w:pStyle w:val="TableContents"/>
              <w:bidi w:val="0"/>
              <w:spacing w:before="0" w:after="283"/>
              <w:jc w:val="left"/>
              <w:rPr/>
            </w:pPr>
            <w:r>
              <w:rPr/>
              <w:t>  </w:t>
            </w:r>
          </w:p>
        </w:tc>
        <w:tc>
          <w:tcPr>
            <w:tcW w:w="155" w:type="dxa"/>
            <w:tcBorders>
              <w:bottom w:val="single" w:sz="8" w:space="0" w:color="2393FF"/>
            </w:tcBorders>
            <w:tcMar>
              <w:bottom w:w="28" w:type="dxa"/>
            </w:tcMar>
            <w:vAlign w:val="center"/>
          </w:tcPr>
          <w:p>
            <w:pPr>
              <w:pStyle w:val="TableContents"/>
              <w:bidi w:val="0"/>
              <w:spacing w:before="0" w:after="283"/>
              <w:jc w:val="left"/>
              <w:rPr/>
            </w:pPr>
            <w:r>
              <w:rPr/>
              <w:t> </w:t>
            </w:r>
          </w:p>
        </w:tc>
        <w:tc>
          <w:tcPr>
            <w:tcW w:w="120" w:type="dxa"/>
            <w:tcBorders>
              <w:bottom w:val="single" w:sz="8" w:space="0" w:color="2393FF"/>
            </w:tcBorders>
            <w:tcMar>
              <w:bottom w:w="28" w:type="dxa"/>
            </w:tcMar>
            <w:vAlign w:val="center"/>
          </w:tcPr>
          <w:p>
            <w:pPr>
              <w:pStyle w:val="TableContents"/>
              <w:bidi w:val="0"/>
              <w:spacing w:before="0" w:after="283"/>
              <w:jc w:val="left"/>
              <w:rPr/>
            </w:pPr>
            <w:r>
              <w:rPr/>
              <w:t>  </w:t>
            </w:r>
          </w:p>
        </w:tc>
        <w:tc>
          <w:tcPr>
            <w:tcW w:w="3478" w:type="dxa"/>
            <w:tcBorders>
              <w:bottom w:val="single" w:sz="8" w:space="0" w:color="2393FF"/>
            </w:tcBorders>
            <w:tcMar>
              <w:bottom w:w="28" w:type="dxa"/>
            </w:tcMar>
            <w:vAlign w:val="center"/>
          </w:tcPr>
          <w:p>
            <w:pPr>
              <w:pStyle w:val="TableContents"/>
              <w:bidi w:val="0"/>
              <w:spacing w:before="0" w:after="283"/>
              <w:jc w:val="left"/>
              <w:rPr/>
            </w:pPr>
            <w:r>
              <w:rPr/>
              <w:t> </w:t>
            </w:r>
          </w:p>
        </w:tc>
      </w:tr>
    </w:tbl>
    <w:p>
      <w:pPr>
        <w:pStyle w:val="TextBody"/>
        <w:bidi w:val="0"/>
        <w:spacing w:before="200" w:after="0"/>
        <w:jc w:val="left"/>
        <w:rPr>
          <w:rFonts w:ascii="ARIAL" w:hAnsi="ARIAL"/>
          <w:sz w:val="18"/>
        </w:rPr>
      </w:pPr>
      <w:r>
        <w:rPr>
          <w:rFonts w:ascii="ARIAL" w:hAnsi="ARIAL"/>
          <w:sz w:val="18"/>
        </w:rPr>
        <w:t xml:space="preserve">COMPENSATION GOVERNANCE AND THE COMPENSATION-SETTING PROCESS </w:t>
      </w:r>
    </w:p>
    <w:p>
      <w:pPr>
        <w:pStyle w:val="TextBody"/>
        <w:bidi w:val="0"/>
        <w:spacing w:before="120" w:after="0"/>
        <w:jc w:val="left"/>
        <w:rPr>
          <w:rFonts w:ascii="ARIAL" w:hAnsi="ARIAL"/>
          <w:sz w:val="18"/>
        </w:rPr>
      </w:pPr>
      <w:r>
        <w:rPr>
          <w:rFonts w:ascii="ARIAL" w:hAnsi="ARIAL"/>
          <w:sz w:val="18"/>
        </w:rPr>
        <w:t xml:space="preserve">ROLE OF OUR PEOPLE &amp; COMPENSATION COMMITTEE </w:t>
      </w:r>
    </w:p>
    <w:p>
      <w:pPr>
        <w:pStyle w:val="TextBody"/>
        <w:bidi w:val="0"/>
        <w:spacing w:before="240" w:after="0"/>
        <w:jc w:val="left"/>
        <w:rPr>
          <w:rFonts w:ascii="ARIAL" w:hAnsi="ARIAL"/>
          <w:sz w:val="18"/>
        </w:rPr>
      </w:pPr>
      <w:r>
        <w:rPr>
          <w:rFonts w:ascii="ARIAL" w:hAnsi="ARIAL"/>
          <w:sz w:val="18"/>
        </w:rPr>
        <w:t xml:space="preserve">Our executive compensation program is designed and administered under the direction and control of our People &amp; Compensation Committee, which is made up solely of independent directors. Our People &amp; Compensation Committee reviews and approves our overall executive compensation program, policies, practices and metrics and sets the compensation of our executive officers, including our NEOs, as well as certain other members of our senior management team. In fulfilling this responsibility, our People &amp; Compensation Committee reviews the performance of each NEO at least once each year. Our Chief Executive Officer, as the manager of the executive team, assesses the executives’ contributions to the corporate goals and makes a recommendation to our People &amp; Compensation Committee with respect to any increase in salary, cash bonus and annual equity awards for each member of the executive team, other than himself. Our People &amp; Compensation Committee meets with our Chief Executive Officer to evaluate, discuss and modify or approve these recommendations. Our People &amp; Compensation Committee also conducts a similar evaluation of our Chief Executive Officer’s contributions when our Chief Executive Officer is not present, and determines any increase in salary, cash bonus and annual equity award for him. </w:t>
      </w:r>
    </w:p>
    <w:p>
      <w:pPr>
        <w:pStyle w:val="TextBody"/>
        <w:bidi w:val="0"/>
        <w:spacing w:before="240" w:after="0"/>
        <w:jc w:val="left"/>
        <w:rPr>
          <w:rFonts w:ascii="ARIAL" w:hAnsi="ARIAL"/>
          <w:sz w:val="18"/>
        </w:rPr>
      </w:pPr>
      <w:r>
        <w:rPr>
          <w:rFonts w:ascii="ARIAL" w:hAnsi="ARIAL"/>
          <w:sz w:val="18"/>
        </w:rPr>
        <w:t xml:space="preserve">Our People &amp; Compensation Committee meets regularly throughout the year to review our executive compensation program with the goal of ensuring it is consistent with our short-term and long-term goals given the dynamic nature of our business and the market in which we compete for executive talent. </w:t>
      </w:r>
    </w:p>
    <w:p>
      <w:pPr>
        <w:pStyle w:val="TextBody"/>
        <w:bidi w:val="0"/>
        <w:spacing w:before="240" w:after="0"/>
        <w:jc w:val="left"/>
        <w:rPr>
          <w:rFonts w:ascii="ARIAL" w:hAnsi="ARIAL"/>
          <w:sz w:val="18"/>
        </w:rPr>
      </w:pPr>
      <w:r>
        <w:rPr>
          <w:rFonts w:ascii="ARIAL" w:hAnsi="ARIAL"/>
          <w:sz w:val="18"/>
        </w:rPr>
        <w:t xml:space="preserve">Our People &amp; Compensation Committee received and reviewed compensation summaries for each NEO at the beginning of Fiscal 2024. The information in these summaries was used by our People &amp; Compensation Committee to assist with analyzing existing compensation and any proposed changes in compensation for each NEO. The summaries included information regarding the accumulated value of unvested equity ownership, how much is unvested, and the amount of potential value earnable under various share price scenarios. The summaries help our People &amp; Compensation Committee to track changes in an NEO’s compensation from year to year and to remain aware of the compensation historically paid to each NEO. In addition to the information and analyses supplied to our People &amp; Compensation Committee as described above and in the peer group segment below, members of our senior management team support our People &amp; Compensation Committee in its work from time to time. </w:t>
      </w:r>
    </w:p>
    <w:p>
      <w:pPr>
        <w:pStyle w:val="TextBody"/>
        <w:bidi w:val="0"/>
        <w:spacing w:before="240" w:after="0"/>
        <w:jc w:val="left"/>
        <w:rPr>
          <w:rFonts w:ascii="ARIAL" w:hAnsi="ARIAL"/>
          <w:sz w:val="18"/>
        </w:rPr>
      </w:pPr>
      <w:r>
        <w:rPr>
          <w:rFonts w:ascii="ARIAL" w:hAnsi="ARIAL"/>
          <w:sz w:val="18"/>
        </w:rPr>
        <w:t xml:space="preserve">COMPENSATION CONSULTANT </w:t>
      </w:r>
    </w:p>
    <w:p>
      <w:pPr>
        <w:pStyle w:val="TextBody"/>
        <w:bidi w:val="0"/>
        <w:spacing w:before="240" w:after="0"/>
        <w:jc w:val="left"/>
        <w:rPr>
          <w:rFonts w:ascii="ARIAL" w:hAnsi="ARIAL"/>
          <w:sz w:val="18"/>
        </w:rPr>
      </w:pPr>
      <w:r>
        <w:rPr>
          <w:rFonts w:ascii="ARIAL" w:hAnsi="ARIAL"/>
          <w:sz w:val="18"/>
        </w:rPr>
        <w:t xml:space="preserve">Our People &amp; Compensation Committee has the authority under its amended and restated charter to directly retain, review fees for, and terminate advisors and consultants as it deems necessary to assist in the fulfillment of its responsibilities. For purposes of its Fiscal 2024 executive compensation decisions, our People &amp; Compensation Committee engaged ClearBridge Compensation Group LLC (ClearBridge) as its independent compensation consultant (the compensation consultant). ClearBridge has served as the compensation consultant to our People &amp; Compensation Committee since the second half of 2022. The compensation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  28  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consultant provides information and analyses that serve as the basis for setting executive and director compensation levels and advises our People &amp; Compensation Committee on compensation-related decisions. The compensation consultant advises our People &amp; Compensation Committee on the structure of executive and director compensation programs, including the design of incentive plans, the forms and mix of compensation, allocation of equity compensation, regulatory requirements and other topics relevant to executive and director compensation. Our People &amp; Compensation Committee reviews the independence of its compensation consultant annually and found no conflict of interest with ClearBridge during its 2024 independence review. </w:t>
      </w:r>
    </w:p>
    <w:p>
      <w:pPr>
        <w:pStyle w:val="TextBody"/>
        <w:bidi w:val="0"/>
        <w:spacing w:before="240" w:after="0"/>
        <w:jc w:val="left"/>
        <w:rPr>
          <w:rFonts w:ascii="ARIAL" w:hAnsi="ARIAL"/>
          <w:sz w:val="18"/>
        </w:rPr>
      </w:pPr>
      <w:r>
        <w:rPr>
          <w:rFonts w:ascii="ARIAL" w:hAnsi="ARIAL"/>
          <w:sz w:val="18"/>
        </w:rPr>
        <w:t xml:space="preserve">ClearBridge did not provide any additional services beyond the compensation-related items highlighted above during Fiscal 2024. Our People &amp; Compensation Committee has adopted protocols governing if and when its compensation consultant’s advice and recommendations can be shared with management, recognizing that, in advising our People &amp; Compensation Committee, it is necessary for the compensation consultant to interact with management to gather information. Our People &amp; Compensation Committee also determines the appropriate forum for receiving recommendations from its compensation consultant. Where appropriate, our People &amp; Compensation Committee invites management to provide context for the recommendations. In other cases, our People &amp; Compensation Committee receives recommendations from its compensation consultant in executive sessions where management is not present. At such times as it deems necessary, our People &amp; Compensation Committee also engages directly with its compensation consultant between formal meetings of the People &amp; Compensation Committee. This approach further protects our People &amp; Compensation Committee’s ability to receive objective advice from its compensation consultant and establishes a forum for independent decisions about executive pay. </w:t>
      </w:r>
    </w:p>
    <w:p>
      <w:pPr>
        <w:pStyle w:val="TextBody"/>
        <w:bidi w:val="0"/>
        <w:spacing w:before="240" w:after="0"/>
        <w:jc w:val="left"/>
        <w:rPr>
          <w:rFonts w:ascii="ARIAL" w:hAnsi="ARIAL"/>
          <w:sz w:val="18"/>
        </w:rPr>
      </w:pPr>
      <w:r>
        <w:rPr>
          <w:rFonts w:ascii="ARIAL" w:hAnsi="ARIAL"/>
          <w:sz w:val="18"/>
        </w:rPr>
        <w:t xml:space="preserve">PEER GROUP </w:t>
      </w:r>
    </w:p>
    <w:p>
      <w:pPr>
        <w:pStyle w:val="TextBody"/>
        <w:bidi w:val="0"/>
        <w:spacing w:before="240" w:after="0"/>
        <w:jc w:val="left"/>
        <w:rPr>
          <w:rFonts w:ascii="ARIAL" w:hAnsi="ARIAL"/>
          <w:sz w:val="18"/>
        </w:rPr>
      </w:pPr>
      <w:r>
        <w:rPr>
          <w:rFonts w:ascii="ARIAL" w:hAnsi="ARIAL"/>
          <w:sz w:val="18"/>
        </w:rPr>
        <w:t xml:space="preserve">Our People &amp; Compensation Committee reviews market compensation levels at least annually to determine the placement of our executive compensation relative to the competitive market for executive talent. This assessment includes evaluation of base salary, and short- and long-term incentive opportunities against executive compensation reported by a peer group of companies selected by our People &amp; Compensation Committee as comparable to Flywire in size and related industry, among other criteria. Our People &amp; Compensation Committee also considers market compensation information collected from survey sources. The compensation consultant supports our People &amp; Compensation Committee in the selection of the peer group of companies and also provides our People &amp; Compensation Committee with analyses of each peer company’s executive compensation information. </w:t>
      </w:r>
    </w:p>
    <w:p>
      <w:pPr>
        <w:pStyle w:val="TextBody"/>
        <w:bidi w:val="0"/>
        <w:spacing w:before="240" w:after="0"/>
        <w:jc w:val="left"/>
        <w:rPr>
          <w:rFonts w:ascii="ARIAL" w:hAnsi="ARIAL"/>
          <w:sz w:val="18"/>
        </w:rPr>
      </w:pPr>
      <w:r>
        <w:rPr>
          <w:rFonts w:ascii="ARIAL" w:hAnsi="ARIAL"/>
          <w:sz w:val="18"/>
        </w:rPr>
        <w:t xml:space="preserve">In June 2023, our People &amp; Compensation Committee reviewed the changes suggested by its compensation consultant to the group of peer companies which the committee had used in making prior executive compensation decisions. Criteria considered to determine the recommended changes to the peer company group included industry, company size (i.e., revenue and market capitalization), as well as companies with a meaningful portion of business both in the U.S. and abroad, and duration of time in operation as a public company. Based on such factors, it was recommended that Nuvei and EVERTEC be added to the compensation peer group and that EVO Payments, Domo, Expensify, Open Lending and BTRS Holdings be removed because the company did not meet one or more of the criteria discussed above and was no longer considered to be a meaningful comparison point or the company ceased to be publicly traded. Following this review, our People &amp; Compensation Committee selected the following companies as our peer group for reference purposes when making executive compensation decisions for Fiscal 2024: </w:t>
      </w:r>
    </w:p>
    <w:p>
      <w:pPr>
        <w:pStyle w:val="TextBody"/>
        <w:bidi w:val="0"/>
        <w:spacing w:before="0" w:after="0"/>
        <w:jc w:val="left"/>
        <w:rPr/>
      </w:pPr>
      <w:r>
        <w:rPr/>
        <w:t> </w:t>
      </w:r>
    </w:p>
    <w:tbl>
      <w:tblPr>
        <w:tblW w:w="9335" w:type="dxa"/>
        <w:jc w:val="left"/>
        <w:tblInd w:w="0" w:type="dxa"/>
        <w:tblLayout w:type="fixed"/>
        <w:tblCellMar>
          <w:top w:w="0" w:type="dxa"/>
          <w:left w:w="0" w:type="dxa"/>
          <w:bottom w:w="0" w:type="dxa"/>
          <w:right w:w="0" w:type="dxa"/>
        </w:tblCellMar>
      </w:tblPr>
      <w:tblGrid>
        <w:gridCol w:w="4340"/>
        <w:gridCol w:w="120"/>
        <w:gridCol w:w="1580"/>
        <w:gridCol w:w="120"/>
        <w:gridCol w:w="1475"/>
        <w:gridCol w:w="120"/>
        <w:gridCol w:w="1580"/>
      </w:tblGrid>
      <w:tr>
        <w:trPr/>
        <w:tc>
          <w:tcPr>
            <w:tcW w:w="4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4340" w:type="dxa"/>
            <w:tcBorders/>
            <w:shd w:fill="E8F4FF" w:val="clear"/>
            <w:vAlign w:val="center"/>
          </w:tcPr>
          <w:p>
            <w:pPr>
              <w:pStyle w:val="TableContents"/>
              <w:bidi w:val="0"/>
              <w:spacing w:before="0" w:after="283"/>
              <w:jc w:val="left"/>
              <w:rPr>
                <w:sz w:val="4"/>
                <w:szCs w:val="4"/>
              </w:rPr>
            </w:pPr>
            <w:r>
              <w:rPr>
                <w:sz w:val="4"/>
                <w:szCs w:val="4"/>
              </w:rPr>
            </w:r>
          </w:p>
        </w:tc>
        <w:tc>
          <w:tcPr>
            <w:tcW w:w="1700" w:type="dxa"/>
            <w:gridSpan w:val="2"/>
            <w:tcBorders/>
            <w:shd w:fill="E8F4FF" w:val="clear"/>
            <w:vAlign w:val="center"/>
          </w:tcPr>
          <w:p>
            <w:pPr>
              <w:pStyle w:val="TableContents"/>
              <w:bidi w:val="0"/>
              <w:spacing w:before="0" w:after="283"/>
              <w:jc w:val="left"/>
              <w:rPr>
                <w:sz w:val="4"/>
                <w:szCs w:val="4"/>
              </w:rPr>
            </w:pPr>
            <w:r>
              <w:rPr>
                <w:sz w:val="4"/>
                <w:szCs w:val="4"/>
              </w:rPr>
            </w:r>
          </w:p>
        </w:tc>
        <w:tc>
          <w:tcPr>
            <w:tcW w:w="1595" w:type="dxa"/>
            <w:gridSpan w:val="2"/>
            <w:tcBorders/>
            <w:shd w:fill="E8F4FF" w:val="clear"/>
            <w:vAlign w:val="center"/>
          </w:tcPr>
          <w:p>
            <w:pPr>
              <w:pStyle w:val="TableContents"/>
              <w:bidi w:val="0"/>
              <w:spacing w:before="0" w:after="283"/>
              <w:jc w:val="left"/>
              <w:rPr>
                <w:sz w:val="4"/>
                <w:szCs w:val="4"/>
              </w:rPr>
            </w:pPr>
            <w:r>
              <w:rPr>
                <w:sz w:val="4"/>
                <w:szCs w:val="4"/>
              </w:rPr>
            </w:r>
          </w:p>
        </w:tc>
        <w:tc>
          <w:tcPr>
            <w:tcW w:w="170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4340" w:type="dxa"/>
            <w:tcBorders/>
            <w:shd w:fill="E8F4FF" w:val="clear"/>
            <w:vAlign w:val="center"/>
          </w:tcPr>
          <w:p>
            <w:pPr>
              <w:pStyle w:val="TableContents"/>
              <w:bidi w:val="0"/>
              <w:spacing w:before="0" w:after="0"/>
              <w:jc w:val="left"/>
              <w:rPr>
                <w:rFonts w:ascii="ARIAL" w:hAnsi="ARIAL"/>
                <w:sz w:val="16"/>
              </w:rPr>
            </w:pPr>
            <w:r>
              <w:rPr>
                <w:rFonts w:ascii="ARIAL" w:hAnsi="ARIAL"/>
                <w:sz w:val="16"/>
              </w:rPr>
              <w:t>Asana</w:t>
            </w:r>
          </w:p>
        </w:tc>
        <w:tc>
          <w:tcPr>
            <w:tcW w:w="120" w:type="dxa"/>
            <w:tcBorders/>
            <w:shd w:fill="E8F4FF" w:val="clear"/>
            <w:vAlign w:val="center"/>
          </w:tcPr>
          <w:p>
            <w:pPr>
              <w:pStyle w:val="TableContents"/>
              <w:bidi w:val="0"/>
              <w:spacing w:before="0" w:after="283"/>
              <w:jc w:val="left"/>
              <w:rPr/>
            </w:pPr>
            <w:r>
              <w:rPr/>
              <w:t>  </w:t>
            </w:r>
          </w:p>
        </w:tc>
        <w:tc>
          <w:tcPr>
            <w:tcW w:w="1580" w:type="dxa"/>
            <w:tcBorders/>
            <w:shd w:fill="E8F4FF" w:val="clear"/>
            <w:vAlign w:val="center"/>
          </w:tcPr>
          <w:p>
            <w:pPr>
              <w:pStyle w:val="TableContents"/>
              <w:bidi w:val="0"/>
              <w:spacing w:before="0" w:after="283"/>
              <w:jc w:val="left"/>
              <w:rPr/>
            </w:pPr>
            <w:r>
              <w:rPr/>
              <w:t>JFrog</w:t>
            </w:r>
          </w:p>
        </w:tc>
        <w:tc>
          <w:tcPr>
            <w:tcW w:w="120" w:type="dxa"/>
            <w:tcBorders/>
            <w:shd w:fill="E8F4FF" w:val="clear"/>
            <w:vAlign w:val="center"/>
          </w:tcPr>
          <w:p>
            <w:pPr>
              <w:pStyle w:val="TableContents"/>
              <w:bidi w:val="0"/>
              <w:spacing w:before="0" w:after="283"/>
              <w:jc w:val="left"/>
              <w:rPr/>
            </w:pPr>
            <w:r>
              <w:rPr/>
              <w:t>  </w:t>
            </w:r>
          </w:p>
        </w:tc>
        <w:tc>
          <w:tcPr>
            <w:tcW w:w="1475" w:type="dxa"/>
            <w:tcBorders/>
            <w:shd w:fill="E8F4FF" w:val="clear"/>
            <w:vAlign w:val="center"/>
          </w:tcPr>
          <w:p>
            <w:pPr>
              <w:pStyle w:val="TableContents"/>
              <w:bidi w:val="0"/>
              <w:spacing w:before="0" w:after="283"/>
              <w:jc w:val="left"/>
              <w:rPr/>
            </w:pPr>
            <w:r>
              <w:rPr/>
              <w:t>Pager Duty</w:t>
            </w:r>
          </w:p>
        </w:tc>
        <w:tc>
          <w:tcPr>
            <w:tcW w:w="120" w:type="dxa"/>
            <w:tcBorders/>
            <w:shd w:fill="E8F4FF" w:val="clear"/>
            <w:vAlign w:val="center"/>
          </w:tcPr>
          <w:p>
            <w:pPr>
              <w:pStyle w:val="TableContents"/>
              <w:bidi w:val="0"/>
              <w:spacing w:before="0" w:after="283"/>
              <w:jc w:val="left"/>
              <w:rPr/>
            </w:pPr>
            <w:r>
              <w:rPr/>
              <w:t>  </w:t>
            </w:r>
          </w:p>
        </w:tc>
        <w:tc>
          <w:tcPr>
            <w:tcW w:w="1580" w:type="dxa"/>
            <w:tcBorders/>
            <w:shd w:fill="E8F4FF" w:val="clear"/>
            <w:vAlign w:val="center"/>
          </w:tcPr>
          <w:p>
            <w:pPr>
              <w:pStyle w:val="TableContents"/>
              <w:bidi w:val="0"/>
              <w:spacing w:before="0" w:after="283"/>
              <w:jc w:val="left"/>
              <w:rPr/>
            </w:pPr>
            <w:r>
              <w:rPr/>
              <w:t>Repay Holdings</w:t>
            </w:r>
          </w:p>
        </w:tc>
      </w:tr>
      <w:tr>
        <w:trPr/>
        <w:tc>
          <w:tcPr>
            <w:tcW w:w="4340" w:type="dxa"/>
            <w:tcBorders/>
            <w:vAlign w:val="center"/>
          </w:tcPr>
          <w:p>
            <w:pPr>
              <w:pStyle w:val="TableContents"/>
              <w:bidi w:val="0"/>
              <w:spacing w:before="0" w:after="0"/>
              <w:jc w:val="left"/>
              <w:rPr>
                <w:rFonts w:ascii="ARIAL" w:hAnsi="ARIAL"/>
                <w:sz w:val="16"/>
              </w:rPr>
            </w:pPr>
            <w:r>
              <w:rPr>
                <w:rFonts w:ascii="ARIAL" w:hAnsi="ARIAL"/>
                <w:sz w:val="16"/>
              </w:rPr>
              <w:t>AvidXchange</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sz w:val="16"/>
              </w:rPr>
            </w:pPr>
            <w:r>
              <w:rPr>
                <w:sz w:val="16"/>
              </w:rPr>
              <w:t>Lightspeed Commerce</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sz w:val="16"/>
              </w:rPr>
            </w:pPr>
            <w:r>
              <w:rPr>
                <w:sz w:val="16"/>
              </w:rPr>
              <w:t>Payoneer Global</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pPr>
            <w:r>
              <w:rPr/>
              <w:t> </w:t>
            </w:r>
          </w:p>
        </w:tc>
      </w:tr>
      <w:tr>
        <w:trPr/>
        <w:tc>
          <w:tcPr>
            <w:tcW w:w="4340" w:type="dxa"/>
            <w:tcBorders/>
            <w:shd w:fill="E8F4FF" w:val="clear"/>
            <w:vAlign w:val="center"/>
          </w:tcPr>
          <w:p>
            <w:pPr>
              <w:pStyle w:val="TableContents"/>
              <w:bidi w:val="0"/>
              <w:spacing w:before="0" w:after="283"/>
              <w:jc w:val="left"/>
              <w:rPr>
                <w:sz w:val="4"/>
                <w:szCs w:val="4"/>
              </w:rPr>
            </w:pPr>
            <w:r>
              <w:rPr>
                <w:sz w:val="4"/>
                <w:szCs w:val="4"/>
              </w:rPr>
            </w:r>
          </w:p>
        </w:tc>
        <w:tc>
          <w:tcPr>
            <w:tcW w:w="1700" w:type="dxa"/>
            <w:gridSpan w:val="2"/>
            <w:tcBorders/>
            <w:shd w:fill="E8F4FF" w:val="clear"/>
            <w:vAlign w:val="center"/>
          </w:tcPr>
          <w:p>
            <w:pPr>
              <w:pStyle w:val="TableContents"/>
              <w:bidi w:val="0"/>
              <w:spacing w:before="0" w:after="283"/>
              <w:jc w:val="left"/>
              <w:rPr>
                <w:sz w:val="4"/>
                <w:szCs w:val="4"/>
              </w:rPr>
            </w:pPr>
            <w:r>
              <w:rPr>
                <w:sz w:val="4"/>
                <w:szCs w:val="4"/>
              </w:rPr>
            </w:r>
          </w:p>
        </w:tc>
        <w:tc>
          <w:tcPr>
            <w:tcW w:w="1595" w:type="dxa"/>
            <w:gridSpan w:val="2"/>
            <w:tcBorders/>
            <w:shd w:fill="E8F4FF" w:val="clear"/>
            <w:vAlign w:val="center"/>
          </w:tcPr>
          <w:p>
            <w:pPr>
              <w:pStyle w:val="TableContents"/>
              <w:bidi w:val="0"/>
              <w:spacing w:before="0" w:after="283"/>
              <w:jc w:val="left"/>
              <w:rPr>
                <w:sz w:val="4"/>
                <w:szCs w:val="4"/>
              </w:rPr>
            </w:pPr>
            <w:r>
              <w:rPr>
                <w:sz w:val="4"/>
                <w:szCs w:val="4"/>
              </w:rPr>
            </w:r>
          </w:p>
        </w:tc>
        <w:tc>
          <w:tcPr>
            <w:tcW w:w="170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4340" w:type="dxa"/>
            <w:tcBorders/>
            <w:shd w:fill="E8F4FF" w:val="clear"/>
            <w:vAlign w:val="center"/>
          </w:tcPr>
          <w:p>
            <w:pPr>
              <w:pStyle w:val="TableContents"/>
              <w:bidi w:val="0"/>
              <w:spacing w:before="0" w:after="0"/>
              <w:jc w:val="left"/>
              <w:rPr>
                <w:rFonts w:ascii="ARIAL" w:hAnsi="ARIAL"/>
                <w:sz w:val="16"/>
              </w:rPr>
            </w:pPr>
            <w:r>
              <w:rPr>
                <w:rFonts w:ascii="ARIAL" w:hAnsi="ARIAL"/>
                <w:sz w:val="16"/>
              </w:rPr>
              <w:t>EngageSmart (acquired and taken private in January 2024)</w:t>
            </w:r>
          </w:p>
        </w:tc>
        <w:tc>
          <w:tcPr>
            <w:tcW w:w="120" w:type="dxa"/>
            <w:tcBorders/>
            <w:shd w:fill="E8F4FF" w:val="clear"/>
            <w:vAlign w:val="center"/>
          </w:tcPr>
          <w:p>
            <w:pPr>
              <w:pStyle w:val="TableContents"/>
              <w:bidi w:val="0"/>
              <w:spacing w:before="0" w:after="283"/>
              <w:jc w:val="left"/>
              <w:rPr/>
            </w:pPr>
            <w:r>
              <w:rPr/>
              <w:t>  </w:t>
            </w:r>
          </w:p>
        </w:tc>
        <w:tc>
          <w:tcPr>
            <w:tcW w:w="1580" w:type="dxa"/>
            <w:tcBorders/>
            <w:shd w:fill="E8F4FF" w:val="clear"/>
            <w:vAlign w:val="center"/>
          </w:tcPr>
          <w:p>
            <w:pPr>
              <w:pStyle w:val="TableContents"/>
              <w:bidi w:val="0"/>
              <w:spacing w:before="0" w:after="283"/>
              <w:jc w:val="left"/>
              <w:rPr/>
            </w:pPr>
            <w:r>
              <w:rPr/>
              <w:t>nCino</w:t>
            </w:r>
          </w:p>
        </w:tc>
        <w:tc>
          <w:tcPr>
            <w:tcW w:w="120" w:type="dxa"/>
            <w:tcBorders/>
            <w:shd w:fill="E8F4FF" w:val="clear"/>
            <w:vAlign w:val="center"/>
          </w:tcPr>
          <w:p>
            <w:pPr>
              <w:pStyle w:val="TableContents"/>
              <w:bidi w:val="0"/>
              <w:spacing w:before="0" w:after="283"/>
              <w:jc w:val="left"/>
              <w:rPr/>
            </w:pPr>
            <w:r>
              <w:rPr/>
              <w:t>  </w:t>
            </w:r>
          </w:p>
        </w:tc>
        <w:tc>
          <w:tcPr>
            <w:tcW w:w="1475" w:type="dxa"/>
            <w:tcBorders/>
            <w:shd w:fill="E8F4FF" w:val="clear"/>
            <w:vAlign w:val="center"/>
          </w:tcPr>
          <w:p>
            <w:pPr>
              <w:pStyle w:val="TableContents"/>
              <w:bidi w:val="0"/>
              <w:spacing w:before="0" w:after="283"/>
              <w:jc w:val="left"/>
              <w:rPr/>
            </w:pPr>
            <w:r>
              <w:rPr/>
              <w:t>Phreesia</w:t>
            </w:r>
          </w:p>
        </w:tc>
        <w:tc>
          <w:tcPr>
            <w:tcW w:w="120" w:type="dxa"/>
            <w:tcBorders/>
            <w:shd w:fill="E8F4FF" w:val="clear"/>
            <w:vAlign w:val="center"/>
          </w:tcPr>
          <w:p>
            <w:pPr>
              <w:pStyle w:val="TableContents"/>
              <w:bidi w:val="0"/>
              <w:spacing w:before="0" w:after="283"/>
              <w:jc w:val="left"/>
              <w:rPr/>
            </w:pPr>
            <w:r>
              <w:rPr/>
              <w:t>  </w:t>
            </w:r>
          </w:p>
        </w:tc>
        <w:tc>
          <w:tcPr>
            <w:tcW w:w="1580" w:type="dxa"/>
            <w:tcBorders/>
            <w:shd w:fill="E8F4FF" w:val="clear"/>
            <w:vAlign w:val="center"/>
          </w:tcPr>
          <w:p>
            <w:pPr>
              <w:pStyle w:val="TableContents"/>
              <w:bidi w:val="0"/>
              <w:spacing w:before="0" w:after="283"/>
              <w:jc w:val="left"/>
              <w:rPr>
                <w:sz w:val="4"/>
                <w:szCs w:val="4"/>
              </w:rPr>
            </w:pPr>
            <w:r>
              <w:rPr>
                <w:sz w:val="4"/>
                <w:szCs w:val="4"/>
              </w:rPr>
            </w:r>
          </w:p>
        </w:tc>
      </w:tr>
      <w:tr>
        <w:trPr/>
        <w:tc>
          <w:tcPr>
            <w:tcW w:w="4340" w:type="dxa"/>
            <w:tcBorders/>
            <w:vAlign w:val="center"/>
          </w:tcPr>
          <w:p>
            <w:pPr>
              <w:pStyle w:val="TableContents"/>
              <w:bidi w:val="0"/>
              <w:spacing w:before="0" w:after="283"/>
              <w:jc w:val="left"/>
              <w:rPr>
                <w:sz w:val="4"/>
                <w:szCs w:val="4"/>
              </w:rPr>
            </w:pPr>
            <w:r>
              <w:rPr>
                <w:sz w:val="4"/>
                <w:szCs w:val="4"/>
              </w:rPr>
            </w:r>
          </w:p>
        </w:tc>
        <w:tc>
          <w:tcPr>
            <w:tcW w:w="170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700" w:type="dxa"/>
            <w:gridSpan w:val="2"/>
            <w:tcBorders/>
            <w:vAlign w:val="center"/>
          </w:tcPr>
          <w:p>
            <w:pPr>
              <w:pStyle w:val="TableContents"/>
              <w:bidi w:val="0"/>
              <w:spacing w:before="0" w:after="283"/>
              <w:jc w:val="left"/>
              <w:rPr>
                <w:sz w:val="4"/>
                <w:szCs w:val="4"/>
              </w:rPr>
            </w:pPr>
            <w:r>
              <w:rPr>
                <w:sz w:val="4"/>
                <w:szCs w:val="4"/>
              </w:rPr>
            </w:r>
          </w:p>
        </w:tc>
      </w:tr>
      <w:tr>
        <w:trPr/>
        <w:tc>
          <w:tcPr>
            <w:tcW w:w="4340" w:type="dxa"/>
            <w:tcBorders>
              <w:bottom w:val="single" w:sz="8" w:space="0" w:color="2393FF"/>
            </w:tcBorders>
            <w:tcMar>
              <w:bottom w:w="120" w:type="dxa"/>
            </w:tcMar>
            <w:vAlign w:val="center"/>
          </w:tcPr>
          <w:p>
            <w:pPr>
              <w:pStyle w:val="TableContents"/>
              <w:bidi w:val="0"/>
              <w:spacing w:before="0" w:after="0"/>
              <w:jc w:val="left"/>
              <w:rPr>
                <w:rFonts w:ascii="ARIAL" w:hAnsi="ARIAL"/>
                <w:sz w:val="16"/>
              </w:rPr>
            </w:pPr>
            <w:r>
              <w:rPr>
                <w:rFonts w:ascii="ARIAL" w:hAnsi="ARIAL"/>
                <w:sz w:val="16"/>
              </w:rPr>
              <w:t>EVERTEC</w:t>
            </w:r>
          </w:p>
        </w:tc>
        <w:tc>
          <w:tcPr>
            <w:tcW w:w="120" w:type="dxa"/>
            <w:tcBorders>
              <w:bottom w:val="single" w:sz="8" w:space="0" w:color="2393FF"/>
            </w:tcBorders>
            <w:tcMar>
              <w:bottom w:w="28" w:type="dxa"/>
            </w:tcMar>
            <w:vAlign w:val="center"/>
          </w:tcPr>
          <w:p>
            <w:pPr>
              <w:pStyle w:val="TableContents"/>
              <w:bidi w:val="0"/>
              <w:spacing w:before="0" w:after="283"/>
              <w:jc w:val="left"/>
              <w:rPr/>
            </w:pPr>
            <w:r>
              <w:rPr/>
              <w:t>  </w:t>
            </w:r>
          </w:p>
        </w:tc>
        <w:tc>
          <w:tcPr>
            <w:tcW w:w="1580" w:type="dxa"/>
            <w:tcBorders>
              <w:bottom w:val="single" w:sz="8" w:space="0" w:color="2393FF"/>
            </w:tcBorders>
            <w:tcMar>
              <w:bottom w:w="120" w:type="dxa"/>
            </w:tcMar>
            <w:vAlign w:val="center"/>
          </w:tcPr>
          <w:p>
            <w:pPr>
              <w:pStyle w:val="TableContents"/>
              <w:bidi w:val="0"/>
              <w:spacing w:before="0" w:after="283"/>
              <w:jc w:val="left"/>
              <w:rPr/>
            </w:pPr>
            <w:r>
              <w:rPr/>
              <w:t>Nuvei</w:t>
            </w:r>
          </w:p>
        </w:tc>
        <w:tc>
          <w:tcPr>
            <w:tcW w:w="120" w:type="dxa"/>
            <w:tcBorders>
              <w:bottom w:val="single" w:sz="8" w:space="0" w:color="2393FF"/>
            </w:tcBorders>
            <w:tcMar>
              <w:bottom w:w="28" w:type="dxa"/>
            </w:tcMar>
            <w:vAlign w:val="center"/>
          </w:tcPr>
          <w:p>
            <w:pPr>
              <w:pStyle w:val="TableContents"/>
              <w:bidi w:val="0"/>
              <w:spacing w:before="0" w:after="283"/>
              <w:jc w:val="left"/>
              <w:rPr/>
            </w:pPr>
            <w:r>
              <w:rPr/>
              <w:t>  </w:t>
            </w:r>
          </w:p>
        </w:tc>
        <w:tc>
          <w:tcPr>
            <w:tcW w:w="1475" w:type="dxa"/>
            <w:tcBorders>
              <w:bottom w:val="single" w:sz="8" w:space="0" w:color="2393FF"/>
            </w:tcBorders>
            <w:tcMar>
              <w:bottom w:w="120" w:type="dxa"/>
            </w:tcMar>
            <w:vAlign w:val="center"/>
          </w:tcPr>
          <w:p>
            <w:pPr>
              <w:pStyle w:val="TableContents"/>
              <w:bidi w:val="0"/>
              <w:spacing w:before="0" w:after="283"/>
              <w:jc w:val="left"/>
              <w:rPr/>
            </w:pPr>
            <w:r>
              <w:rPr/>
              <w:t>Remitly Global</w:t>
            </w:r>
          </w:p>
        </w:tc>
        <w:tc>
          <w:tcPr>
            <w:tcW w:w="120" w:type="dxa"/>
            <w:tcBorders>
              <w:bottom w:val="single" w:sz="8" w:space="0" w:color="2393FF"/>
            </w:tcBorders>
            <w:tcMar>
              <w:bottom w:w="28" w:type="dxa"/>
            </w:tcMar>
            <w:vAlign w:val="center"/>
          </w:tcPr>
          <w:p>
            <w:pPr>
              <w:pStyle w:val="TableContents"/>
              <w:bidi w:val="0"/>
              <w:spacing w:before="0" w:after="283"/>
              <w:jc w:val="left"/>
              <w:rPr/>
            </w:pPr>
            <w:r>
              <w:rPr/>
              <w:t>  </w:t>
            </w:r>
          </w:p>
        </w:tc>
        <w:tc>
          <w:tcPr>
            <w:tcW w:w="1580" w:type="dxa"/>
            <w:tcBorders>
              <w:bottom w:val="single" w:sz="8" w:space="0" w:color="2393FF"/>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When making compensation decisions for our NEOs, our People &amp; Compensation Committee also reviews published survey and peer group compensation data. Competitive market practices are an important factor in our People &amp; Compensation Committee’s decision-making process, although its decisions are not entirely based upon market practices. Rather, our People &amp; Compensation Committee reviews and considers the peer group and other survey data to obtain a general understanding of current competitive compensation practices. Additionally, reviewing the peer group and survey compensation data enables our People &amp; Compensation Committee to accomplish our goal of paying our NEOs what is appropriate and necessary to attract and retain qualified and committed executives while incentivizing achievement of our corporate goals and conserving cash and equity.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  29  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PRINCIPAL ELEMENTS OF COMPENSATION </w:t>
      </w:r>
    </w:p>
    <w:p>
      <w:pPr>
        <w:pStyle w:val="TextBody"/>
        <w:bidi w:val="0"/>
        <w:spacing w:before="240" w:after="0"/>
        <w:jc w:val="left"/>
        <w:rPr>
          <w:rFonts w:ascii="ARIAL" w:hAnsi="ARIAL"/>
          <w:sz w:val="18"/>
        </w:rPr>
      </w:pPr>
      <w:r>
        <w:rPr>
          <w:rFonts w:ascii="ARIAL" w:hAnsi="ARIAL"/>
          <w:sz w:val="18"/>
        </w:rPr>
        <w:t xml:space="preserve">Our executive compensation program has the following principal elements: base salary, annual short-term cash incentive bonuses, long-term incentive awards, severance and change in control benefits and other benefits. For base salary, annual cash bonuses and long-term incentive awards for our executive officers, our Company’s compensation philosophy generally is to evaluate individual experience and contribution, as well as corporate performance, and then consider competitive market analysis. The markets we are serving are highly competitive for talent and executive leadership. We generally set target total compensation using the 50th – 75th percentile range as a reference point, with the mix more weighted towards equity than cash to emphasize alignment with stockholders and long-term performance. We believe it is important to drive our Company to over-perform the market in the long term. We also believe that to ensure an appropriate pay for performance alignment it may be appropriate for our People &amp; Compensation Committee to approve compensation levels for individual executives that may be above or below target pay for similar positions based on experience, individual contribution and corporate performance. The following table describes the primary compensation elements used by our Company and main objectives of each element: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0"/>
        <w:gridCol w:w="120"/>
        <w:gridCol w:w="7745"/>
      </w:tblGrid>
      <w:tr>
        <w:trPr/>
        <w:tc>
          <w:tcPr>
            <w:tcW w:w="2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r>
      <w:tr>
        <w:trPr/>
        <w:tc>
          <w:tcPr>
            <w:tcW w:w="2340" w:type="dxa"/>
            <w:tcBorders/>
            <w:vAlign w:val="center"/>
          </w:tcPr>
          <w:p>
            <w:pPr>
              <w:pStyle w:val="TableContents"/>
              <w:bidi w:val="0"/>
              <w:spacing w:before="0" w:after="283"/>
              <w:jc w:val="left"/>
              <w:rPr/>
            </w:pPr>
            <w:r>
              <w:rPr/>
              <w:t> </w:t>
            </w:r>
            <w:r>
              <w:rPr>
                <w:b/>
              </w:rPr>
              <w:t>COMPENSATION ELEMENT</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b/>
              </w:rPr>
            </w:pPr>
            <w:r>
              <w:rPr>
                <w:b/>
              </w:rPr>
              <w:t xml:space="preserve">OBJECTIVES </w:t>
            </w:r>
          </w:p>
        </w:tc>
      </w:tr>
      <w:tr>
        <w:trPr/>
        <w:tc>
          <w:tcPr>
            <w:tcW w:w="2340" w:type="dxa"/>
            <w:tcBorders/>
            <w:shd w:fill="E8F4FF" w:val="clear"/>
            <w:vAlign w:val="center"/>
          </w:tcPr>
          <w:p>
            <w:pPr>
              <w:pStyle w:val="TableContents"/>
              <w:bidi w:val="0"/>
              <w:spacing w:before="0" w:after="283"/>
              <w:jc w:val="left"/>
              <w:rPr>
                <w:sz w:val="4"/>
                <w:szCs w:val="4"/>
              </w:rPr>
            </w:pPr>
            <w:r>
              <w:rPr>
                <w:sz w:val="4"/>
                <w:szCs w:val="4"/>
              </w:rPr>
            </w:r>
          </w:p>
        </w:tc>
        <w:tc>
          <w:tcPr>
            <w:tcW w:w="7865"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2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Base Salary</w:t>
            </w:r>
          </w:p>
        </w:tc>
        <w:tc>
          <w:tcPr>
            <w:tcW w:w="120" w:type="dxa"/>
            <w:tcBorders/>
            <w:shd w:fill="E8F4FF" w:val="clear"/>
            <w:vAlign w:val="center"/>
          </w:tcPr>
          <w:p>
            <w:pPr>
              <w:pStyle w:val="TableContents"/>
              <w:bidi w:val="0"/>
              <w:spacing w:before="0" w:after="283"/>
              <w:jc w:val="left"/>
              <w:rPr/>
            </w:pPr>
            <w:r>
              <w:rPr/>
              <w:t>  </w:t>
            </w:r>
          </w:p>
        </w:tc>
        <w:tc>
          <w:tcPr>
            <w:tcW w:w="7745" w:type="dxa"/>
            <w:tcBorders/>
            <w:shd w:fill="E8F4FF" w:val="clear"/>
            <w:vAlign w:val="center"/>
          </w:tcPr>
          <w:p>
            <w:pPr>
              <w:pStyle w:val="TableContents"/>
              <w:bidi w:val="0"/>
              <w:spacing w:before="0" w:after="0"/>
              <w:jc w:val="left"/>
              <w:rPr>
                <w:rFonts w:ascii="ARIAL" w:hAnsi="ARIAL"/>
                <w:sz w:val="16"/>
              </w:rPr>
            </w:pPr>
            <w:r>
              <w:rPr>
                <w:rFonts w:ascii="ARIAL" w:hAnsi="ARIAL"/>
                <w:sz w:val="16"/>
              </w:rPr>
              <w:t>Our People &amp; Compensation Committee sets base salaries with the intent to attract and retain NEOs, reward satisfactory performance and provide a minimum, fixed level of cash compensation to compensate NEOs for their day-to-day responsibilities.</w:t>
            </w:r>
          </w:p>
        </w:tc>
      </w:tr>
      <w:tr>
        <w:trPr/>
        <w:tc>
          <w:tcPr>
            <w:tcW w:w="2340"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r>
      <w:tr>
        <w:trPr/>
        <w:tc>
          <w:tcPr>
            <w:tcW w:w="234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Annual Cash Incentive Bonus</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ARIAL" w:hAnsi="ARIAL"/>
                <w:sz w:val="16"/>
              </w:rPr>
            </w:pPr>
            <w:r>
              <w:rPr>
                <w:rFonts w:ascii="ARIAL" w:hAnsi="ARIAL"/>
                <w:sz w:val="16"/>
              </w:rPr>
              <w:t>Annual cash incentive bonuses are awarded under a performance-based compensation program and are designed to align the interests of our NEOs and stockholders by providing compensation based on the achievement of pre-established corporate financial goals.</w:t>
            </w:r>
          </w:p>
        </w:tc>
      </w:tr>
      <w:tr>
        <w:trPr/>
        <w:tc>
          <w:tcPr>
            <w:tcW w:w="2340" w:type="dxa"/>
            <w:tcBorders/>
            <w:shd w:fill="E8F4FF" w:val="clear"/>
            <w:vAlign w:val="center"/>
          </w:tcPr>
          <w:p>
            <w:pPr>
              <w:pStyle w:val="TableContents"/>
              <w:bidi w:val="0"/>
              <w:spacing w:before="0" w:after="283"/>
              <w:jc w:val="left"/>
              <w:rPr>
                <w:sz w:val="4"/>
                <w:szCs w:val="4"/>
              </w:rPr>
            </w:pPr>
            <w:r>
              <w:rPr>
                <w:sz w:val="4"/>
                <w:szCs w:val="4"/>
              </w:rPr>
            </w:r>
          </w:p>
        </w:tc>
        <w:tc>
          <w:tcPr>
            <w:tcW w:w="7865"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2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Long-Term Incentive Awards</w:t>
            </w:r>
          </w:p>
        </w:tc>
        <w:tc>
          <w:tcPr>
            <w:tcW w:w="120" w:type="dxa"/>
            <w:tcBorders/>
            <w:shd w:fill="E8F4FF" w:val="clear"/>
            <w:vAlign w:val="center"/>
          </w:tcPr>
          <w:p>
            <w:pPr>
              <w:pStyle w:val="TableContents"/>
              <w:bidi w:val="0"/>
              <w:spacing w:before="0" w:after="283"/>
              <w:jc w:val="left"/>
              <w:rPr/>
            </w:pPr>
            <w:r>
              <w:rPr/>
              <w:t>  </w:t>
            </w:r>
          </w:p>
        </w:tc>
        <w:tc>
          <w:tcPr>
            <w:tcW w:w="7745" w:type="dxa"/>
            <w:tcBorders/>
            <w:shd w:fill="E8F4FF" w:val="clear"/>
            <w:vAlign w:val="center"/>
          </w:tcPr>
          <w:p>
            <w:pPr>
              <w:pStyle w:val="TableContents"/>
              <w:bidi w:val="0"/>
              <w:spacing w:before="0" w:after="0"/>
              <w:jc w:val="left"/>
              <w:rPr>
                <w:rFonts w:ascii="ARIAL" w:hAnsi="ARIAL"/>
                <w:sz w:val="16"/>
              </w:rPr>
            </w:pPr>
            <w:r>
              <w:rPr>
                <w:rFonts w:ascii="ARIAL" w:hAnsi="ARIAL"/>
                <w:sz w:val="16"/>
              </w:rPr>
              <w:t>Our People &amp; Compensation Committee structures long-term incentive awards with the goal of aligning our NEOs’ interests with those of our stockholders, support retention and motivate NEOs to achieve our financial, strategic and operational goals. In Fiscal 2024, long-term incentive awards were in the form of time-based vesting RSUs.</w:t>
            </w:r>
          </w:p>
        </w:tc>
      </w:tr>
      <w:tr>
        <w:trPr/>
        <w:tc>
          <w:tcPr>
            <w:tcW w:w="2340"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r>
      <w:tr>
        <w:trPr/>
        <w:tc>
          <w:tcPr>
            <w:tcW w:w="234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Severance and Change in Control Benefits</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ARIAL" w:hAnsi="ARIAL"/>
                <w:sz w:val="16"/>
              </w:rPr>
            </w:pPr>
            <w:r>
              <w:rPr>
                <w:rFonts w:ascii="ARIAL" w:hAnsi="ARIAL"/>
                <w:sz w:val="16"/>
              </w:rPr>
              <w:t>Severance and change in control benefits are included in each NEO’s employment agreement in order to promote stability and continuity of our senior management team in the event of a potential change in control and/or an involuntary termination. Our People &amp; Compensation Committee believes these provisions help to align each of our NEO’s interests appropriately with those of our stockholders in these scenarios.</w:t>
            </w:r>
          </w:p>
        </w:tc>
      </w:tr>
      <w:tr>
        <w:trPr/>
        <w:tc>
          <w:tcPr>
            <w:tcW w:w="2340" w:type="dxa"/>
            <w:tcBorders/>
            <w:shd w:fill="E8F4FF" w:val="clear"/>
            <w:vAlign w:val="center"/>
          </w:tcPr>
          <w:p>
            <w:pPr>
              <w:pStyle w:val="TableContents"/>
              <w:bidi w:val="0"/>
              <w:spacing w:before="0" w:after="283"/>
              <w:jc w:val="left"/>
              <w:rPr>
                <w:sz w:val="4"/>
                <w:szCs w:val="4"/>
              </w:rPr>
            </w:pPr>
            <w:r>
              <w:rPr>
                <w:sz w:val="4"/>
                <w:szCs w:val="4"/>
              </w:rPr>
            </w:r>
          </w:p>
        </w:tc>
        <w:tc>
          <w:tcPr>
            <w:tcW w:w="7865"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2340" w:type="dxa"/>
            <w:tcBorders>
              <w:bottom w:val="single" w:sz="8" w:space="0" w:color="2393FF"/>
            </w:tcBorders>
            <w:shd w:fill="E8F4FF" w:val="clear"/>
            <w:tcMar>
              <w:bottom w:w="120" w:type="dxa"/>
            </w:tcMar>
            <w:vAlign w:val="center"/>
          </w:tcPr>
          <w:p>
            <w:pPr>
              <w:pStyle w:val="TableContents"/>
              <w:bidi w:val="0"/>
              <w:spacing w:before="0" w:after="0"/>
              <w:jc w:val="left"/>
              <w:rPr>
                <w:rFonts w:ascii="ARIAL" w:hAnsi="ARIAL"/>
                <w:b/>
                <w:color w:val="2393FF"/>
                <w:sz w:val="16"/>
              </w:rPr>
            </w:pPr>
            <w:r>
              <w:rPr>
                <w:rFonts w:ascii="ARIAL" w:hAnsi="ARIAL"/>
                <w:b/>
                <w:color w:val="2393FF"/>
                <w:sz w:val="16"/>
              </w:rPr>
              <w:t>Benefits</w:t>
            </w:r>
          </w:p>
        </w:tc>
        <w:tc>
          <w:tcPr>
            <w:tcW w:w="12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7745" w:type="dxa"/>
            <w:tcBorders>
              <w:bottom w:val="single" w:sz="8" w:space="0" w:color="2393FF"/>
            </w:tcBorders>
            <w:shd w:fill="E8F4FF" w:val="clear"/>
            <w:tcMar>
              <w:bottom w:w="120" w:type="dxa"/>
            </w:tcMar>
            <w:vAlign w:val="center"/>
          </w:tcPr>
          <w:p>
            <w:pPr>
              <w:pStyle w:val="TableContents"/>
              <w:bidi w:val="0"/>
              <w:spacing w:before="0" w:after="0"/>
              <w:jc w:val="left"/>
              <w:rPr>
                <w:rFonts w:ascii="ARIAL" w:hAnsi="ARIAL"/>
                <w:sz w:val="16"/>
              </w:rPr>
            </w:pPr>
            <w:r>
              <w:rPr>
                <w:rFonts w:ascii="ARIAL" w:hAnsi="ARIAL"/>
                <w:sz w:val="16"/>
              </w:rPr>
              <w:t>We offer competitive health and welfare benefits, as well as participation in an employee stock purchase plan and other employee benefit plans, to align with competitive norms for comparable companies.</w:t>
            </w:r>
          </w:p>
        </w:tc>
      </w:tr>
    </w:tbl>
    <w:p>
      <w:pPr>
        <w:pStyle w:val="TextBody"/>
        <w:bidi w:val="0"/>
        <w:spacing w:before="240" w:after="0"/>
        <w:jc w:val="left"/>
        <w:rPr>
          <w:rFonts w:ascii="ARIAL" w:hAnsi="ARIAL"/>
          <w:sz w:val="18"/>
        </w:rPr>
      </w:pPr>
      <w:r>
        <w:rPr>
          <w:rFonts w:ascii="ARIAL" w:hAnsi="ARIAL"/>
          <w:sz w:val="18"/>
        </w:rPr>
        <w:t xml:space="preserve">FISCAL 2024 COMPENSATION DECISIONS </w:t>
      </w:r>
    </w:p>
    <w:p>
      <w:pPr>
        <w:pStyle w:val="TextBody"/>
        <w:bidi w:val="0"/>
        <w:spacing w:before="240" w:after="0"/>
        <w:jc w:val="left"/>
        <w:rPr>
          <w:rFonts w:ascii="ARIAL" w:hAnsi="ARIAL"/>
          <w:sz w:val="18"/>
        </w:rPr>
      </w:pPr>
      <w:r>
        <w:rPr>
          <w:rFonts w:ascii="ARIAL" w:hAnsi="ARIAL"/>
          <w:sz w:val="18"/>
        </w:rPr>
        <w:t xml:space="preserve">In determining the criteria for our NEOs’ incentive compensation, our People &amp; Compensation Committee considers a variety of factors, including alignment of our NEOs’ compensation with our stockholders’ returns, and from time to time may adjust these factors or performance metrics based on our Company’s transactions or the occurrence of unknown or unexpected events, such as changes in accounting policies or shifts in regulatory environment, during the applicable measurement period. On the corporate level, our People &amp; Compensation Committee selected certain key financial metrics that are important to the business which include Revenue Less Ancillary Services and adjusted EBITDA as metrics that our People &amp; Compensation Committee believes are important for both short-term success as well as for creating long-term sustainable stockholder value. As a result, our NEOs are focused on Revenue Less Ancillary Services and adjusted EBITDA, which we believe is aligned with our stockholders’ perspective on our Company’s ability to grow and succeed in the short- and long-term. For more discussion on our Revenue Less Ancillary Services and adjusted EBITDA metrics, see “2024 Corporate Objectives” below. </w:t>
      </w:r>
    </w:p>
    <w:p>
      <w:pPr>
        <w:pStyle w:val="TextBody"/>
        <w:bidi w:val="0"/>
        <w:spacing w:before="240" w:after="0"/>
        <w:jc w:val="left"/>
        <w:rPr>
          <w:rFonts w:ascii="ARIAL" w:hAnsi="ARIAL"/>
          <w:sz w:val="18"/>
        </w:rPr>
      </w:pPr>
      <w:r>
        <w:rPr>
          <w:rFonts w:ascii="ARIAL" w:hAnsi="ARIAL"/>
          <w:sz w:val="18"/>
        </w:rPr>
        <w:t xml:space="preserve">BASE SALARY </w:t>
      </w:r>
    </w:p>
    <w:p>
      <w:pPr>
        <w:pStyle w:val="TextBody"/>
        <w:bidi w:val="0"/>
        <w:spacing w:before="240" w:after="0"/>
        <w:jc w:val="left"/>
        <w:rPr>
          <w:rFonts w:ascii="ARIAL" w:hAnsi="ARIAL"/>
          <w:sz w:val="18"/>
        </w:rPr>
      </w:pPr>
      <w:r>
        <w:rPr>
          <w:rFonts w:ascii="ARIAL" w:hAnsi="ARIAL"/>
          <w:sz w:val="18"/>
        </w:rPr>
        <w:t xml:space="preserve">Base salaries for our NEOs are initially determined as a result of negotiation between the executive and our management in consultation with, and subject to the approval of, our People &amp; Compensation Committee. Our People &amp; Compensation Committee reviews base salaries annually, typically in the first quarter, and has discretion to provide increases based on our People &amp; Compensation Committee’s understanding of current competitive pay practices, promotions, our Chief Executive Officer’s recommendation (except for his own salary), changes in responsibilities and performance, annual budget for increases, our overall financial and operational results, the general economy, length of tenure, internal pay fairness and other factors our People &amp; Compensation Committee deems appropriate. Base salaries may also be adjusted during the year upon promotion, changes in functional responsibility or based on internal equity or external market conditions. Our People &amp; Compensation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  30  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Committee makes these decisions after reviewing the recommendation of our Chief Executive Officer (except as it concerns his own salary) and consulting with its compensation consultant. Following its review, in February 2024, our People &amp; Compensation Committee determined not to adjust the annual base salaries of our then serving NEOs, other than Messrs. Butterfield and King. Messrs. Butterfield and King’s 2024 base salaries were each increased by 3.33% to better align their base pay with external benchmarking. Pursuant to his employment agreement, which was negotiated in connection with the commencement of his employment with us, Mr. Pitigoi’s 2024 base salary was $410,000. The following table shows the annual base salary for each NEO for Fiscal 2024. </w:t>
      </w:r>
    </w:p>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1340"/>
        <w:gridCol w:w="120"/>
        <w:gridCol w:w="86"/>
        <w:gridCol w:w="1149"/>
        <w:gridCol w:w="7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r>
              <w:rPr>
                <w:b/>
              </w:rPr>
              <w:t xml:space="preserve">NAME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right"/>
              <w:rPr>
                <w:rFonts w:ascii="ARIAL" w:hAnsi="ARIAL"/>
                <w:b/>
                <w:sz w:val="14"/>
              </w:rPr>
            </w:pPr>
            <w:r>
              <w:rPr>
                <w:rFonts w:ascii="ARIAL" w:hAnsi="ARIAL"/>
                <w:b/>
                <w:sz w:val="14"/>
              </w:rPr>
              <w:t>FISCAL 2024 BASE</w:t>
            </w:r>
          </w:p>
          <w:p>
            <w:pPr>
              <w:pStyle w:val="TableContents"/>
              <w:bidi w:val="0"/>
              <w:spacing w:before="0" w:after="20"/>
              <w:jc w:val="right"/>
              <w:rPr>
                <w:rFonts w:ascii="ARIAL" w:hAnsi="ARIAL"/>
                <w:b/>
                <w:sz w:val="14"/>
              </w:rPr>
            </w:pPr>
            <w:r>
              <w:rPr>
                <w:rFonts w:ascii="ARIAL" w:hAnsi="ARIAL"/>
                <w:b/>
                <w:sz w:val="14"/>
              </w:rPr>
              <w:t>SALARY ($)</w:t>
            </w:r>
          </w:p>
        </w:tc>
        <w:tc>
          <w:tcPr>
            <w:tcW w:w="7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0"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Michael Massaro</w:t>
            </w:r>
          </w:p>
        </w:tc>
        <w:tc>
          <w:tcPr>
            <w:tcW w:w="120" w:type="dxa"/>
            <w:tcBorders/>
            <w:shd w:fill="E8F4FF" w:val="clear"/>
            <w:vAlign w:val="center"/>
          </w:tcPr>
          <w:p>
            <w:pPr>
              <w:pStyle w:val="TableContents"/>
              <w:bidi w:val="0"/>
              <w:spacing w:before="0" w:after="283"/>
              <w:jc w:val="left"/>
              <w:rPr/>
            </w:pPr>
            <w:r>
              <w:rPr/>
              <w:t>  </w:t>
            </w:r>
          </w:p>
        </w:tc>
        <w:tc>
          <w:tcPr>
            <w:tcW w:w="86" w:type="dxa"/>
            <w:tcBorders/>
            <w:shd w:fill="E8F4FF" w:val="clear"/>
            <w:vAlign w:val="center"/>
          </w:tcPr>
          <w:p>
            <w:pPr>
              <w:pStyle w:val="TableContents"/>
              <w:bidi w:val="0"/>
              <w:spacing w:before="0" w:after="283"/>
              <w:jc w:val="left"/>
              <w:rPr/>
            </w:pPr>
            <w:r>
              <w:rPr/>
              <w:t> </w:t>
            </w:r>
          </w:p>
        </w:tc>
        <w:tc>
          <w:tcPr>
            <w:tcW w:w="1149" w:type="dxa"/>
            <w:tcBorders/>
            <w:shd w:fill="E8F4FF" w:val="clear"/>
            <w:vAlign w:val="center"/>
          </w:tcPr>
          <w:p>
            <w:pPr>
              <w:pStyle w:val="TableContents"/>
              <w:bidi w:val="0"/>
              <w:spacing w:before="0" w:after="283"/>
              <w:jc w:val="right"/>
              <w:rPr/>
            </w:pPr>
            <w:r>
              <w:rPr/>
              <w:t>450,000</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Robert Orgel</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350,000</w:t>
            </w:r>
          </w:p>
        </w:tc>
        <w:tc>
          <w:tcPr>
            <w:tcW w:w="7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0"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Cosmin Pitigoi</w:t>
            </w:r>
          </w:p>
        </w:tc>
        <w:tc>
          <w:tcPr>
            <w:tcW w:w="120" w:type="dxa"/>
            <w:tcBorders/>
            <w:shd w:fill="E8F4FF" w:val="clear"/>
            <w:vAlign w:val="center"/>
          </w:tcPr>
          <w:p>
            <w:pPr>
              <w:pStyle w:val="TableContents"/>
              <w:bidi w:val="0"/>
              <w:spacing w:before="0" w:after="283"/>
              <w:jc w:val="left"/>
              <w:rPr/>
            </w:pPr>
            <w:r>
              <w:rPr/>
              <w:t>  </w:t>
            </w:r>
          </w:p>
        </w:tc>
        <w:tc>
          <w:tcPr>
            <w:tcW w:w="86" w:type="dxa"/>
            <w:tcBorders/>
            <w:shd w:fill="E8F4FF" w:val="clear"/>
            <w:vAlign w:val="center"/>
          </w:tcPr>
          <w:p>
            <w:pPr>
              <w:pStyle w:val="TableContents"/>
              <w:bidi w:val="0"/>
              <w:spacing w:before="0" w:after="283"/>
              <w:jc w:val="left"/>
              <w:rPr/>
            </w:pPr>
            <w:r>
              <w:rPr/>
              <w:t> </w:t>
            </w:r>
          </w:p>
        </w:tc>
        <w:tc>
          <w:tcPr>
            <w:tcW w:w="1149" w:type="dxa"/>
            <w:tcBorders/>
            <w:shd w:fill="E8F4FF" w:val="clear"/>
            <w:vAlign w:val="center"/>
          </w:tcPr>
          <w:p>
            <w:pPr>
              <w:pStyle w:val="TableContents"/>
              <w:bidi w:val="0"/>
              <w:spacing w:before="0" w:after="283"/>
              <w:jc w:val="right"/>
              <w:rPr/>
            </w:pPr>
            <w:r>
              <w:rPr/>
              <w:t>410,000</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Peter Butterfield</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310,000</w:t>
            </w:r>
          </w:p>
        </w:tc>
        <w:tc>
          <w:tcPr>
            <w:tcW w:w="7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0"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David King</w:t>
            </w:r>
          </w:p>
        </w:tc>
        <w:tc>
          <w:tcPr>
            <w:tcW w:w="120" w:type="dxa"/>
            <w:tcBorders/>
            <w:shd w:fill="E8F4FF" w:val="clear"/>
            <w:vAlign w:val="center"/>
          </w:tcPr>
          <w:p>
            <w:pPr>
              <w:pStyle w:val="TableContents"/>
              <w:bidi w:val="0"/>
              <w:spacing w:before="0" w:after="283"/>
              <w:jc w:val="left"/>
              <w:rPr/>
            </w:pPr>
            <w:r>
              <w:rPr/>
              <w:t>  </w:t>
            </w:r>
          </w:p>
        </w:tc>
        <w:tc>
          <w:tcPr>
            <w:tcW w:w="86" w:type="dxa"/>
            <w:tcBorders/>
            <w:shd w:fill="E8F4FF" w:val="clear"/>
            <w:vAlign w:val="center"/>
          </w:tcPr>
          <w:p>
            <w:pPr>
              <w:pStyle w:val="TableContents"/>
              <w:bidi w:val="0"/>
              <w:spacing w:before="0" w:after="283"/>
              <w:jc w:val="left"/>
              <w:rPr/>
            </w:pPr>
            <w:r>
              <w:rPr/>
              <w:t> </w:t>
            </w:r>
          </w:p>
        </w:tc>
        <w:tc>
          <w:tcPr>
            <w:tcW w:w="1149" w:type="dxa"/>
            <w:tcBorders/>
            <w:shd w:fill="E8F4FF" w:val="clear"/>
            <w:vAlign w:val="center"/>
          </w:tcPr>
          <w:p>
            <w:pPr>
              <w:pStyle w:val="TableContents"/>
              <w:bidi w:val="0"/>
              <w:spacing w:before="0" w:after="283"/>
              <w:jc w:val="right"/>
              <w:rPr/>
            </w:pPr>
            <w:r>
              <w:rPr/>
              <w:t>310,000</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6" w:space="0" w:color="2393FF"/>
            </w:tcBorders>
            <w:tcMar>
              <w:bottom w:w="120" w:type="dxa"/>
            </w:tcMar>
            <w:vAlign w:val="center"/>
          </w:tcPr>
          <w:p>
            <w:pPr>
              <w:pStyle w:val="TableContents"/>
              <w:bidi w:val="0"/>
              <w:spacing w:before="0" w:after="0"/>
              <w:jc w:val="left"/>
              <w:rPr>
                <w:rFonts w:ascii="ARIAL" w:hAnsi="ARIAL"/>
                <w:b/>
                <w:color w:val="2393FF"/>
                <w:sz w:val="16"/>
              </w:rPr>
            </w:pPr>
            <w:r>
              <w:rPr>
                <w:rFonts w:ascii="ARIAL" w:hAnsi="ARIAL"/>
                <w:b/>
                <w:color w:val="2393FF"/>
                <w:sz w:val="16"/>
              </w:rPr>
              <w:t>Michael Ellis</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86" w:type="dxa"/>
            <w:tcBorders>
              <w:bottom w:val="single" w:sz="6" w:space="0" w:color="2393FF"/>
            </w:tcBorders>
            <w:tcMar>
              <w:bottom w:w="120" w:type="dxa"/>
            </w:tcMar>
            <w:vAlign w:val="center"/>
          </w:tcPr>
          <w:p>
            <w:pPr>
              <w:pStyle w:val="TableContents"/>
              <w:bidi w:val="0"/>
              <w:spacing w:before="0" w:after="283"/>
              <w:jc w:val="left"/>
              <w:rPr/>
            </w:pPr>
            <w:r>
              <w:rPr/>
              <w:t> </w:t>
            </w:r>
          </w:p>
        </w:tc>
        <w:tc>
          <w:tcPr>
            <w:tcW w:w="1149" w:type="dxa"/>
            <w:tcBorders>
              <w:bottom w:val="single" w:sz="6" w:space="0" w:color="2393FF"/>
            </w:tcBorders>
            <w:tcMar>
              <w:bottom w:w="120" w:type="dxa"/>
            </w:tcMar>
            <w:vAlign w:val="center"/>
          </w:tcPr>
          <w:p>
            <w:pPr>
              <w:pStyle w:val="TableContents"/>
              <w:bidi w:val="0"/>
              <w:spacing w:before="0" w:after="283"/>
              <w:jc w:val="right"/>
              <w:rPr/>
            </w:pPr>
            <w:r>
              <w:rPr/>
              <w:t>325,000</w:t>
            </w:r>
          </w:p>
        </w:tc>
        <w:tc>
          <w:tcPr>
            <w:tcW w:w="75" w:type="dxa"/>
            <w:tcBorders>
              <w:bottom w:val="single" w:sz="6" w:space="0" w:color="2393FF"/>
            </w:tcBorders>
            <w:tcMar>
              <w:bottom w:w="12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ANNUAL CASH INCENTIVE BONUS COMPENSATION </w:t>
      </w:r>
    </w:p>
    <w:p>
      <w:pPr>
        <w:pStyle w:val="TextBody"/>
        <w:bidi w:val="0"/>
        <w:spacing w:before="240" w:after="0"/>
        <w:jc w:val="left"/>
        <w:rPr>
          <w:rFonts w:ascii="ARIAL" w:hAnsi="ARIAL"/>
          <w:sz w:val="18"/>
        </w:rPr>
      </w:pPr>
      <w:r>
        <w:rPr>
          <w:rFonts w:ascii="ARIAL" w:hAnsi="ARIAL"/>
          <w:sz w:val="18"/>
        </w:rPr>
        <w:t xml:space="preserve">Our annual cash incentive bonus compensation program promotes our pay for performance philosophy by providing all executives and other management-level corporate employees with direct financial incentives in the form of annual cash awards for achievement of certain corporate financial goals established and approved by our People &amp; Compensation Committee at the start of the year. If we achieve results that are below threshold levels, these NEOs receive no cash incentive bonus, while results that are above threshold levels result in a cash incentive bonus payout based on a pre-determined scale, subject to a maximum amount of 150% in Fiscal 2024. Pursuant to his transition agreement with us, Mr. Ellis was not eligible to participate in our 2024 cash incentive bonus program. </w:t>
      </w:r>
    </w:p>
    <w:p>
      <w:pPr>
        <w:pStyle w:val="TextBody"/>
        <w:bidi w:val="0"/>
        <w:spacing w:before="240" w:after="0"/>
        <w:jc w:val="left"/>
        <w:rPr>
          <w:rFonts w:ascii="ARIAL" w:hAnsi="ARIAL"/>
          <w:sz w:val="18"/>
        </w:rPr>
      </w:pPr>
      <w:r>
        <w:rPr>
          <w:rFonts w:ascii="ARIAL" w:hAnsi="ARIAL"/>
          <w:sz w:val="18"/>
          <w:u w:val="single"/>
        </w:rPr>
        <w:t>Target Bonus Opportunities</w:t>
      </w:r>
      <w:r>
        <w:rPr>
          <w:rFonts w:ascii="ARIAL" w:hAnsi="ARIAL"/>
          <w:sz w:val="18"/>
        </w:rPr>
        <w:t xml:space="preserve"> </w:t>
      </w:r>
    </w:p>
    <w:p>
      <w:pPr>
        <w:pStyle w:val="TextBody"/>
        <w:bidi w:val="0"/>
        <w:spacing w:before="0" w:after="0"/>
        <w:jc w:val="left"/>
        <w:rPr>
          <w:rFonts w:ascii="ARIAL" w:hAnsi="ARIAL"/>
          <w:sz w:val="18"/>
        </w:rPr>
      </w:pPr>
      <w:r>
        <w:rPr>
          <w:rFonts w:ascii="ARIAL" w:hAnsi="ARIAL"/>
          <w:sz w:val="18"/>
        </w:rPr>
        <w:t xml:space="preserve">Our People &amp; Compensation Committee sets each NEO’s individual target cash incentive amount based on each NEO’s employment agreement provisions, our Chief Executive Officer’s recommendation (except for his own target), internal pay fairness, our People &amp; Compensation Committee’s general understanding of current competitive pay practices and other factors it deems appropriate. After evaluating the competitive positioning of our NEOs’ total target cash compensation in the context of our overall compensation philosophy, in February 2024, our People &amp; Compensation Committee determined not to adjust the target cash bonus amounts for any of the then serving eligible NEOs. Pursuant to his employment agreement, Mr. Pitigoi’s target bonus for 2024 was set at $300,000. As a result, the Fiscal 2024 target bonus opportunities for our NEOs (other than Mr. Ellis) were: </w:t>
      </w:r>
    </w:p>
    <w:p>
      <w:pPr>
        <w:pStyle w:val="TextBody"/>
        <w:bidi w:val="0"/>
        <w:spacing w:before="0" w:after="0"/>
        <w:jc w:val="left"/>
        <w:rPr/>
      </w:pPr>
      <w:r>
        <w:rPr/>
        <w:t> </w:t>
      </w:r>
    </w:p>
    <w:tbl>
      <w:tblPr>
        <w:tblW w:w="3780" w:type="dxa"/>
        <w:jc w:val="left"/>
        <w:tblInd w:w="0" w:type="dxa"/>
        <w:tblLayout w:type="fixed"/>
        <w:tblCellMar>
          <w:top w:w="0" w:type="dxa"/>
          <w:left w:w="0" w:type="dxa"/>
          <w:bottom w:w="0" w:type="dxa"/>
          <w:right w:w="0" w:type="dxa"/>
        </w:tblCellMar>
      </w:tblPr>
      <w:tblGrid>
        <w:gridCol w:w="1340"/>
        <w:gridCol w:w="120"/>
        <w:gridCol w:w="136"/>
        <w:gridCol w:w="1819"/>
        <w:gridCol w:w="36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r>
              <w:rPr>
                <w:b/>
              </w:rPr>
              <w:t>NAME</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right"/>
              <w:rPr>
                <w:rFonts w:ascii="ARIAL" w:hAnsi="ARIAL"/>
                <w:b/>
                <w:sz w:val="14"/>
              </w:rPr>
            </w:pPr>
            <w:r>
              <w:rPr>
                <w:rFonts w:ascii="ARIAL" w:hAnsi="ARIAL"/>
                <w:b/>
                <w:sz w:val="14"/>
              </w:rPr>
              <w:t>FISCAL 2024 TARGET BONUS </w:t>
            </w:r>
          </w:p>
          <w:p>
            <w:pPr>
              <w:pStyle w:val="TableContents"/>
              <w:bidi w:val="0"/>
              <w:spacing w:before="0" w:after="0"/>
              <w:jc w:val="right"/>
              <w:rPr>
                <w:rFonts w:ascii="ARIAL" w:hAnsi="ARIAL"/>
                <w:b/>
                <w:sz w:val="14"/>
              </w:rPr>
            </w:pPr>
            <w:r>
              <w:rPr>
                <w:rFonts w:ascii="ARIAL" w:hAnsi="ARIAL"/>
                <w:b/>
                <w:sz w:val="14"/>
              </w:rPr>
              <w:t xml:space="preserve">OPPORTUNITY </w:t>
            </w:r>
          </w:p>
          <w:p>
            <w:pPr>
              <w:pStyle w:val="TableContents"/>
              <w:bidi w:val="0"/>
              <w:spacing w:before="0" w:after="20"/>
              <w:jc w:val="right"/>
              <w:rPr>
                <w:rFonts w:ascii="ARIAL" w:hAnsi="ARIAL"/>
                <w:b/>
                <w:sz w:val="14"/>
              </w:rPr>
            </w:pPr>
            <w:r>
              <w:rPr>
                <w:rFonts w:ascii="ARIAL" w:hAnsi="ARIAL"/>
                <w:b/>
                <w:sz w:val="14"/>
              </w:rPr>
              <w:t xml:space="preserve">($) </w:t>
            </w:r>
          </w:p>
        </w:tc>
        <w:tc>
          <w:tcPr>
            <w:tcW w:w="36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2440"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Michael Massaro</w:t>
            </w:r>
          </w:p>
        </w:tc>
        <w:tc>
          <w:tcPr>
            <w:tcW w:w="120" w:type="dxa"/>
            <w:tcBorders/>
            <w:shd w:fill="E8F4FF" w:val="clear"/>
            <w:vAlign w:val="center"/>
          </w:tcPr>
          <w:p>
            <w:pPr>
              <w:pStyle w:val="TableContents"/>
              <w:bidi w:val="0"/>
              <w:spacing w:before="0" w:after="283"/>
              <w:jc w:val="left"/>
              <w:rPr/>
            </w:pPr>
            <w:r>
              <w:rPr/>
              <w:t>  </w:t>
            </w:r>
          </w:p>
        </w:tc>
        <w:tc>
          <w:tcPr>
            <w:tcW w:w="136" w:type="dxa"/>
            <w:tcBorders/>
            <w:shd w:fill="E8F4FF" w:val="clear"/>
            <w:vAlign w:val="center"/>
          </w:tcPr>
          <w:p>
            <w:pPr>
              <w:pStyle w:val="TableContents"/>
              <w:bidi w:val="0"/>
              <w:spacing w:before="0" w:after="283"/>
              <w:jc w:val="left"/>
              <w:rPr/>
            </w:pPr>
            <w:r>
              <w:rPr/>
              <w:t> </w:t>
            </w:r>
          </w:p>
        </w:tc>
        <w:tc>
          <w:tcPr>
            <w:tcW w:w="1819" w:type="dxa"/>
            <w:tcBorders/>
            <w:shd w:fill="E8F4FF" w:val="clear"/>
            <w:vAlign w:val="center"/>
          </w:tcPr>
          <w:p>
            <w:pPr>
              <w:pStyle w:val="TableContents"/>
              <w:bidi w:val="0"/>
              <w:spacing w:before="0" w:after="283"/>
              <w:jc w:val="right"/>
              <w:rPr/>
            </w:pPr>
            <w:r>
              <w:rPr/>
              <w:t>450,000</w:t>
            </w:r>
          </w:p>
        </w:tc>
        <w:tc>
          <w:tcPr>
            <w:tcW w:w="365" w:type="dxa"/>
            <w:tcBorders/>
            <w:shd w:fill="E8F4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244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Robert Orgel</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225,000</w:t>
            </w:r>
          </w:p>
        </w:tc>
        <w:tc>
          <w:tcPr>
            <w:tcW w:w="36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2440"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Cosmin Pitigoi</w:t>
            </w:r>
          </w:p>
        </w:tc>
        <w:tc>
          <w:tcPr>
            <w:tcW w:w="120" w:type="dxa"/>
            <w:tcBorders/>
            <w:shd w:fill="E8F4FF" w:val="clear"/>
            <w:vAlign w:val="center"/>
          </w:tcPr>
          <w:p>
            <w:pPr>
              <w:pStyle w:val="TableContents"/>
              <w:bidi w:val="0"/>
              <w:spacing w:before="0" w:after="283"/>
              <w:jc w:val="left"/>
              <w:rPr/>
            </w:pPr>
            <w:r>
              <w:rPr/>
              <w:t>  </w:t>
            </w:r>
          </w:p>
        </w:tc>
        <w:tc>
          <w:tcPr>
            <w:tcW w:w="136" w:type="dxa"/>
            <w:tcBorders/>
            <w:shd w:fill="E8F4FF" w:val="clear"/>
            <w:vAlign w:val="center"/>
          </w:tcPr>
          <w:p>
            <w:pPr>
              <w:pStyle w:val="TableContents"/>
              <w:bidi w:val="0"/>
              <w:spacing w:before="0" w:after="283"/>
              <w:jc w:val="left"/>
              <w:rPr/>
            </w:pPr>
            <w:r>
              <w:rPr/>
              <w:t> </w:t>
            </w:r>
          </w:p>
        </w:tc>
        <w:tc>
          <w:tcPr>
            <w:tcW w:w="1819" w:type="dxa"/>
            <w:tcBorders/>
            <w:shd w:fill="E8F4FF" w:val="clear"/>
            <w:vAlign w:val="center"/>
          </w:tcPr>
          <w:p>
            <w:pPr>
              <w:pStyle w:val="TableContents"/>
              <w:bidi w:val="0"/>
              <w:spacing w:before="0" w:after="283"/>
              <w:jc w:val="right"/>
              <w:rPr/>
            </w:pPr>
            <w:r>
              <w:rPr/>
              <w:t>300,000</w:t>
            </w:r>
          </w:p>
        </w:tc>
        <w:tc>
          <w:tcPr>
            <w:tcW w:w="365" w:type="dxa"/>
            <w:tcBorders/>
            <w:shd w:fill="E8F4FF" w:val="clear"/>
            <w:vAlign w:val="center"/>
          </w:tcPr>
          <w:p>
            <w:pPr>
              <w:pStyle w:val="TableContents"/>
              <w:bidi w:val="0"/>
              <w:spacing w:before="0" w:after="283"/>
              <w:jc w:val="left"/>
              <w:rPr/>
            </w:pPr>
            <w:r>
              <w:rPr/>
              <w:t>(1) </w:t>
            </w:r>
          </w:p>
        </w:tc>
      </w:tr>
      <w:tr>
        <w:trPr/>
        <w:tc>
          <w:tcPr>
            <w:tcW w:w="1340" w:type="dxa"/>
            <w:tcBorders/>
            <w:vAlign w:val="center"/>
          </w:tcPr>
          <w:p>
            <w:pPr>
              <w:pStyle w:val="TableContents"/>
              <w:bidi w:val="0"/>
              <w:spacing w:before="0" w:after="283"/>
              <w:jc w:val="left"/>
              <w:rPr/>
            </w:pPr>
            <w:r>
              <w:rPr/>
              <w:t> </w:t>
            </w:r>
          </w:p>
        </w:tc>
        <w:tc>
          <w:tcPr>
            <w:tcW w:w="2440" w:type="dxa"/>
            <w:gridSpan w:val="4"/>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Peter Butterfield</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150,000</w:t>
            </w:r>
          </w:p>
        </w:tc>
        <w:tc>
          <w:tcPr>
            <w:tcW w:w="36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2440"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bottom w:val="single" w:sz="8" w:space="0" w:color="2393FF"/>
            </w:tcBorders>
            <w:shd w:fill="E8F4FF" w:val="clear"/>
            <w:tcMar>
              <w:bottom w:w="120" w:type="dxa"/>
            </w:tcMar>
            <w:vAlign w:val="center"/>
          </w:tcPr>
          <w:p>
            <w:pPr>
              <w:pStyle w:val="TableContents"/>
              <w:bidi w:val="0"/>
              <w:spacing w:before="0" w:after="0"/>
              <w:jc w:val="left"/>
              <w:rPr>
                <w:rFonts w:ascii="ARIAL" w:hAnsi="ARIAL"/>
                <w:b/>
                <w:color w:val="2393FF"/>
                <w:sz w:val="16"/>
              </w:rPr>
            </w:pPr>
            <w:r>
              <w:rPr>
                <w:rFonts w:ascii="ARIAL" w:hAnsi="ARIAL"/>
                <w:b/>
                <w:color w:val="2393FF"/>
                <w:sz w:val="16"/>
              </w:rPr>
              <w:t>David King</w:t>
            </w:r>
          </w:p>
        </w:tc>
        <w:tc>
          <w:tcPr>
            <w:tcW w:w="12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136"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1819" w:type="dxa"/>
            <w:tcBorders>
              <w:bottom w:val="single" w:sz="8" w:space="0" w:color="2393FF"/>
            </w:tcBorders>
            <w:shd w:fill="E8F4FF" w:val="clear"/>
            <w:tcMar>
              <w:bottom w:w="120" w:type="dxa"/>
            </w:tcMar>
            <w:vAlign w:val="center"/>
          </w:tcPr>
          <w:p>
            <w:pPr>
              <w:pStyle w:val="TableContents"/>
              <w:bidi w:val="0"/>
              <w:spacing w:before="0" w:after="283"/>
              <w:jc w:val="right"/>
              <w:rPr/>
            </w:pPr>
            <w:r>
              <w:rPr/>
              <w:t>150,000</w:t>
            </w:r>
          </w:p>
        </w:tc>
        <w:tc>
          <w:tcPr>
            <w:tcW w:w="365"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305"/>
        <w:gridCol w:w="3635"/>
      </w:tblGrid>
      <w:tr>
        <w:trPr/>
        <w:tc>
          <w:tcPr>
            <w:tcW w:w="305" w:type="dxa"/>
            <w:tcBorders/>
            <w:vAlign w:val="center"/>
          </w:tcPr>
          <w:p>
            <w:pPr>
              <w:pStyle w:val="TableContents"/>
              <w:bidi w:val="0"/>
              <w:spacing w:before="0" w:after="283"/>
              <w:jc w:val="left"/>
              <w:rPr>
                <w:color w:val="333333"/>
              </w:rPr>
            </w:pPr>
            <w:r>
              <w:rPr>
                <w:color w:val="333333"/>
              </w:rPr>
              <w:t>(1)</w:t>
            </w:r>
          </w:p>
        </w:tc>
        <w:tc>
          <w:tcPr>
            <w:tcW w:w="363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$249,041 after proration based on Mr. Pitigoi’s start date. </w:t>
            </w:r>
          </w:p>
        </w:tc>
      </w:tr>
    </w:tbl>
    <w:p>
      <w:pPr>
        <w:pStyle w:val="TextBody"/>
        <w:bidi w:val="0"/>
        <w:spacing w:before="240" w:after="0"/>
        <w:jc w:val="left"/>
        <w:rPr>
          <w:rFonts w:ascii="ARIAL" w:hAnsi="ARIAL"/>
          <w:sz w:val="18"/>
        </w:rPr>
      </w:pPr>
      <w:r>
        <w:rPr>
          <w:rFonts w:ascii="ARIAL" w:hAnsi="ARIAL"/>
          <w:sz w:val="18"/>
        </w:rPr>
        <w:t xml:space="preserve">In addition, our People &amp; Compensation Committee determined that for Fiscal 2024 each NEO’s cash incentive bonus would be based solely on 2024 corporate objectives. </w:t>
      </w:r>
    </w:p>
    <w:p>
      <w:pPr>
        <w:pStyle w:val="TextBody"/>
        <w:bidi w:val="0"/>
        <w:spacing w:before="240" w:after="0"/>
        <w:jc w:val="left"/>
        <w:rPr>
          <w:rFonts w:ascii="ARIAL" w:hAnsi="ARIAL"/>
          <w:sz w:val="18"/>
        </w:rPr>
      </w:pPr>
      <w:r>
        <w:rPr>
          <w:rFonts w:ascii="ARIAL" w:hAnsi="ARIAL"/>
          <w:sz w:val="18"/>
          <w:u w:val="single"/>
        </w:rPr>
        <w:t>2024 Corporate Objectives</w:t>
      </w:r>
      <w:r>
        <w:rPr>
          <w:rFonts w:ascii="ARIAL" w:hAnsi="ARIAL"/>
          <w:sz w:val="18"/>
        </w:rPr>
        <w:t xml:space="preserve"> </w:t>
      </w:r>
    </w:p>
    <w:p>
      <w:pPr>
        <w:pStyle w:val="TextBody"/>
        <w:bidi w:val="0"/>
        <w:spacing w:before="0" w:after="0"/>
        <w:jc w:val="left"/>
        <w:rPr>
          <w:rFonts w:ascii="ARIAL" w:hAnsi="ARIAL"/>
          <w:sz w:val="18"/>
        </w:rPr>
      </w:pPr>
      <w:r>
        <w:rPr>
          <w:rFonts w:ascii="ARIAL" w:hAnsi="ARIAL"/>
          <w:sz w:val="18"/>
        </w:rPr>
        <w:t xml:space="preserve">Our People &amp; Compensation Committee established (i) Revenue Less Ancillary Services and (ii) Adjusted EBITDA as the corporate components of our 2024 cash incentive bonus program, with each of the components weighted as set forth below. We utilize these non-GAAP financial measures internally in analyzing our financial results and evaluating our ongoing operational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  31  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performance. These metrics were also selected because they are two of the key performance metrics stockholders use in evaluating Flywire. Revenue Less Ancillary Services represents our consolidated revenue in accordance with GAAP, less (x) pass-through cost for printing and mailing services and (y) marketing fees. Adjusted EBITDA represents EBITDA further adjusted by excluding (i) stock-based compensation expense and related payroll taxes, (ii) the impact from the change in fair value measurement for contingent consideration associated with acquisitions, (iii) gain (loss) from the remeasurement of foreign currency, (iv) indirect taxes related to intercompany activity, (v) acquisition related transaction costs, and (vi) employee retention costs, such as incentive compensation, associated with acquisition activities. Our People &amp; Compensation Committee has discretion to modify performance results that reflect significant transactions (such as acquisitions, divestitures, or newly-formed joint ventures) or other unusual items (such as changes in accounting rules or other regulations) if such events were not anticipated at the time performance targets were initially established. </w:t>
      </w:r>
    </w:p>
    <w:p>
      <w:pPr>
        <w:pStyle w:val="TextBody"/>
        <w:bidi w:val="0"/>
        <w:spacing w:before="240" w:after="0"/>
        <w:jc w:val="left"/>
        <w:rPr>
          <w:rFonts w:ascii="ARIAL" w:hAnsi="ARIAL"/>
          <w:sz w:val="18"/>
        </w:rPr>
      </w:pPr>
      <w:r>
        <w:rPr>
          <w:rFonts w:ascii="ARIAL" w:hAnsi="ARIAL"/>
          <w:sz w:val="18"/>
        </w:rPr>
        <w:t xml:space="preserve">Each of the components was assigned a threshold level, which is the minimum achievement level that must be satisfied to receive a portion of the applicable bonus amounts, and a maximum level, which, if achieved or exceeded, would result in our NEOs receiving up to 150% of the target amount attributed to that component. The percentage payout for each of the financial components was determined using linear interpolation between the points shown in the table below. </w:t>
      </w:r>
    </w:p>
    <w:p>
      <w:pPr>
        <w:pStyle w:val="TextBody"/>
        <w:bidi w:val="0"/>
        <w:spacing w:before="240" w:after="0"/>
        <w:jc w:val="left"/>
        <w:rPr>
          <w:rFonts w:ascii="ARIAL" w:hAnsi="ARIAL"/>
          <w:sz w:val="18"/>
        </w:rPr>
      </w:pPr>
      <w:r>
        <w:rPr>
          <w:rFonts w:ascii="ARIAL" w:hAnsi="ARIAL"/>
          <w:sz w:val="18"/>
        </w:rPr>
        <w:t xml:space="preserve">The corporate components of the 2024 cash incentive bonus program are set forth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25"/>
        <w:gridCol w:w="120"/>
        <w:gridCol w:w="1490"/>
        <w:gridCol w:w="60"/>
        <w:gridCol w:w="169"/>
        <w:gridCol w:w="1475"/>
        <w:gridCol w:w="60"/>
        <w:gridCol w:w="120"/>
        <w:gridCol w:w="158"/>
        <w:gridCol w:w="1384"/>
        <w:gridCol w:w="60"/>
        <w:gridCol w:w="120"/>
        <w:gridCol w:w="163"/>
        <w:gridCol w:w="1423"/>
        <w:gridCol w:w="78"/>
      </w:tblGrid>
      <w:tr>
        <w:trPr/>
        <w:tc>
          <w:tcPr>
            <w:tcW w:w="3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3325" w:type="dxa"/>
            <w:tcBorders/>
            <w:vAlign w:val="center"/>
          </w:tcPr>
          <w:p>
            <w:pPr>
              <w:pStyle w:val="TableContents"/>
              <w:bidi w:val="0"/>
              <w:spacing w:before="0" w:after="283"/>
              <w:jc w:val="left"/>
              <w:rPr/>
            </w:pPr>
            <w:r>
              <w:rPr/>
              <w:t> </w:t>
            </w:r>
            <w:r>
              <w:rPr>
                <w:b/>
              </w:rPr>
              <w:t>CORPORATE COMPONENT</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b/>
              </w:rPr>
            </w:pPr>
            <w:r>
              <w:rPr>
                <w:b/>
              </w:rPr>
              <w:t>WEIGHTING</w:t>
            </w:r>
          </w:p>
        </w:tc>
        <w:tc>
          <w:tcPr>
            <w:tcW w:w="60" w:type="dxa"/>
            <w:tcBorders/>
            <w:vAlign w:val="center"/>
          </w:tcPr>
          <w:p>
            <w:pPr>
              <w:pStyle w:val="TableContents"/>
              <w:bidi w:val="0"/>
              <w:spacing w:before="0" w:after="283"/>
              <w:jc w:val="left"/>
              <w:rPr/>
            </w:pPr>
            <w:r>
              <w:rPr/>
              <w:t> </w:t>
            </w:r>
          </w:p>
        </w:tc>
        <w:tc>
          <w:tcPr>
            <w:tcW w:w="1644" w:type="dxa"/>
            <w:gridSpan w:val="2"/>
            <w:tcBorders/>
            <w:vAlign w:val="center"/>
          </w:tcPr>
          <w:p>
            <w:pPr>
              <w:pStyle w:val="TableContents"/>
              <w:bidi w:val="0"/>
              <w:spacing w:before="0" w:after="0"/>
              <w:jc w:val="right"/>
              <w:rPr/>
            </w:pPr>
            <w:r>
              <w:rPr/>
              <w:t>    </w:t>
            </w:r>
            <w:r>
              <w:rPr>
                <w:rFonts w:ascii="ARIAL" w:hAnsi="ARIAL"/>
                <w:b/>
                <w:sz w:val="14"/>
              </w:rPr>
              <w:t>THRESHOLD</w:t>
            </w:r>
          </w:p>
          <w:p>
            <w:pPr>
              <w:pStyle w:val="TableContents"/>
              <w:bidi w:val="0"/>
              <w:spacing w:before="0" w:after="20"/>
              <w:jc w:val="right"/>
              <w:rPr>
                <w:rFonts w:ascii="ARIAL" w:hAnsi="ARIAL"/>
                <w:b/>
                <w:sz w:val="14"/>
              </w:rPr>
            </w:pPr>
            <w:r>
              <w:rPr>
                <w:rFonts w:ascii="ARIAL" w:hAnsi="ARIAL"/>
                <w:b/>
                <w:sz w:val="14"/>
              </w:rPr>
              <w:t>50% PAYOUT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2" w:type="dxa"/>
            <w:gridSpan w:val="2"/>
            <w:tcBorders/>
            <w:vAlign w:val="center"/>
          </w:tcPr>
          <w:p>
            <w:pPr>
              <w:pStyle w:val="TableContents"/>
              <w:bidi w:val="0"/>
              <w:spacing w:before="0" w:after="0"/>
              <w:jc w:val="right"/>
              <w:rPr>
                <w:rFonts w:ascii="ARIAL" w:hAnsi="ARIAL"/>
                <w:b/>
                <w:sz w:val="14"/>
              </w:rPr>
            </w:pPr>
            <w:r>
              <w:rPr>
                <w:rFonts w:ascii="ARIAL" w:hAnsi="ARIAL"/>
                <w:b/>
                <w:sz w:val="14"/>
              </w:rPr>
              <w:t xml:space="preserve">TARGET </w:t>
            </w:r>
          </w:p>
          <w:p>
            <w:pPr>
              <w:pStyle w:val="TableContents"/>
              <w:bidi w:val="0"/>
              <w:spacing w:before="0" w:after="20"/>
              <w:jc w:val="right"/>
              <w:rPr/>
            </w:pPr>
            <w:r>
              <w:rPr/>
              <w:t>   </w:t>
            </w:r>
            <w:r>
              <w:rPr>
                <w:rFonts w:ascii="ARIAL" w:hAnsi="ARIAL"/>
                <w:b/>
                <w:sz w:val="14"/>
              </w:rPr>
              <w:t>100% PAYOUT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6" w:type="dxa"/>
            <w:gridSpan w:val="2"/>
            <w:tcBorders/>
            <w:vAlign w:val="center"/>
          </w:tcPr>
          <w:p>
            <w:pPr>
              <w:pStyle w:val="TableContents"/>
              <w:bidi w:val="0"/>
              <w:spacing w:before="0" w:after="0"/>
              <w:jc w:val="right"/>
              <w:rPr>
                <w:rFonts w:ascii="ARIAL" w:hAnsi="ARIAL"/>
                <w:b/>
                <w:sz w:val="14"/>
              </w:rPr>
            </w:pPr>
            <w:r>
              <w:rPr>
                <w:rFonts w:ascii="ARIAL" w:hAnsi="ARIAL"/>
                <w:b/>
                <w:sz w:val="14"/>
              </w:rPr>
              <w:t>MAXIMUM</w:t>
            </w:r>
          </w:p>
          <w:p>
            <w:pPr>
              <w:pStyle w:val="TableContents"/>
              <w:bidi w:val="0"/>
              <w:spacing w:before="0" w:after="20"/>
              <w:jc w:val="right"/>
              <w:rPr/>
            </w:pPr>
            <w:r>
              <w:rPr/>
              <w:t>   </w:t>
            </w:r>
            <w:r>
              <w:rPr>
                <w:rFonts w:ascii="ARIAL" w:hAnsi="ARIAL"/>
                <w:b/>
                <w:sz w:val="14"/>
              </w:rPr>
              <w:t>150% PAYOUT </w:t>
            </w:r>
          </w:p>
        </w:tc>
        <w:tc>
          <w:tcPr>
            <w:tcW w:w="78" w:type="dxa"/>
            <w:tcBorders/>
            <w:vAlign w:val="center"/>
          </w:tcPr>
          <w:p>
            <w:pPr>
              <w:pStyle w:val="TableContents"/>
              <w:bidi w:val="0"/>
              <w:spacing w:before="0" w:after="283"/>
              <w:jc w:val="left"/>
              <w:rPr/>
            </w:pPr>
            <w:r>
              <w:rPr/>
              <w:t> </w:t>
            </w:r>
          </w:p>
        </w:tc>
      </w:tr>
      <w:tr>
        <w:trPr/>
        <w:tc>
          <w:tcPr>
            <w:tcW w:w="3325" w:type="dxa"/>
            <w:tcBorders/>
            <w:shd w:fill="E8F4FF" w:val="clear"/>
            <w:vAlign w:val="center"/>
          </w:tcPr>
          <w:p>
            <w:pPr>
              <w:pStyle w:val="TableContents"/>
              <w:bidi w:val="0"/>
              <w:spacing w:before="0" w:after="283"/>
              <w:jc w:val="left"/>
              <w:rPr>
                <w:sz w:val="4"/>
                <w:szCs w:val="4"/>
              </w:rPr>
            </w:pPr>
            <w:r>
              <w:rPr>
                <w:sz w:val="4"/>
                <w:szCs w:val="4"/>
              </w:rPr>
            </w:r>
          </w:p>
        </w:tc>
        <w:tc>
          <w:tcPr>
            <w:tcW w:w="1610" w:type="dxa"/>
            <w:gridSpan w:val="2"/>
            <w:tcBorders/>
            <w:shd w:fill="E8F4FF" w:val="clear"/>
            <w:vAlign w:val="center"/>
          </w:tcPr>
          <w:p>
            <w:pPr>
              <w:pStyle w:val="TableContents"/>
              <w:bidi w:val="0"/>
              <w:spacing w:before="0" w:after="283"/>
              <w:jc w:val="left"/>
              <w:rPr>
                <w:sz w:val="4"/>
                <w:szCs w:val="4"/>
              </w:rPr>
            </w:pPr>
            <w:r>
              <w:rPr>
                <w:sz w:val="4"/>
                <w:szCs w:val="4"/>
              </w:rPr>
            </w:r>
          </w:p>
        </w:tc>
        <w:tc>
          <w:tcPr>
            <w:tcW w:w="1764" w:type="dxa"/>
            <w:gridSpan w:val="4"/>
            <w:tcBorders/>
            <w:shd w:fill="E8F4FF" w:val="clear"/>
            <w:vAlign w:val="center"/>
          </w:tcPr>
          <w:p>
            <w:pPr>
              <w:pStyle w:val="TableContents"/>
              <w:bidi w:val="0"/>
              <w:spacing w:before="0" w:after="283"/>
              <w:jc w:val="left"/>
              <w:rPr>
                <w:sz w:val="4"/>
                <w:szCs w:val="4"/>
              </w:rPr>
            </w:pPr>
            <w:r>
              <w:rPr>
                <w:sz w:val="4"/>
                <w:szCs w:val="4"/>
              </w:rPr>
            </w:r>
          </w:p>
        </w:tc>
        <w:tc>
          <w:tcPr>
            <w:tcW w:w="1722" w:type="dxa"/>
            <w:gridSpan w:val="4"/>
            <w:tcBorders/>
            <w:shd w:fill="E8F4FF" w:val="clear"/>
            <w:vAlign w:val="center"/>
          </w:tcPr>
          <w:p>
            <w:pPr>
              <w:pStyle w:val="TableContents"/>
              <w:bidi w:val="0"/>
              <w:spacing w:before="0" w:after="283"/>
              <w:jc w:val="left"/>
              <w:rPr>
                <w:sz w:val="4"/>
                <w:szCs w:val="4"/>
              </w:rPr>
            </w:pPr>
            <w:r>
              <w:rPr>
                <w:sz w:val="4"/>
                <w:szCs w:val="4"/>
              </w:rPr>
            </w:r>
          </w:p>
        </w:tc>
        <w:tc>
          <w:tcPr>
            <w:tcW w:w="1784"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3325" w:type="dxa"/>
            <w:tcBorders/>
            <w:shd w:fill="E8F4FF" w:val="clear"/>
            <w:vAlign w:val="center"/>
          </w:tcPr>
          <w:p>
            <w:pPr>
              <w:pStyle w:val="TableContents"/>
              <w:bidi w:val="0"/>
              <w:spacing w:before="0" w:after="0"/>
              <w:jc w:val="left"/>
              <w:rPr>
                <w:rFonts w:ascii="ARIAL" w:hAnsi="ARIAL"/>
                <w:color w:val="2393FF"/>
                <w:sz w:val="16"/>
              </w:rPr>
            </w:pPr>
            <w:r>
              <w:rPr>
                <w:rFonts w:ascii="ARIAL" w:hAnsi="ARIAL"/>
                <w:color w:val="2393FF"/>
                <w:sz w:val="16"/>
              </w:rPr>
              <w:t>Revenue Less Ancillary Services</w:t>
            </w:r>
          </w:p>
        </w:tc>
        <w:tc>
          <w:tcPr>
            <w:tcW w:w="120" w:type="dxa"/>
            <w:tcBorders/>
            <w:shd w:fill="E8F4FF" w:val="clear"/>
            <w:vAlign w:val="center"/>
          </w:tcPr>
          <w:p>
            <w:pPr>
              <w:pStyle w:val="TableContents"/>
              <w:bidi w:val="0"/>
              <w:spacing w:before="0" w:after="283"/>
              <w:jc w:val="left"/>
              <w:rPr/>
            </w:pPr>
            <w:r>
              <w:rPr/>
              <w:t>  </w:t>
            </w:r>
          </w:p>
        </w:tc>
        <w:tc>
          <w:tcPr>
            <w:tcW w:w="1490" w:type="dxa"/>
            <w:tcBorders/>
            <w:shd w:fill="E8F4FF" w:val="clear"/>
            <w:vAlign w:val="center"/>
          </w:tcPr>
          <w:p>
            <w:pPr>
              <w:pStyle w:val="TableContents"/>
              <w:bidi w:val="0"/>
              <w:spacing w:before="0" w:after="283"/>
              <w:jc w:val="center"/>
              <w:rPr/>
            </w:pPr>
            <w:r>
              <w:rPr/>
              <w:t>50%</w:t>
            </w:r>
          </w:p>
        </w:tc>
        <w:tc>
          <w:tcPr>
            <w:tcW w:w="60" w:type="dxa"/>
            <w:tcBorders/>
            <w:shd w:fill="E8F4FF" w:val="clear"/>
            <w:vAlign w:val="center"/>
          </w:tcPr>
          <w:p>
            <w:pPr>
              <w:pStyle w:val="TableContents"/>
              <w:bidi w:val="0"/>
              <w:spacing w:before="0" w:after="283"/>
              <w:jc w:val="left"/>
              <w:rPr/>
            </w:pPr>
            <w:r>
              <w:rPr/>
              <w:t> </w:t>
            </w:r>
          </w:p>
        </w:tc>
        <w:tc>
          <w:tcPr>
            <w:tcW w:w="169" w:type="dxa"/>
            <w:tcBorders/>
            <w:shd w:fill="E8F4FF" w:val="clear"/>
            <w:vAlign w:val="center"/>
          </w:tcPr>
          <w:p>
            <w:pPr>
              <w:pStyle w:val="TableContents"/>
              <w:bidi w:val="0"/>
              <w:spacing w:before="0" w:after="283"/>
              <w:jc w:val="left"/>
              <w:rPr/>
            </w:pPr>
            <w:r>
              <w:rPr/>
              <w:t>$</w:t>
            </w:r>
          </w:p>
        </w:tc>
        <w:tc>
          <w:tcPr>
            <w:tcW w:w="1475" w:type="dxa"/>
            <w:tcBorders/>
            <w:shd w:fill="E8F4FF" w:val="clear"/>
            <w:vAlign w:val="center"/>
          </w:tcPr>
          <w:p>
            <w:pPr>
              <w:pStyle w:val="TableContents"/>
              <w:bidi w:val="0"/>
              <w:spacing w:before="0" w:after="283"/>
              <w:jc w:val="right"/>
              <w:rPr/>
            </w:pPr>
            <w:r>
              <w:rPr/>
              <w:t>496,000,000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58" w:type="dxa"/>
            <w:tcBorders/>
            <w:shd w:fill="E8F4FF" w:val="clear"/>
            <w:vAlign w:val="center"/>
          </w:tcPr>
          <w:p>
            <w:pPr>
              <w:pStyle w:val="TableContents"/>
              <w:bidi w:val="0"/>
              <w:spacing w:before="0" w:after="283"/>
              <w:jc w:val="left"/>
              <w:rPr/>
            </w:pPr>
            <w:r>
              <w:rPr/>
              <w:t>$</w:t>
            </w:r>
          </w:p>
        </w:tc>
        <w:tc>
          <w:tcPr>
            <w:tcW w:w="1384" w:type="dxa"/>
            <w:tcBorders/>
            <w:shd w:fill="E8F4FF" w:val="clear"/>
            <w:vAlign w:val="center"/>
          </w:tcPr>
          <w:p>
            <w:pPr>
              <w:pStyle w:val="TableContents"/>
              <w:bidi w:val="0"/>
              <w:spacing w:before="0" w:after="283"/>
              <w:jc w:val="right"/>
              <w:rPr/>
            </w:pPr>
            <w:r>
              <w:rPr/>
              <w:t>519,000,000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63" w:type="dxa"/>
            <w:tcBorders/>
            <w:shd w:fill="E8F4FF" w:val="clear"/>
            <w:vAlign w:val="center"/>
          </w:tcPr>
          <w:p>
            <w:pPr>
              <w:pStyle w:val="TableContents"/>
              <w:bidi w:val="0"/>
              <w:spacing w:before="0" w:after="283"/>
              <w:jc w:val="left"/>
              <w:rPr/>
            </w:pPr>
            <w:r>
              <w:rPr/>
              <w:t>$</w:t>
            </w:r>
          </w:p>
        </w:tc>
        <w:tc>
          <w:tcPr>
            <w:tcW w:w="1423" w:type="dxa"/>
            <w:tcBorders/>
            <w:shd w:fill="E8F4FF" w:val="clear"/>
            <w:vAlign w:val="center"/>
          </w:tcPr>
          <w:p>
            <w:pPr>
              <w:pStyle w:val="TableContents"/>
              <w:bidi w:val="0"/>
              <w:spacing w:before="0" w:after="283"/>
              <w:jc w:val="right"/>
              <w:rPr/>
            </w:pPr>
            <w:r>
              <w:rPr/>
              <w:t>545,000,000</w:t>
            </w:r>
          </w:p>
        </w:tc>
        <w:tc>
          <w:tcPr>
            <w:tcW w:w="78" w:type="dxa"/>
            <w:tcBorders/>
            <w:shd w:fill="E8F4FF" w:val="clear"/>
            <w:vAlign w:val="center"/>
          </w:tcPr>
          <w:p>
            <w:pPr>
              <w:pStyle w:val="TableContents"/>
              <w:bidi w:val="0"/>
              <w:spacing w:before="0" w:after="283"/>
              <w:jc w:val="left"/>
              <w:rPr/>
            </w:pPr>
            <w:r>
              <w:rPr/>
              <w:t> </w:t>
            </w:r>
          </w:p>
        </w:tc>
      </w:tr>
      <w:tr>
        <w:trPr/>
        <w:tc>
          <w:tcPr>
            <w:tcW w:w="3325"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722" w:type="dxa"/>
            <w:gridSpan w:val="4"/>
            <w:tcBorders/>
            <w:vAlign w:val="center"/>
          </w:tcPr>
          <w:p>
            <w:pPr>
              <w:pStyle w:val="TableContents"/>
              <w:bidi w:val="0"/>
              <w:spacing w:before="0" w:after="283"/>
              <w:jc w:val="left"/>
              <w:rPr>
                <w:sz w:val="4"/>
                <w:szCs w:val="4"/>
              </w:rPr>
            </w:pPr>
            <w:r>
              <w:rPr>
                <w:sz w:val="4"/>
                <w:szCs w:val="4"/>
              </w:rPr>
            </w:r>
          </w:p>
        </w:tc>
        <w:tc>
          <w:tcPr>
            <w:tcW w:w="1784" w:type="dxa"/>
            <w:gridSpan w:val="4"/>
            <w:tcBorders/>
            <w:vAlign w:val="center"/>
          </w:tcPr>
          <w:p>
            <w:pPr>
              <w:pStyle w:val="TableContents"/>
              <w:bidi w:val="0"/>
              <w:spacing w:before="0" w:after="283"/>
              <w:jc w:val="left"/>
              <w:rPr>
                <w:sz w:val="4"/>
                <w:szCs w:val="4"/>
              </w:rPr>
            </w:pPr>
            <w:r>
              <w:rPr>
                <w:sz w:val="4"/>
                <w:szCs w:val="4"/>
              </w:rPr>
            </w:r>
          </w:p>
        </w:tc>
      </w:tr>
      <w:tr>
        <w:trPr/>
        <w:tc>
          <w:tcPr>
            <w:tcW w:w="3325" w:type="dxa"/>
            <w:tcBorders>
              <w:bottom w:val="single" w:sz="8" w:space="0" w:color="2393FF"/>
            </w:tcBorders>
            <w:tcMar>
              <w:bottom w:w="120" w:type="dxa"/>
            </w:tcMar>
            <w:vAlign w:val="center"/>
          </w:tcPr>
          <w:p>
            <w:pPr>
              <w:pStyle w:val="TableContents"/>
              <w:bidi w:val="0"/>
              <w:spacing w:before="0" w:after="0"/>
              <w:jc w:val="left"/>
              <w:rPr>
                <w:rFonts w:ascii="ARIAL" w:hAnsi="ARIAL"/>
                <w:color w:val="2393FF"/>
                <w:sz w:val="16"/>
              </w:rPr>
            </w:pPr>
            <w:r>
              <w:rPr>
                <w:rFonts w:ascii="ARIAL" w:hAnsi="ARIAL"/>
                <w:color w:val="2393FF"/>
                <w:sz w:val="16"/>
              </w:rPr>
              <w:t>Adjusted EBITDA</w:t>
            </w:r>
          </w:p>
        </w:tc>
        <w:tc>
          <w:tcPr>
            <w:tcW w:w="120" w:type="dxa"/>
            <w:tcBorders>
              <w:bottom w:val="single" w:sz="8" w:space="0" w:color="2393FF"/>
            </w:tcBorders>
            <w:tcMar>
              <w:bottom w:w="28" w:type="dxa"/>
            </w:tcMar>
            <w:vAlign w:val="center"/>
          </w:tcPr>
          <w:p>
            <w:pPr>
              <w:pStyle w:val="TableContents"/>
              <w:bidi w:val="0"/>
              <w:spacing w:before="0" w:after="283"/>
              <w:jc w:val="left"/>
              <w:rPr/>
            </w:pPr>
            <w:r>
              <w:rPr/>
              <w:t>  </w:t>
            </w:r>
          </w:p>
        </w:tc>
        <w:tc>
          <w:tcPr>
            <w:tcW w:w="1490" w:type="dxa"/>
            <w:tcBorders>
              <w:bottom w:val="single" w:sz="8" w:space="0" w:color="2393FF"/>
            </w:tcBorders>
            <w:tcMar>
              <w:bottom w:w="120" w:type="dxa"/>
            </w:tcMar>
            <w:vAlign w:val="center"/>
          </w:tcPr>
          <w:p>
            <w:pPr>
              <w:pStyle w:val="TableContents"/>
              <w:bidi w:val="0"/>
              <w:spacing w:before="0" w:after="283"/>
              <w:jc w:val="center"/>
              <w:rPr/>
            </w:pPr>
            <w:r>
              <w:rPr/>
              <w:t>50%</w:t>
            </w:r>
          </w:p>
        </w:tc>
        <w:tc>
          <w:tcPr>
            <w:tcW w:w="60" w:type="dxa"/>
            <w:tcBorders>
              <w:bottom w:val="single" w:sz="8" w:space="0" w:color="2393FF"/>
            </w:tcBorders>
            <w:tcMar>
              <w:bottom w:w="28" w:type="dxa"/>
            </w:tcMar>
            <w:vAlign w:val="center"/>
          </w:tcPr>
          <w:p>
            <w:pPr>
              <w:pStyle w:val="TableContents"/>
              <w:bidi w:val="0"/>
              <w:spacing w:before="0" w:after="283"/>
              <w:jc w:val="left"/>
              <w:rPr/>
            </w:pPr>
            <w:r>
              <w:rPr/>
              <w:t> </w:t>
            </w:r>
          </w:p>
        </w:tc>
        <w:tc>
          <w:tcPr>
            <w:tcW w:w="169" w:type="dxa"/>
            <w:tcBorders>
              <w:bottom w:val="single" w:sz="8" w:space="0" w:color="2393FF"/>
            </w:tcBorders>
            <w:tcMar>
              <w:bottom w:w="120" w:type="dxa"/>
            </w:tcMar>
            <w:vAlign w:val="center"/>
          </w:tcPr>
          <w:p>
            <w:pPr>
              <w:pStyle w:val="TableContents"/>
              <w:bidi w:val="0"/>
              <w:spacing w:before="0" w:after="283"/>
              <w:jc w:val="left"/>
              <w:rPr/>
            </w:pPr>
            <w:r>
              <w:rPr/>
              <w:t>$</w:t>
            </w:r>
          </w:p>
        </w:tc>
        <w:tc>
          <w:tcPr>
            <w:tcW w:w="1475" w:type="dxa"/>
            <w:tcBorders>
              <w:bottom w:val="single" w:sz="8" w:space="0" w:color="2393FF"/>
            </w:tcBorders>
            <w:tcMar>
              <w:bottom w:w="120" w:type="dxa"/>
            </w:tcMar>
            <w:vAlign w:val="center"/>
          </w:tcPr>
          <w:p>
            <w:pPr>
              <w:pStyle w:val="TableContents"/>
              <w:bidi w:val="0"/>
              <w:spacing w:before="0" w:after="283"/>
              <w:jc w:val="right"/>
              <w:rPr/>
            </w:pPr>
            <w:r>
              <w:rPr/>
              <w:t>70,500,000</w:t>
            </w:r>
          </w:p>
        </w:tc>
        <w:tc>
          <w:tcPr>
            <w:tcW w:w="60" w:type="dxa"/>
            <w:tcBorders>
              <w:bottom w:val="single" w:sz="8" w:space="0" w:color="2393FF"/>
            </w:tcBorders>
            <w:tcMar>
              <w:bottom w:w="120" w:type="dxa"/>
            </w:tcMar>
            <w:vAlign w:val="center"/>
          </w:tcPr>
          <w:p>
            <w:pPr>
              <w:pStyle w:val="TableContents"/>
              <w:bidi w:val="0"/>
              <w:spacing w:before="0" w:after="283"/>
              <w:jc w:val="left"/>
              <w:rPr/>
            </w:pPr>
            <w:r>
              <w:rPr/>
              <w:t> </w:t>
            </w:r>
          </w:p>
        </w:tc>
        <w:tc>
          <w:tcPr>
            <w:tcW w:w="120" w:type="dxa"/>
            <w:tcBorders>
              <w:bottom w:val="single" w:sz="8" w:space="0" w:color="2393FF"/>
            </w:tcBorders>
            <w:tcMar>
              <w:bottom w:w="28" w:type="dxa"/>
            </w:tcMar>
            <w:vAlign w:val="center"/>
          </w:tcPr>
          <w:p>
            <w:pPr>
              <w:pStyle w:val="TableContents"/>
              <w:bidi w:val="0"/>
              <w:spacing w:before="0" w:after="283"/>
              <w:jc w:val="left"/>
              <w:rPr/>
            </w:pPr>
            <w:r>
              <w:rPr/>
              <w:t>  </w:t>
            </w:r>
          </w:p>
        </w:tc>
        <w:tc>
          <w:tcPr>
            <w:tcW w:w="158" w:type="dxa"/>
            <w:tcBorders>
              <w:bottom w:val="single" w:sz="8" w:space="0" w:color="2393FF"/>
            </w:tcBorders>
            <w:tcMar>
              <w:bottom w:w="120" w:type="dxa"/>
            </w:tcMar>
            <w:vAlign w:val="center"/>
          </w:tcPr>
          <w:p>
            <w:pPr>
              <w:pStyle w:val="TableContents"/>
              <w:bidi w:val="0"/>
              <w:spacing w:before="0" w:after="283"/>
              <w:jc w:val="left"/>
              <w:rPr/>
            </w:pPr>
            <w:r>
              <w:rPr/>
              <w:t>$</w:t>
            </w:r>
          </w:p>
        </w:tc>
        <w:tc>
          <w:tcPr>
            <w:tcW w:w="1384" w:type="dxa"/>
            <w:tcBorders>
              <w:bottom w:val="single" w:sz="8" w:space="0" w:color="2393FF"/>
            </w:tcBorders>
            <w:tcMar>
              <w:bottom w:w="120" w:type="dxa"/>
            </w:tcMar>
            <w:vAlign w:val="center"/>
          </w:tcPr>
          <w:p>
            <w:pPr>
              <w:pStyle w:val="TableContents"/>
              <w:bidi w:val="0"/>
              <w:spacing w:before="0" w:after="283"/>
              <w:jc w:val="right"/>
              <w:rPr/>
            </w:pPr>
            <w:r>
              <w:rPr/>
              <w:t>76,100,000</w:t>
            </w:r>
          </w:p>
        </w:tc>
        <w:tc>
          <w:tcPr>
            <w:tcW w:w="60" w:type="dxa"/>
            <w:tcBorders>
              <w:bottom w:val="single" w:sz="8" w:space="0" w:color="2393FF"/>
            </w:tcBorders>
            <w:tcMar>
              <w:bottom w:w="120" w:type="dxa"/>
            </w:tcMar>
            <w:vAlign w:val="center"/>
          </w:tcPr>
          <w:p>
            <w:pPr>
              <w:pStyle w:val="TableContents"/>
              <w:bidi w:val="0"/>
              <w:spacing w:before="0" w:after="283"/>
              <w:jc w:val="left"/>
              <w:rPr/>
            </w:pPr>
            <w:r>
              <w:rPr/>
              <w:t> </w:t>
            </w:r>
          </w:p>
        </w:tc>
        <w:tc>
          <w:tcPr>
            <w:tcW w:w="120" w:type="dxa"/>
            <w:tcBorders>
              <w:bottom w:val="single" w:sz="8" w:space="0" w:color="2393FF"/>
            </w:tcBorders>
            <w:tcMar>
              <w:bottom w:w="28" w:type="dxa"/>
            </w:tcMar>
            <w:vAlign w:val="center"/>
          </w:tcPr>
          <w:p>
            <w:pPr>
              <w:pStyle w:val="TableContents"/>
              <w:bidi w:val="0"/>
              <w:spacing w:before="0" w:after="283"/>
              <w:jc w:val="left"/>
              <w:rPr/>
            </w:pPr>
            <w:r>
              <w:rPr/>
              <w:t>  </w:t>
            </w:r>
          </w:p>
        </w:tc>
        <w:tc>
          <w:tcPr>
            <w:tcW w:w="163" w:type="dxa"/>
            <w:tcBorders>
              <w:bottom w:val="single" w:sz="8" w:space="0" w:color="2393FF"/>
            </w:tcBorders>
            <w:tcMar>
              <w:bottom w:w="120" w:type="dxa"/>
            </w:tcMar>
            <w:vAlign w:val="center"/>
          </w:tcPr>
          <w:p>
            <w:pPr>
              <w:pStyle w:val="TableContents"/>
              <w:bidi w:val="0"/>
              <w:spacing w:before="0" w:after="283"/>
              <w:jc w:val="left"/>
              <w:rPr/>
            </w:pPr>
            <w:r>
              <w:rPr/>
              <w:t>$</w:t>
            </w:r>
          </w:p>
        </w:tc>
        <w:tc>
          <w:tcPr>
            <w:tcW w:w="1423" w:type="dxa"/>
            <w:tcBorders>
              <w:bottom w:val="single" w:sz="8" w:space="0" w:color="2393FF"/>
            </w:tcBorders>
            <w:tcMar>
              <w:bottom w:w="120" w:type="dxa"/>
            </w:tcMar>
            <w:vAlign w:val="center"/>
          </w:tcPr>
          <w:p>
            <w:pPr>
              <w:pStyle w:val="TableContents"/>
              <w:bidi w:val="0"/>
              <w:spacing w:before="0" w:after="283"/>
              <w:jc w:val="right"/>
              <w:rPr/>
            </w:pPr>
            <w:r>
              <w:rPr/>
              <w:t>87,500,000</w:t>
            </w:r>
          </w:p>
        </w:tc>
        <w:tc>
          <w:tcPr>
            <w:tcW w:w="78" w:type="dxa"/>
            <w:tcBorders>
              <w:bottom w:val="single" w:sz="8" w:space="0" w:color="2393FF"/>
            </w:tcBorders>
            <w:tcMar>
              <w:bottom w:w="12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In Fiscal 2024, our Revenue Less Ancillary Services was $474.2 million, and our Adjusted EBITDA was $77.9 million. These amounts were calculated using the pre-determined adjustment factors previously adopted by the People &amp; Compensation Committee. Our Revenue Less Ancillary Services for the year ended December 31, 2024 was adjusted to $377.1 million based on pre-determined adjustments related to excluding revenue from the Invoiced acquisition and adjusting to remove foreign currency exchange rate fluctuations. Our People &amp; Compensation Committee did not make any discretionary adjustments to the calculation of our 2024 Adjusted EBITDA. Our NEOs received 0% payout for the Revenue Less Ancillary Services component and 107.5% for the Adjusted EBITDA component. </w:t>
      </w:r>
    </w:p>
    <w:p>
      <w:pPr>
        <w:pStyle w:val="TextBody"/>
        <w:bidi w:val="0"/>
        <w:spacing w:before="200" w:after="0"/>
        <w:jc w:val="left"/>
        <w:rPr>
          <w:rFonts w:ascii="ARIAL" w:hAnsi="ARIAL"/>
          <w:sz w:val="18"/>
        </w:rPr>
      </w:pPr>
      <w:r>
        <w:rPr>
          <w:rFonts w:ascii="ARIAL" w:hAnsi="ARIAL"/>
          <w:sz w:val="18"/>
          <w:u w:val="single"/>
        </w:rPr>
        <w:t>2024 Bonus Awarded</w:t>
      </w:r>
      <w:r>
        <w:rPr>
          <w:rFonts w:ascii="ARIAL" w:hAnsi="ARIAL"/>
          <w:sz w:val="18"/>
        </w:rPr>
        <w:t xml:space="preserve"> </w:t>
      </w:r>
    </w:p>
    <w:p>
      <w:pPr>
        <w:pStyle w:val="TextBody"/>
        <w:bidi w:val="0"/>
        <w:spacing w:before="40" w:after="0"/>
        <w:jc w:val="left"/>
        <w:rPr>
          <w:rFonts w:ascii="ARIAL" w:hAnsi="ARIAL"/>
          <w:sz w:val="18"/>
        </w:rPr>
      </w:pPr>
      <w:r>
        <w:rPr>
          <w:rFonts w:ascii="ARIAL" w:hAnsi="ARIAL"/>
          <w:sz w:val="18"/>
        </w:rPr>
        <w:t xml:space="preserve">The above calculations resulted in the following payout amounts under the 2024 cash incentive bonus program for each of our NEOs: </w:t>
      </w:r>
    </w:p>
    <w:p>
      <w:pPr>
        <w:pStyle w:val="TextBody"/>
        <w:bidi w:val="0"/>
        <w:spacing w:before="0" w:after="0"/>
        <w:jc w:val="left"/>
        <w:rPr/>
      </w:pPr>
      <w:r>
        <w:rPr/>
        <w:t> </w:t>
      </w:r>
    </w:p>
    <w:tbl>
      <w:tblPr>
        <w:tblW w:w="9533" w:type="dxa"/>
        <w:jc w:val="left"/>
        <w:tblInd w:w="0" w:type="dxa"/>
        <w:tblLayout w:type="fixed"/>
        <w:tblCellMar>
          <w:top w:w="0" w:type="dxa"/>
          <w:left w:w="0" w:type="dxa"/>
          <w:bottom w:w="0" w:type="dxa"/>
          <w:right w:w="0" w:type="dxa"/>
        </w:tblCellMar>
      </w:tblPr>
      <w:tblGrid>
        <w:gridCol w:w="1625"/>
        <w:gridCol w:w="120"/>
        <w:gridCol w:w="119"/>
        <w:gridCol w:w="1836"/>
        <w:gridCol w:w="350"/>
        <w:gridCol w:w="60"/>
        <w:gridCol w:w="213"/>
        <w:gridCol w:w="2476"/>
        <w:gridCol w:w="60"/>
        <w:gridCol w:w="120"/>
        <w:gridCol w:w="151"/>
        <w:gridCol w:w="2328"/>
        <w:gridCol w:w="75"/>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pPr>
            <w:r>
              <w:rPr/>
              <w:t> </w:t>
            </w:r>
            <w:r>
              <w:rPr>
                <w:b/>
              </w:rPr>
              <w:t>EXECUTIVE</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right"/>
              <w:rPr>
                <w:b/>
              </w:rPr>
            </w:pPr>
            <w:r>
              <w:rPr>
                <w:b/>
              </w:rPr>
              <w:t>TARGET BONUS</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0"/>
              <w:jc w:val="right"/>
              <w:rPr>
                <w:rFonts w:ascii="ARIAL" w:hAnsi="ARIAL"/>
                <w:b/>
                <w:sz w:val="14"/>
              </w:rPr>
            </w:pPr>
            <w:r>
              <w:rPr>
                <w:rFonts w:ascii="ARIAL" w:hAnsi="ARIAL"/>
                <w:b/>
                <w:sz w:val="14"/>
              </w:rPr>
              <w:t>PERCENTAGE OF</w:t>
            </w:r>
          </w:p>
          <w:p>
            <w:pPr>
              <w:pStyle w:val="TableContents"/>
              <w:bidi w:val="0"/>
              <w:spacing w:before="0" w:after="20"/>
              <w:jc w:val="right"/>
              <w:rPr/>
            </w:pPr>
            <w:r>
              <w:rPr/>
              <w:t>      </w:t>
            </w:r>
            <w:r>
              <w:rPr>
                <w:rFonts w:ascii="ARIAL" w:hAnsi="ARIAL"/>
                <w:b/>
                <w:sz w:val="14"/>
              </w:rPr>
              <w:t>TARGET AWARDED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9" w:type="dxa"/>
            <w:gridSpan w:val="2"/>
            <w:tcBorders/>
            <w:vAlign w:val="center"/>
          </w:tcPr>
          <w:p>
            <w:pPr>
              <w:pStyle w:val="TableContents"/>
              <w:bidi w:val="0"/>
              <w:spacing w:before="0" w:after="0"/>
              <w:jc w:val="right"/>
              <w:rPr/>
            </w:pPr>
            <w:r>
              <w:rPr/>
              <w:t>      </w:t>
            </w:r>
            <w:r>
              <w:rPr>
                <w:rFonts w:ascii="ARIAL" w:hAnsi="ARIAL"/>
                <w:b/>
                <w:sz w:val="14"/>
              </w:rPr>
              <w:t>ACTUAL BONUS</w:t>
            </w:r>
          </w:p>
          <w:p>
            <w:pPr>
              <w:pStyle w:val="TableContents"/>
              <w:bidi w:val="0"/>
              <w:spacing w:before="0" w:after="20"/>
              <w:jc w:val="right"/>
              <w:rPr>
                <w:rFonts w:ascii="ARIAL" w:hAnsi="ARIAL"/>
                <w:b/>
                <w:sz w:val="14"/>
              </w:rPr>
            </w:pPr>
            <w:r>
              <w:rPr>
                <w:rFonts w:ascii="ARIAL" w:hAnsi="ARIAL"/>
                <w:b/>
                <w:sz w:val="14"/>
              </w:rPr>
              <w:t>AWARDED</w:t>
            </w:r>
          </w:p>
        </w:tc>
        <w:tc>
          <w:tcPr>
            <w:tcW w:w="75" w:type="dxa"/>
            <w:tcBorders/>
            <w:vAlign w:val="center"/>
          </w:tcPr>
          <w:p>
            <w:pPr>
              <w:pStyle w:val="TableContents"/>
              <w:bidi w:val="0"/>
              <w:spacing w:before="0" w:after="283"/>
              <w:jc w:val="left"/>
              <w:rPr/>
            </w:pPr>
            <w:r>
              <w:rPr/>
              <w:t> </w:t>
            </w:r>
          </w:p>
        </w:tc>
      </w:tr>
      <w:tr>
        <w:trPr/>
        <w:tc>
          <w:tcPr>
            <w:tcW w:w="1625" w:type="dxa"/>
            <w:tcBorders/>
            <w:shd w:fill="E8F4FF" w:val="clear"/>
            <w:vAlign w:val="center"/>
          </w:tcPr>
          <w:p>
            <w:pPr>
              <w:pStyle w:val="TableContents"/>
              <w:bidi w:val="0"/>
              <w:spacing w:before="0" w:after="283"/>
              <w:jc w:val="left"/>
              <w:rPr>
                <w:sz w:val="4"/>
                <w:szCs w:val="4"/>
              </w:rPr>
            </w:pPr>
            <w:r>
              <w:rPr>
                <w:sz w:val="4"/>
                <w:szCs w:val="4"/>
              </w:rPr>
            </w:r>
          </w:p>
        </w:tc>
        <w:tc>
          <w:tcPr>
            <w:tcW w:w="2425" w:type="dxa"/>
            <w:gridSpan w:val="4"/>
            <w:tcBorders/>
            <w:shd w:fill="E8F4FF" w:val="clear"/>
            <w:vAlign w:val="center"/>
          </w:tcPr>
          <w:p>
            <w:pPr>
              <w:pStyle w:val="TableContents"/>
              <w:bidi w:val="0"/>
              <w:spacing w:before="0" w:after="283"/>
              <w:jc w:val="left"/>
              <w:rPr>
                <w:sz w:val="4"/>
                <w:szCs w:val="4"/>
              </w:rPr>
            </w:pPr>
            <w:r>
              <w:rPr>
                <w:sz w:val="4"/>
                <w:szCs w:val="4"/>
              </w:rPr>
            </w:r>
          </w:p>
        </w:tc>
        <w:tc>
          <w:tcPr>
            <w:tcW w:w="2809" w:type="dxa"/>
            <w:gridSpan w:val="4"/>
            <w:tcBorders/>
            <w:shd w:fill="E8F4FF" w:val="clear"/>
            <w:vAlign w:val="center"/>
          </w:tcPr>
          <w:p>
            <w:pPr>
              <w:pStyle w:val="TableContents"/>
              <w:bidi w:val="0"/>
              <w:spacing w:before="0" w:after="283"/>
              <w:jc w:val="left"/>
              <w:rPr>
                <w:sz w:val="4"/>
                <w:szCs w:val="4"/>
              </w:rPr>
            </w:pPr>
            <w:r>
              <w:rPr>
                <w:sz w:val="4"/>
                <w:szCs w:val="4"/>
              </w:rPr>
            </w:r>
          </w:p>
        </w:tc>
        <w:tc>
          <w:tcPr>
            <w:tcW w:w="2674"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625"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Michael Massaro</w:t>
            </w:r>
          </w:p>
        </w:tc>
        <w:tc>
          <w:tcPr>
            <w:tcW w:w="120" w:type="dxa"/>
            <w:tcBorders/>
            <w:shd w:fill="E8F4FF" w:val="clear"/>
            <w:vAlign w:val="center"/>
          </w:tcPr>
          <w:p>
            <w:pPr>
              <w:pStyle w:val="TableContents"/>
              <w:bidi w:val="0"/>
              <w:spacing w:before="0" w:after="283"/>
              <w:jc w:val="left"/>
              <w:rPr/>
            </w:pPr>
            <w:r>
              <w:rPr/>
              <w:t>  </w:t>
            </w:r>
          </w:p>
        </w:tc>
        <w:tc>
          <w:tcPr>
            <w:tcW w:w="119" w:type="dxa"/>
            <w:tcBorders/>
            <w:shd w:fill="E8F4FF" w:val="clear"/>
            <w:vAlign w:val="center"/>
          </w:tcPr>
          <w:p>
            <w:pPr>
              <w:pStyle w:val="TableContents"/>
              <w:bidi w:val="0"/>
              <w:spacing w:before="0" w:after="283"/>
              <w:jc w:val="left"/>
              <w:rPr/>
            </w:pPr>
            <w:r>
              <w:rPr/>
              <w:t> </w:t>
            </w:r>
          </w:p>
        </w:tc>
        <w:tc>
          <w:tcPr>
            <w:tcW w:w="1836" w:type="dxa"/>
            <w:tcBorders/>
            <w:shd w:fill="E8F4FF" w:val="clear"/>
            <w:vAlign w:val="center"/>
          </w:tcPr>
          <w:p>
            <w:pPr>
              <w:pStyle w:val="TableContents"/>
              <w:bidi w:val="0"/>
              <w:spacing w:before="0" w:after="283"/>
              <w:jc w:val="right"/>
              <w:rPr/>
            </w:pPr>
            <w:r>
              <w:rPr/>
              <w:t>$450,000</w:t>
            </w:r>
          </w:p>
        </w:tc>
        <w:tc>
          <w:tcPr>
            <w:tcW w:w="35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213" w:type="dxa"/>
            <w:tcBorders/>
            <w:shd w:fill="E8F4FF" w:val="clear"/>
            <w:vAlign w:val="center"/>
          </w:tcPr>
          <w:p>
            <w:pPr>
              <w:pStyle w:val="TableContents"/>
              <w:bidi w:val="0"/>
              <w:spacing w:before="0" w:after="283"/>
              <w:jc w:val="left"/>
              <w:rPr/>
            </w:pPr>
            <w:r>
              <w:rPr/>
              <w:t> </w:t>
            </w:r>
          </w:p>
        </w:tc>
        <w:tc>
          <w:tcPr>
            <w:tcW w:w="2476" w:type="dxa"/>
            <w:tcBorders/>
            <w:shd w:fill="E8F4FF" w:val="clear"/>
            <w:vAlign w:val="center"/>
          </w:tcPr>
          <w:p>
            <w:pPr>
              <w:pStyle w:val="TableContents"/>
              <w:bidi w:val="0"/>
              <w:spacing w:before="0" w:after="283"/>
              <w:jc w:val="right"/>
              <w:rPr/>
            </w:pPr>
            <w:r>
              <w:rPr/>
              <w:t>53.7%  </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51" w:type="dxa"/>
            <w:tcBorders/>
            <w:shd w:fill="E8F4FF" w:val="clear"/>
            <w:vAlign w:val="center"/>
          </w:tcPr>
          <w:p>
            <w:pPr>
              <w:pStyle w:val="TableContents"/>
              <w:bidi w:val="0"/>
              <w:spacing w:before="0" w:after="283"/>
              <w:jc w:val="left"/>
              <w:rPr/>
            </w:pPr>
            <w:r>
              <w:rPr/>
              <w:t> </w:t>
            </w:r>
          </w:p>
        </w:tc>
        <w:tc>
          <w:tcPr>
            <w:tcW w:w="2328" w:type="dxa"/>
            <w:tcBorders/>
            <w:shd w:fill="E8F4FF" w:val="clear"/>
            <w:vAlign w:val="center"/>
          </w:tcPr>
          <w:p>
            <w:pPr>
              <w:pStyle w:val="TableContents"/>
              <w:bidi w:val="0"/>
              <w:spacing w:before="0" w:after="283"/>
              <w:jc w:val="right"/>
              <w:rPr/>
            </w:pPr>
            <w:r>
              <w:rPr/>
              <w:t>$241,776</w:t>
            </w:r>
          </w:p>
        </w:tc>
        <w:tc>
          <w:tcPr>
            <w:tcW w:w="75" w:type="dxa"/>
            <w:tcBorders/>
            <w:shd w:fill="E8F4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809" w:type="dxa"/>
            <w:gridSpan w:val="4"/>
            <w:tcBorders/>
            <w:vAlign w:val="center"/>
          </w:tcPr>
          <w:p>
            <w:pPr>
              <w:pStyle w:val="TableContents"/>
              <w:bidi w:val="0"/>
              <w:spacing w:before="0" w:after="283"/>
              <w:jc w:val="left"/>
              <w:rPr>
                <w:sz w:val="4"/>
                <w:szCs w:val="4"/>
              </w:rPr>
            </w:pPr>
            <w:r>
              <w:rPr>
                <w:sz w:val="4"/>
                <w:szCs w:val="4"/>
              </w:rPr>
            </w:r>
          </w:p>
        </w:tc>
        <w:tc>
          <w:tcPr>
            <w:tcW w:w="2674"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Robert Orgel</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right"/>
              <w:rPr/>
            </w:pPr>
            <w:r>
              <w:rPr/>
              <w:t>$225,000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right"/>
              <w:rPr/>
            </w:pPr>
            <w:r>
              <w:rPr/>
              <w:t>53.7%  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328" w:type="dxa"/>
            <w:tcBorders/>
            <w:vAlign w:val="center"/>
          </w:tcPr>
          <w:p>
            <w:pPr>
              <w:pStyle w:val="TableContents"/>
              <w:bidi w:val="0"/>
              <w:spacing w:before="0" w:after="283"/>
              <w:jc w:val="right"/>
              <w:rPr/>
            </w:pPr>
            <w:r>
              <w:rPr/>
              <w:t>$120,888</w:t>
            </w:r>
          </w:p>
        </w:tc>
        <w:tc>
          <w:tcPr>
            <w:tcW w:w="75" w:type="dxa"/>
            <w:tcBorders/>
            <w:vAlign w:val="center"/>
          </w:tcPr>
          <w:p>
            <w:pPr>
              <w:pStyle w:val="TableContents"/>
              <w:bidi w:val="0"/>
              <w:spacing w:before="0" w:after="283"/>
              <w:jc w:val="left"/>
              <w:rPr/>
            </w:pPr>
            <w:r>
              <w:rPr/>
              <w:t> </w:t>
            </w:r>
          </w:p>
        </w:tc>
      </w:tr>
      <w:tr>
        <w:trPr/>
        <w:tc>
          <w:tcPr>
            <w:tcW w:w="1625" w:type="dxa"/>
            <w:tcBorders/>
            <w:shd w:fill="E8F4FF" w:val="clear"/>
            <w:vAlign w:val="center"/>
          </w:tcPr>
          <w:p>
            <w:pPr>
              <w:pStyle w:val="TableContents"/>
              <w:bidi w:val="0"/>
              <w:spacing w:before="0" w:after="283"/>
              <w:jc w:val="left"/>
              <w:rPr>
                <w:sz w:val="4"/>
                <w:szCs w:val="4"/>
              </w:rPr>
            </w:pPr>
            <w:r>
              <w:rPr>
                <w:sz w:val="4"/>
                <w:szCs w:val="4"/>
              </w:rPr>
            </w:r>
          </w:p>
        </w:tc>
        <w:tc>
          <w:tcPr>
            <w:tcW w:w="2425" w:type="dxa"/>
            <w:gridSpan w:val="4"/>
            <w:tcBorders/>
            <w:shd w:fill="E8F4FF" w:val="clear"/>
            <w:vAlign w:val="center"/>
          </w:tcPr>
          <w:p>
            <w:pPr>
              <w:pStyle w:val="TableContents"/>
              <w:bidi w:val="0"/>
              <w:spacing w:before="0" w:after="283"/>
              <w:jc w:val="left"/>
              <w:rPr>
                <w:sz w:val="4"/>
                <w:szCs w:val="4"/>
              </w:rPr>
            </w:pPr>
            <w:r>
              <w:rPr>
                <w:sz w:val="4"/>
                <w:szCs w:val="4"/>
              </w:rPr>
            </w:r>
          </w:p>
        </w:tc>
        <w:tc>
          <w:tcPr>
            <w:tcW w:w="2809" w:type="dxa"/>
            <w:gridSpan w:val="4"/>
            <w:tcBorders/>
            <w:shd w:fill="E8F4FF" w:val="clear"/>
            <w:vAlign w:val="center"/>
          </w:tcPr>
          <w:p>
            <w:pPr>
              <w:pStyle w:val="TableContents"/>
              <w:bidi w:val="0"/>
              <w:spacing w:before="0" w:after="283"/>
              <w:jc w:val="left"/>
              <w:rPr>
                <w:sz w:val="4"/>
                <w:szCs w:val="4"/>
              </w:rPr>
            </w:pPr>
            <w:r>
              <w:rPr>
                <w:sz w:val="4"/>
                <w:szCs w:val="4"/>
              </w:rPr>
            </w:r>
          </w:p>
        </w:tc>
        <w:tc>
          <w:tcPr>
            <w:tcW w:w="2674"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625"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Cosmin Pitigoi</w:t>
            </w:r>
          </w:p>
        </w:tc>
        <w:tc>
          <w:tcPr>
            <w:tcW w:w="120" w:type="dxa"/>
            <w:tcBorders/>
            <w:shd w:fill="E8F4FF" w:val="clear"/>
            <w:vAlign w:val="center"/>
          </w:tcPr>
          <w:p>
            <w:pPr>
              <w:pStyle w:val="TableContents"/>
              <w:bidi w:val="0"/>
              <w:spacing w:before="0" w:after="283"/>
              <w:jc w:val="left"/>
              <w:rPr/>
            </w:pPr>
            <w:r>
              <w:rPr/>
              <w:t>  </w:t>
            </w:r>
          </w:p>
        </w:tc>
        <w:tc>
          <w:tcPr>
            <w:tcW w:w="119" w:type="dxa"/>
            <w:tcBorders/>
            <w:shd w:fill="E8F4FF" w:val="clear"/>
            <w:vAlign w:val="center"/>
          </w:tcPr>
          <w:p>
            <w:pPr>
              <w:pStyle w:val="TableContents"/>
              <w:bidi w:val="0"/>
              <w:spacing w:before="0" w:after="283"/>
              <w:jc w:val="left"/>
              <w:rPr/>
            </w:pPr>
            <w:r>
              <w:rPr/>
              <w:t> </w:t>
            </w:r>
          </w:p>
        </w:tc>
        <w:tc>
          <w:tcPr>
            <w:tcW w:w="1836" w:type="dxa"/>
            <w:tcBorders/>
            <w:shd w:fill="E8F4FF" w:val="clear"/>
            <w:vAlign w:val="center"/>
          </w:tcPr>
          <w:p>
            <w:pPr>
              <w:pStyle w:val="TableContents"/>
              <w:bidi w:val="0"/>
              <w:spacing w:before="0" w:after="283"/>
              <w:jc w:val="right"/>
              <w:rPr/>
            </w:pPr>
            <w:r>
              <w:rPr/>
              <w:t>$300,000</w:t>
            </w:r>
          </w:p>
        </w:tc>
        <w:tc>
          <w:tcPr>
            <w:tcW w:w="350" w:type="dxa"/>
            <w:tcBorders/>
            <w:shd w:fill="E8F4FF" w:val="clear"/>
            <w:vAlign w:val="center"/>
          </w:tcPr>
          <w:p>
            <w:pPr>
              <w:pStyle w:val="TableContents"/>
              <w:bidi w:val="0"/>
              <w:spacing w:before="0" w:after="283"/>
              <w:jc w:val="left"/>
              <w:rPr/>
            </w:pPr>
            <w:r>
              <w:rPr/>
              <w:t>(1) </w:t>
            </w:r>
          </w:p>
        </w:tc>
        <w:tc>
          <w:tcPr>
            <w:tcW w:w="60" w:type="dxa"/>
            <w:tcBorders/>
            <w:shd w:fill="E8F4FF" w:val="clear"/>
            <w:vAlign w:val="center"/>
          </w:tcPr>
          <w:p>
            <w:pPr>
              <w:pStyle w:val="TableContents"/>
              <w:bidi w:val="0"/>
              <w:spacing w:before="0" w:after="283"/>
              <w:jc w:val="left"/>
              <w:rPr/>
            </w:pPr>
            <w:r>
              <w:rPr/>
              <w:t> </w:t>
            </w:r>
          </w:p>
        </w:tc>
        <w:tc>
          <w:tcPr>
            <w:tcW w:w="213" w:type="dxa"/>
            <w:tcBorders/>
            <w:shd w:fill="E8F4FF" w:val="clear"/>
            <w:vAlign w:val="center"/>
          </w:tcPr>
          <w:p>
            <w:pPr>
              <w:pStyle w:val="TableContents"/>
              <w:bidi w:val="0"/>
              <w:spacing w:before="0" w:after="283"/>
              <w:jc w:val="left"/>
              <w:rPr/>
            </w:pPr>
            <w:r>
              <w:rPr/>
              <w:t> </w:t>
            </w:r>
          </w:p>
        </w:tc>
        <w:tc>
          <w:tcPr>
            <w:tcW w:w="2476" w:type="dxa"/>
            <w:tcBorders/>
            <w:shd w:fill="E8F4FF" w:val="clear"/>
            <w:vAlign w:val="center"/>
          </w:tcPr>
          <w:p>
            <w:pPr>
              <w:pStyle w:val="TableContents"/>
              <w:bidi w:val="0"/>
              <w:spacing w:before="0" w:after="283"/>
              <w:jc w:val="right"/>
              <w:rPr/>
            </w:pPr>
            <w:r>
              <w:rPr/>
              <w:t>53.7%  </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51" w:type="dxa"/>
            <w:tcBorders/>
            <w:shd w:fill="E8F4FF" w:val="clear"/>
            <w:vAlign w:val="center"/>
          </w:tcPr>
          <w:p>
            <w:pPr>
              <w:pStyle w:val="TableContents"/>
              <w:bidi w:val="0"/>
              <w:spacing w:before="0" w:after="283"/>
              <w:jc w:val="left"/>
              <w:rPr/>
            </w:pPr>
            <w:r>
              <w:rPr/>
              <w:t> </w:t>
            </w:r>
          </w:p>
        </w:tc>
        <w:tc>
          <w:tcPr>
            <w:tcW w:w="2328" w:type="dxa"/>
            <w:tcBorders/>
            <w:shd w:fill="E8F4FF" w:val="clear"/>
            <w:vAlign w:val="center"/>
          </w:tcPr>
          <w:p>
            <w:pPr>
              <w:pStyle w:val="TableContents"/>
              <w:bidi w:val="0"/>
              <w:spacing w:before="0" w:after="283"/>
              <w:jc w:val="right"/>
              <w:rPr/>
            </w:pPr>
            <w:r>
              <w:rPr/>
              <w:t>$133,805</w:t>
            </w:r>
          </w:p>
        </w:tc>
        <w:tc>
          <w:tcPr>
            <w:tcW w:w="75" w:type="dxa"/>
            <w:tcBorders/>
            <w:shd w:fill="E8F4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809" w:type="dxa"/>
            <w:gridSpan w:val="4"/>
            <w:tcBorders/>
            <w:vAlign w:val="center"/>
          </w:tcPr>
          <w:p>
            <w:pPr>
              <w:pStyle w:val="TableContents"/>
              <w:bidi w:val="0"/>
              <w:spacing w:before="0" w:after="283"/>
              <w:jc w:val="left"/>
              <w:rPr>
                <w:sz w:val="4"/>
                <w:szCs w:val="4"/>
              </w:rPr>
            </w:pPr>
            <w:r>
              <w:rPr>
                <w:sz w:val="4"/>
                <w:szCs w:val="4"/>
              </w:rPr>
            </w:r>
          </w:p>
        </w:tc>
        <w:tc>
          <w:tcPr>
            <w:tcW w:w="2674"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Peter Butterfield</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836" w:type="dxa"/>
            <w:tcBorders/>
            <w:vAlign w:val="center"/>
          </w:tcPr>
          <w:p>
            <w:pPr>
              <w:pStyle w:val="TableContents"/>
              <w:bidi w:val="0"/>
              <w:spacing w:before="0" w:after="283"/>
              <w:jc w:val="right"/>
              <w:rPr/>
            </w:pPr>
            <w:r>
              <w:rPr/>
              <w:t>$150,000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right"/>
              <w:rPr/>
            </w:pPr>
            <w:r>
              <w:rPr/>
              <w:t>53.7%  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328" w:type="dxa"/>
            <w:tcBorders/>
            <w:vAlign w:val="center"/>
          </w:tcPr>
          <w:p>
            <w:pPr>
              <w:pStyle w:val="TableContents"/>
              <w:bidi w:val="0"/>
              <w:spacing w:before="0" w:after="283"/>
              <w:jc w:val="right"/>
              <w:rPr/>
            </w:pPr>
            <w:r>
              <w:rPr/>
              <w:t>$ 80,592</w:t>
            </w:r>
          </w:p>
        </w:tc>
        <w:tc>
          <w:tcPr>
            <w:tcW w:w="75" w:type="dxa"/>
            <w:tcBorders/>
            <w:vAlign w:val="center"/>
          </w:tcPr>
          <w:p>
            <w:pPr>
              <w:pStyle w:val="TableContents"/>
              <w:bidi w:val="0"/>
              <w:spacing w:before="0" w:after="283"/>
              <w:jc w:val="left"/>
              <w:rPr/>
            </w:pPr>
            <w:r>
              <w:rPr/>
              <w:t> </w:t>
            </w:r>
          </w:p>
        </w:tc>
      </w:tr>
      <w:tr>
        <w:trPr/>
        <w:tc>
          <w:tcPr>
            <w:tcW w:w="1625" w:type="dxa"/>
            <w:tcBorders/>
            <w:shd w:fill="E8F4FF" w:val="clear"/>
            <w:vAlign w:val="center"/>
          </w:tcPr>
          <w:p>
            <w:pPr>
              <w:pStyle w:val="TableContents"/>
              <w:bidi w:val="0"/>
              <w:spacing w:before="0" w:after="283"/>
              <w:jc w:val="left"/>
              <w:rPr>
                <w:sz w:val="4"/>
                <w:szCs w:val="4"/>
              </w:rPr>
            </w:pPr>
            <w:r>
              <w:rPr>
                <w:sz w:val="4"/>
                <w:szCs w:val="4"/>
              </w:rPr>
            </w:r>
          </w:p>
        </w:tc>
        <w:tc>
          <w:tcPr>
            <w:tcW w:w="2425" w:type="dxa"/>
            <w:gridSpan w:val="4"/>
            <w:tcBorders/>
            <w:shd w:fill="E8F4FF" w:val="clear"/>
            <w:vAlign w:val="center"/>
          </w:tcPr>
          <w:p>
            <w:pPr>
              <w:pStyle w:val="TableContents"/>
              <w:bidi w:val="0"/>
              <w:spacing w:before="0" w:after="283"/>
              <w:jc w:val="left"/>
              <w:rPr>
                <w:sz w:val="4"/>
                <w:szCs w:val="4"/>
              </w:rPr>
            </w:pPr>
            <w:r>
              <w:rPr>
                <w:sz w:val="4"/>
                <w:szCs w:val="4"/>
              </w:rPr>
            </w:r>
          </w:p>
        </w:tc>
        <w:tc>
          <w:tcPr>
            <w:tcW w:w="2809" w:type="dxa"/>
            <w:gridSpan w:val="4"/>
            <w:tcBorders/>
            <w:shd w:fill="E8F4FF" w:val="clear"/>
            <w:vAlign w:val="center"/>
          </w:tcPr>
          <w:p>
            <w:pPr>
              <w:pStyle w:val="TableContents"/>
              <w:bidi w:val="0"/>
              <w:spacing w:before="0" w:after="283"/>
              <w:jc w:val="left"/>
              <w:rPr>
                <w:sz w:val="4"/>
                <w:szCs w:val="4"/>
              </w:rPr>
            </w:pPr>
            <w:r>
              <w:rPr>
                <w:sz w:val="4"/>
                <w:szCs w:val="4"/>
              </w:rPr>
            </w:r>
          </w:p>
        </w:tc>
        <w:tc>
          <w:tcPr>
            <w:tcW w:w="2674"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625" w:type="dxa"/>
            <w:tcBorders>
              <w:bottom w:val="single" w:sz="8" w:space="0" w:color="2393FF"/>
            </w:tcBorders>
            <w:shd w:fill="E8F4FF" w:val="clear"/>
            <w:tcMar>
              <w:bottom w:w="120" w:type="dxa"/>
            </w:tcMar>
            <w:vAlign w:val="center"/>
          </w:tcPr>
          <w:p>
            <w:pPr>
              <w:pStyle w:val="TableContents"/>
              <w:bidi w:val="0"/>
              <w:spacing w:before="0" w:after="0"/>
              <w:jc w:val="left"/>
              <w:rPr>
                <w:rFonts w:ascii="ARIAL" w:hAnsi="ARIAL"/>
                <w:b/>
                <w:color w:val="2393FF"/>
                <w:sz w:val="16"/>
              </w:rPr>
            </w:pPr>
            <w:r>
              <w:rPr>
                <w:rFonts w:ascii="ARIAL" w:hAnsi="ARIAL"/>
                <w:b/>
                <w:color w:val="2393FF"/>
                <w:sz w:val="16"/>
              </w:rPr>
              <w:t>David King</w:t>
            </w:r>
          </w:p>
        </w:tc>
        <w:tc>
          <w:tcPr>
            <w:tcW w:w="12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119"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1836" w:type="dxa"/>
            <w:tcBorders>
              <w:bottom w:val="single" w:sz="8" w:space="0" w:color="2393FF"/>
            </w:tcBorders>
            <w:shd w:fill="E8F4FF" w:val="clear"/>
            <w:tcMar>
              <w:bottom w:w="120" w:type="dxa"/>
            </w:tcMar>
            <w:vAlign w:val="center"/>
          </w:tcPr>
          <w:p>
            <w:pPr>
              <w:pStyle w:val="TableContents"/>
              <w:bidi w:val="0"/>
              <w:spacing w:before="0" w:after="283"/>
              <w:jc w:val="right"/>
              <w:rPr/>
            </w:pPr>
            <w:r>
              <w:rPr/>
              <w:t>$150,000</w:t>
            </w:r>
          </w:p>
        </w:tc>
        <w:tc>
          <w:tcPr>
            <w:tcW w:w="350"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213"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2476" w:type="dxa"/>
            <w:tcBorders>
              <w:bottom w:val="single" w:sz="8" w:space="0" w:color="2393FF"/>
            </w:tcBorders>
            <w:shd w:fill="E8F4FF" w:val="clear"/>
            <w:tcMar>
              <w:bottom w:w="120" w:type="dxa"/>
            </w:tcMar>
            <w:vAlign w:val="center"/>
          </w:tcPr>
          <w:p>
            <w:pPr>
              <w:pStyle w:val="TableContents"/>
              <w:bidi w:val="0"/>
              <w:spacing w:before="0" w:after="283"/>
              <w:jc w:val="right"/>
              <w:rPr/>
            </w:pPr>
            <w:r>
              <w:rPr/>
              <w:t>53.7%  </w:t>
            </w:r>
          </w:p>
        </w:tc>
        <w:tc>
          <w:tcPr>
            <w:tcW w:w="60"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12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151"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2328" w:type="dxa"/>
            <w:tcBorders>
              <w:bottom w:val="single" w:sz="8" w:space="0" w:color="2393FF"/>
            </w:tcBorders>
            <w:shd w:fill="E8F4FF" w:val="clear"/>
            <w:tcMar>
              <w:bottom w:w="120" w:type="dxa"/>
            </w:tcMar>
            <w:vAlign w:val="center"/>
          </w:tcPr>
          <w:p>
            <w:pPr>
              <w:pStyle w:val="TableContents"/>
              <w:bidi w:val="0"/>
              <w:spacing w:before="0" w:after="283"/>
              <w:jc w:val="right"/>
              <w:rPr/>
            </w:pPr>
            <w:r>
              <w:rPr/>
              <w:t>$ 80,592</w:t>
            </w:r>
          </w:p>
        </w:tc>
        <w:tc>
          <w:tcPr>
            <w:tcW w:w="75"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305"/>
        <w:gridCol w:w="3635"/>
      </w:tblGrid>
      <w:tr>
        <w:trPr/>
        <w:tc>
          <w:tcPr>
            <w:tcW w:w="305" w:type="dxa"/>
            <w:tcBorders/>
            <w:vAlign w:val="center"/>
          </w:tcPr>
          <w:p>
            <w:pPr>
              <w:pStyle w:val="TableContents"/>
              <w:bidi w:val="0"/>
              <w:spacing w:before="0" w:after="283"/>
              <w:jc w:val="left"/>
              <w:rPr>
                <w:color w:val="333333"/>
              </w:rPr>
            </w:pPr>
            <w:r>
              <w:rPr>
                <w:color w:val="333333"/>
              </w:rPr>
              <w:t>(1)</w:t>
            </w:r>
          </w:p>
        </w:tc>
        <w:tc>
          <w:tcPr>
            <w:tcW w:w="363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$249,041 after proration based on Mr. Pitigoi’s start date. </w:t>
            </w:r>
          </w:p>
        </w:tc>
      </w:tr>
    </w:tbl>
    <w:p>
      <w:pPr>
        <w:pStyle w:val="TextBody"/>
        <w:bidi w:val="0"/>
        <w:spacing w:before="200" w:after="0"/>
        <w:jc w:val="left"/>
        <w:rPr>
          <w:rFonts w:ascii="ARIAL" w:hAnsi="ARIAL"/>
          <w:sz w:val="18"/>
        </w:rPr>
      </w:pPr>
      <w:r>
        <w:rPr>
          <w:rFonts w:ascii="ARIAL" w:hAnsi="ARIAL"/>
          <w:sz w:val="18"/>
        </w:rPr>
        <w:t xml:space="preserve">Pursuant to his transition agreement, in Fiscal 2024, in the sole discretion of our People &amp; Compensation Committee, Mr. Ellis was eligible to receive a one-time cash bonus in the target amount of $150,000, which may be greater than or less than such target as determined by the Board. To reflect his service during part of 2024 and in connection with his transition agreement, in March 2025 our People &amp; Compensation Committee determined that Mr. Ellis’ would be paid a discretionary bonus of $75,000. </w:t>
      </w:r>
    </w:p>
    <w:p>
      <w:pPr>
        <w:pStyle w:val="TextBody"/>
        <w:bidi w:val="0"/>
        <w:spacing w:before="200" w:after="0"/>
        <w:jc w:val="left"/>
        <w:rPr>
          <w:rFonts w:ascii="ARIAL" w:hAnsi="ARIAL"/>
          <w:sz w:val="18"/>
        </w:rPr>
      </w:pPr>
      <w:r>
        <w:rPr>
          <w:rFonts w:ascii="ARIAL" w:hAnsi="ARIAL"/>
          <w:sz w:val="18"/>
        </w:rPr>
        <w:t xml:space="preserve">2024 LONG-TERM INCENTIVE COMPENSATION </w:t>
      </w:r>
    </w:p>
    <w:p>
      <w:pPr>
        <w:pStyle w:val="TextBody"/>
        <w:bidi w:val="0"/>
        <w:spacing w:before="200" w:after="0"/>
        <w:jc w:val="left"/>
        <w:rPr>
          <w:rFonts w:ascii="ARIAL" w:hAnsi="ARIAL"/>
          <w:sz w:val="18"/>
        </w:rPr>
      </w:pPr>
      <w:r>
        <w:rPr>
          <w:rFonts w:ascii="ARIAL" w:hAnsi="ARIAL"/>
          <w:sz w:val="18"/>
        </w:rPr>
        <w:t xml:space="preserve">Our People &amp; Compensation Committee is focused on aligning pay with performance in our compensation program, and as such, we continue to evaluate the most effective way to do so. For Fiscal 2024, recognizing the challenges with long-term goal setting given market volatility and shifting dynamics, our People &amp; Compensation Committee determined that continuing to use RSUs was the most effective way to align executives with long-term success. RSUs are directly aligned with stockholders, with value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  32  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driven by the share price, and provide for flexibility to adapt to evolving strategic priorities and market conditions while maintaining a focus on long-term value creation. The target grant value of RSUs awarded to our NEOs is based on our People &amp; Compensation Committee’s general understanding of competitive pay practices, our Chief Executive Officer’s recommendation (except with respect to his own awards), consultation with its compensation consultant, and other factors that our People &amp; Compensation Committee deems appropriate. In addition to the annual RSU awards, our People &amp; Compensation Committee may grant additional RSUs for merit, performance, retention or promotional purposes. </w:t>
      </w:r>
    </w:p>
    <w:p>
      <w:pPr>
        <w:pStyle w:val="TextBody"/>
        <w:bidi w:val="0"/>
        <w:spacing w:before="200" w:after="0"/>
        <w:jc w:val="left"/>
        <w:rPr>
          <w:rFonts w:ascii="ARIAL" w:hAnsi="ARIAL"/>
          <w:sz w:val="18"/>
        </w:rPr>
      </w:pPr>
      <w:r>
        <w:rPr>
          <w:rFonts w:ascii="ARIAL" w:hAnsi="ARIAL"/>
          <w:sz w:val="18"/>
        </w:rPr>
        <w:t xml:space="preserve">In March 2024, our People &amp; Compensation Committee granted the following time-based RSUs to our NEOs (other than Mr. Ellis), which for all except Mr. Pitigoi, vest with respect to 25% of the shares after one year and the remainder vesting in equal quarterly installments over the following three years, subject to the officer’s continued employment. The RSUs granted to Mr. Pitigoi in connection with joining as our Chief Financial Officer served to, among other things, provide immediate alignment with shareholders. Mr. Pitigoi’s RSUs vest with respect to 35% of the shares after 12 months of continuous service, with the balance vesting in quarterly installments over the next 12 quarters of continuous service such that 28% of the shares vest in the second year, 22% of the shares vest in the third year and the remaining 15% of the shares vest in the fourth year. Pursuant to his transition agreement, Mr. Ellis was not eligible to receive a 2024 long-term incentive compensation grant. </w:t>
      </w:r>
    </w:p>
    <w:p>
      <w:pPr>
        <w:pStyle w:val="TextBody"/>
        <w:bidi w:val="0"/>
        <w:spacing w:before="0" w:after="0"/>
        <w:jc w:val="left"/>
        <w:rPr/>
      </w:pPr>
      <w:r>
        <w:rPr/>
        <w:t> </w:t>
      </w:r>
    </w:p>
    <w:tbl>
      <w:tblPr>
        <w:tblW w:w="4620" w:type="dxa"/>
        <w:jc w:val="left"/>
        <w:tblInd w:w="0" w:type="dxa"/>
        <w:tblLayout w:type="fixed"/>
        <w:tblCellMar>
          <w:top w:w="0" w:type="dxa"/>
          <w:left w:w="0" w:type="dxa"/>
          <w:bottom w:w="0" w:type="dxa"/>
          <w:right w:w="0" w:type="dxa"/>
        </w:tblCellMar>
      </w:tblPr>
      <w:tblGrid>
        <w:gridCol w:w="1340"/>
        <w:gridCol w:w="120"/>
        <w:gridCol w:w="87"/>
        <w:gridCol w:w="1433"/>
        <w:gridCol w:w="60"/>
        <w:gridCol w:w="120"/>
        <w:gridCol w:w="96"/>
        <w:gridCol w:w="1289"/>
        <w:gridCol w:w="7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r>
              <w:rPr>
                <w:b/>
              </w:rPr>
              <w:t>NAME</w:t>
            </w:r>
          </w:p>
        </w:tc>
        <w:tc>
          <w:tcPr>
            <w:tcW w:w="12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0"/>
              <w:jc w:val="right"/>
              <w:rPr>
                <w:rFonts w:ascii="ARIAL" w:hAnsi="ARIAL"/>
                <w:b/>
                <w:sz w:val="14"/>
              </w:rPr>
            </w:pPr>
            <w:r>
              <w:rPr>
                <w:rFonts w:ascii="ARIAL" w:hAnsi="ARIAL"/>
                <w:b/>
                <w:sz w:val="14"/>
              </w:rPr>
              <w:t>TARGET GRANT VALUE</w:t>
            </w:r>
          </w:p>
          <w:p>
            <w:pPr>
              <w:pStyle w:val="TableContents"/>
              <w:bidi w:val="0"/>
              <w:spacing w:before="0" w:after="20"/>
              <w:jc w:val="right"/>
              <w:rPr>
                <w:rFonts w:ascii="ARIAL" w:hAnsi="ARIAL"/>
                <w:b/>
                <w:sz w:val="14"/>
              </w:rPr>
            </w:pPr>
            <w:r>
              <w:rPr>
                <w:rFonts w:ascii="ARIAL" w:hAnsi="ARIAL"/>
                <w:b/>
                <w:sz w:val="14"/>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0"/>
              <w:jc w:val="right"/>
              <w:rPr>
                <w:rFonts w:ascii="ARIAL" w:hAnsi="ARIAL"/>
                <w:b/>
                <w:sz w:val="14"/>
              </w:rPr>
            </w:pPr>
            <w:r>
              <w:rPr>
                <w:rFonts w:ascii="ARIAL" w:hAnsi="ARIAL"/>
                <w:b/>
                <w:sz w:val="14"/>
              </w:rPr>
              <w:t>NUMBER OF SHARES</w:t>
              <w:br/>
              <w:t>UNDERLYING</w:t>
            </w:r>
          </w:p>
          <w:p>
            <w:pPr>
              <w:pStyle w:val="TableContents"/>
              <w:bidi w:val="0"/>
              <w:spacing w:before="0" w:after="20"/>
              <w:jc w:val="right"/>
              <w:rPr>
                <w:rFonts w:ascii="ARIAL" w:hAnsi="ARIAL"/>
                <w:b/>
                <w:sz w:val="14"/>
              </w:rPr>
            </w:pPr>
            <w:r>
              <w:rPr>
                <w:rFonts w:ascii="ARIAL" w:hAnsi="ARIAL"/>
                <w:b/>
                <w:sz w:val="14"/>
              </w:rPr>
              <w:t>RSU GRANT(1)</w:t>
            </w:r>
          </w:p>
        </w:tc>
        <w:tc>
          <w:tcPr>
            <w:tcW w:w="7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700" w:type="dxa"/>
            <w:gridSpan w:val="4"/>
            <w:tcBorders/>
            <w:shd w:fill="E8F4FF" w:val="clear"/>
            <w:vAlign w:val="center"/>
          </w:tcPr>
          <w:p>
            <w:pPr>
              <w:pStyle w:val="TableContents"/>
              <w:bidi w:val="0"/>
              <w:spacing w:before="0" w:after="283"/>
              <w:jc w:val="left"/>
              <w:rPr>
                <w:sz w:val="4"/>
                <w:szCs w:val="4"/>
              </w:rPr>
            </w:pPr>
            <w:r>
              <w:rPr>
                <w:sz w:val="4"/>
                <w:szCs w:val="4"/>
              </w:rPr>
            </w:r>
          </w:p>
        </w:tc>
        <w:tc>
          <w:tcPr>
            <w:tcW w:w="1580"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Michael Massaro</w:t>
            </w:r>
          </w:p>
        </w:tc>
        <w:tc>
          <w:tcPr>
            <w:tcW w:w="120" w:type="dxa"/>
            <w:tcBorders/>
            <w:shd w:fill="E8F4FF" w:val="clear"/>
            <w:vAlign w:val="center"/>
          </w:tcPr>
          <w:p>
            <w:pPr>
              <w:pStyle w:val="TableContents"/>
              <w:bidi w:val="0"/>
              <w:spacing w:before="0" w:after="283"/>
              <w:jc w:val="left"/>
              <w:rPr/>
            </w:pPr>
            <w:r>
              <w:rPr/>
              <w:t>  </w:t>
            </w:r>
          </w:p>
        </w:tc>
        <w:tc>
          <w:tcPr>
            <w:tcW w:w="87" w:type="dxa"/>
            <w:tcBorders/>
            <w:shd w:fill="E8F4FF" w:val="clear"/>
            <w:vAlign w:val="center"/>
          </w:tcPr>
          <w:p>
            <w:pPr>
              <w:pStyle w:val="TableContents"/>
              <w:bidi w:val="0"/>
              <w:spacing w:before="0" w:after="283"/>
              <w:jc w:val="left"/>
              <w:rPr/>
            </w:pPr>
            <w:r>
              <w:rPr/>
              <w:t> </w:t>
            </w:r>
          </w:p>
        </w:tc>
        <w:tc>
          <w:tcPr>
            <w:tcW w:w="1433" w:type="dxa"/>
            <w:tcBorders/>
            <w:shd w:fill="E8F4FF" w:val="clear"/>
            <w:vAlign w:val="center"/>
          </w:tcPr>
          <w:p>
            <w:pPr>
              <w:pStyle w:val="TableContents"/>
              <w:bidi w:val="0"/>
              <w:spacing w:before="0" w:after="283"/>
              <w:jc w:val="right"/>
              <w:rPr/>
            </w:pPr>
            <w:r>
              <w:rPr/>
              <w:t>8,000,000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96" w:type="dxa"/>
            <w:tcBorders/>
            <w:shd w:fill="E8F4FF" w:val="clear"/>
            <w:vAlign w:val="center"/>
          </w:tcPr>
          <w:p>
            <w:pPr>
              <w:pStyle w:val="TableContents"/>
              <w:bidi w:val="0"/>
              <w:spacing w:before="0" w:after="283"/>
              <w:jc w:val="left"/>
              <w:rPr/>
            </w:pPr>
            <w:r>
              <w:rPr/>
              <w:t> </w:t>
            </w:r>
          </w:p>
        </w:tc>
        <w:tc>
          <w:tcPr>
            <w:tcW w:w="1289" w:type="dxa"/>
            <w:tcBorders/>
            <w:shd w:fill="E8F4FF" w:val="clear"/>
            <w:vAlign w:val="center"/>
          </w:tcPr>
          <w:p>
            <w:pPr>
              <w:pStyle w:val="TableContents"/>
              <w:bidi w:val="0"/>
              <w:spacing w:before="0" w:after="283"/>
              <w:jc w:val="right"/>
              <w:rPr/>
            </w:pPr>
            <w:r>
              <w:rPr/>
              <w:t>340,867</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Robert Orgel</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right"/>
              <w:rPr/>
            </w:pPr>
            <w:r>
              <w:rPr/>
              <w:t>4,650,000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198,129</w:t>
            </w:r>
          </w:p>
        </w:tc>
        <w:tc>
          <w:tcPr>
            <w:tcW w:w="7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700" w:type="dxa"/>
            <w:gridSpan w:val="4"/>
            <w:tcBorders/>
            <w:shd w:fill="E8F4FF" w:val="clear"/>
            <w:vAlign w:val="center"/>
          </w:tcPr>
          <w:p>
            <w:pPr>
              <w:pStyle w:val="TableContents"/>
              <w:bidi w:val="0"/>
              <w:spacing w:before="0" w:after="283"/>
              <w:jc w:val="left"/>
              <w:rPr>
                <w:sz w:val="4"/>
                <w:szCs w:val="4"/>
              </w:rPr>
            </w:pPr>
            <w:r>
              <w:rPr>
                <w:sz w:val="4"/>
                <w:szCs w:val="4"/>
              </w:rPr>
            </w:r>
          </w:p>
        </w:tc>
        <w:tc>
          <w:tcPr>
            <w:tcW w:w="1580"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Cosmin Pitigoi</w:t>
            </w:r>
          </w:p>
        </w:tc>
        <w:tc>
          <w:tcPr>
            <w:tcW w:w="120" w:type="dxa"/>
            <w:tcBorders/>
            <w:shd w:fill="E8F4FF" w:val="clear"/>
            <w:vAlign w:val="center"/>
          </w:tcPr>
          <w:p>
            <w:pPr>
              <w:pStyle w:val="TableContents"/>
              <w:bidi w:val="0"/>
              <w:spacing w:before="0" w:after="283"/>
              <w:jc w:val="left"/>
              <w:rPr/>
            </w:pPr>
            <w:r>
              <w:rPr/>
              <w:t>  </w:t>
            </w:r>
          </w:p>
        </w:tc>
        <w:tc>
          <w:tcPr>
            <w:tcW w:w="87" w:type="dxa"/>
            <w:tcBorders/>
            <w:shd w:fill="E8F4FF" w:val="clear"/>
            <w:vAlign w:val="center"/>
          </w:tcPr>
          <w:p>
            <w:pPr>
              <w:pStyle w:val="TableContents"/>
              <w:bidi w:val="0"/>
              <w:spacing w:before="0" w:after="283"/>
              <w:jc w:val="left"/>
              <w:rPr/>
            </w:pPr>
            <w:r>
              <w:rPr/>
              <w:t> </w:t>
            </w:r>
          </w:p>
        </w:tc>
        <w:tc>
          <w:tcPr>
            <w:tcW w:w="1433" w:type="dxa"/>
            <w:tcBorders/>
            <w:shd w:fill="E8F4FF" w:val="clear"/>
            <w:vAlign w:val="center"/>
          </w:tcPr>
          <w:p>
            <w:pPr>
              <w:pStyle w:val="TableContents"/>
              <w:bidi w:val="0"/>
              <w:spacing w:before="0" w:after="283"/>
              <w:jc w:val="right"/>
              <w:rPr/>
            </w:pPr>
            <w:r>
              <w:rPr/>
              <w:t>9,250,000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96" w:type="dxa"/>
            <w:tcBorders/>
            <w:shd w:fill="E8F4FF" w:val="clear"/>
            <w:vAlign w:val="center"/>
          </w:tcPr>
          <w:p>
            <w:pPr>
              <w:pStyle w:val="TableContents"/>
              <w:bidi w:val="0"/>
              <w:spacing w:before="0" w:after="283"/>
              <w:jc w:val="left"/>
              <w:rPr/>
            </w:pPr>
            <w:r>
              <w:rPr/>
              <w:t> </w:t>
            </w:r>
          </w:p>
        </w:tc>
        <w:tc>
          <w:tcPr>
            <w:tcW w:w="1289" w:type="dxa"/>
            <w:tcBorders/>
            <w:shd w:fill="E8F4FF" w:val="clear"/>
            <w:vAlign w:val="center"/>
          </w:tcPr>
          <w:p>
            <w:pPr>
              <w:pStyle w:val="TableContents"/>
              <w:bidi w:val="0"/>
              <w:spacing w:before="0" w:after="283"/>
              <w:jc w:val="right"/>
              <w:rPr/>
            </w:pPr>
            <w:r>
              <w:rPr/>
              <w:t>394,128</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Peter Butterfield</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right"/>
              <w:rPr/>
            </w:pPr>
            <w:r>
              <w:rPr/>
              <w:t>1,800,000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76,695</w:t>
            </w:r>
          </w:p>
        </w:tc>
        <w:tc>
          <w:tcPr>
            <w:tcW w:w="7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700" w:type="dxa"/>
            <w:gridSpan w:val="4"/>
            <w:tcBorders/>
            <w:shd w:fill="E8F4FF" w:val="clear"/>
            <w:vAlign w:val="center"/>
          </w:tcPr>
          <w:p>
            <w:pPr>
              <w:pStyle w:val="TableContents"/>
              <w:bidi w:val="0"/>
              <w:spacing w:before="0" w:after="283"/>
              <w:jc w:val="left"/>
              <w:rPr>
                <w:sz w:val="4"/>
                <w:szCs w:val="4"/>
              </w:rPr>
            </w:pPr>
            <w:r>
              <w:rPr>
                <w:sz w:val="4"/>
                <w:szCs w:val="4"/>
              </w:rPr>
            </w:r>
          </w:p>
        </w:tc>
        <w:tc>
          <w:tcPr>
            <w:tcW w:w="1580"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bottom w:val="single" w:sz="8" w:space="0" w:color="2393FF"/>
            </w:tcBorders>
            <w:shd w:fill="E8F4FF" w:val="clear"/>
            <w:tcMar>
              <w:bottom w:w="120" w:type="dxa"/>
            </w:tcMar>
            <w:vAlign w:val="center"/>
          </w:tcPr>
          <w:p>
            <w:pPr>
              <w:pStyle w:val="TableContents"/>
              <w:bidi w:val="0"/>
              <w:spacing w:before="0" w:after="0"/>
              <w:jc w:val="left"/>
              <w:rPr>
                <w:rFonts w:ascii="ARIAL" w:hAnsi="ARIAL"/>
                <w:b/>
                <w:color w:val="2393FF"/>
                <w:sz w:val="16"/>
              </w:rPr>
            </w:pPr>
            <w:r>
              <w:rPr>
                <w:rFonts w:ascii="ARIAL" w:hAnsi="ARIAL"/>
                <w:b/>
                <w:color w:val="2393FF"/>
                <w:sz w:val="16"/>
              </w:rPr>
              <w:t>David King</w:t>
            </w:r>
          </w:p>
        </w:tc>
        <w:tc>
          <w:tcPr>
            <w:tcW w:w="12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87"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1433" w:type="dxa"/>
            <w:tcBorders>
              <w:bottom w:val="single" w:sz="8" w:space="0" w:color="2393FF"/>
            </w:tcBorders>
            <w:shd w:fill="E8F4FF" w:val="clear"/>
            <w:tcMar>
              <w:bottom w:w="120" w:type="dxa"/>
            </w:tcMar>
            <w:vAlign w:val="center"/>
          </w:tcPr>
          <w:p>
            <w:pPr>
              <w:pStyle w:val="TableContents"/>
              <w:bidi w:val="0"/>
              <w:spacing w:before="0" w:after="283"/>
              <w:jc w:val="right"/>
              <w:rPr/>
            </w:pPr>
            <w:r>
              <w:rPr/>
              <w:t>3,300,000</w:t>
            </w:r>
          </w:p>
        </w:tc>
        <w:tc>
          <w:tcPr>
            <w:tcW w:w="60"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120" w:type="dxa"/>
            <w:tcBorders>
              <w:bottom w:val="single" w:sz="8" w:space="0" w:color="2393FF"/>
            </w:tcBorders>
            <w:shd w:fill="E8F4FF" w:val="clear"/>
            <w:tcMar>
              <w:bottom w:w="28" w:type="dxa"/>
            </w:tcMar>
            <w:vAlign w:val="center"/>
          </w:tcPr>
          <w:p>
            <w:pPr>
              <w:pStyle w:val="TableContents"/>
              <w:bidi w:val="0"/>
              <w:spacing w:before="0" w:after="283"/>
              <w:jc w:val="left"/>
              <w:rPr/>
            </w:pPr>
            <w:r>
              <w:rPr/>
              <w:t>  </w:t>
            </w:r>
          </w:p>
        </w:tc>
        <w:tc>
          <w:tcPr>
            <w:tcW w:w="96"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c>
          <w:tcPr>
            <w:tcW w:w="1289" w:type="dxa"/>
            <w:tcBorders>
              <w:bottom w:val="single" w:sz="8" w:space="0" w:color="2393FF"/>
            </w:tcBorders>
            <w:shd w:fill="E8F4FF" w:val="clear"/>
            <w:tcMar>
              <w:bottom w:w="120" w:type="dxa"/>
            </w:tcMar>
            <w:vAlign w:val="center"/>
          </w:tcPr>
          <w:p>
            <w:pPr>
              <w:pStyle w:val="TableContents"/>
              <w:bidi w:val="0"/>
              <w:spacing w:before="0" w:after="283"/>
              <w:jc w:val="right"/>
              <w:rPr/>
            </w:pPr>
            <w:r>
              <w:rPr/>
              <w:t>140,608</w:t>
            </w:r>
          </w:p>
        </w:tc>
        <w:tc>
          <w:tcPr>
            <w:tcW w:w="75" w:type="dxa"/>
            <w:tcBorders>
              <w:bottom w:val="single" w:sz="8" w:space="0" w:color="2393FF"/>
            </w:tcBorders>
            <w:shd w:fill="E8F4FF" w:val="clear"/>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color w:val="333333"/>
              </w:rPr>
            </w:pPr>
            <w:r>
              <w:rPr>
                <w:color w:val="333333"/>
              </w:rPr>
              <w:t>(1)</w:t>
            </w:r>
          </w:p>
        </w:tc>
        <w:tc>
          <w:tcPr>
            <w:tcW w:w="9909"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Share numbers were calculated based on the average closing sales price per share of our common stock over the 20 trading days preceding and not including the date of grant. </w:t>
            </w:r>
          </w:p>
        </w:tc>
      </w:tr>
    </w:tbl>
    <w:p>
      <w:pPr>
        <w:pStyle w:val="TextBody"/>
        <w:bidi w:val="0"/>
        <w:spacing w:before="200" w:after="0"/>
        <w:jc w:val="left"/>
        <w:rPr>
          <w:rFonts w:ascii="ARIAL" w:hAnsi="ARIAL"/>
          <w:sz w:val="18"/>
        </w:rPr>
      </w:pPr>
      <w:r>
        <w:rPr>
          <w:rFonts w:ascii="ARIAL" w:hAnsi="ARIAL"/>
          <w:sz w:val="18"/>
        </w:rPr>
        <w:t xml:space="preserve">SEVERANCE AND CHANGE IN CONTROL BENEFITS </w:t>
      </w:r>
    </w:p>
    <w:p>
      <w:pPr>
        <w:pStyle w:val="TextBody"/>
        <w:bidi w:val="0"/>
        <w:spacing w:before="200" w:after="0"/>
        <w:jc w:val="left"/>
        <w:rPr>
          <w:rFonts w:ascii="ARIAL" w:hAnsi="ARIAL"/>
          <w:sz w:val="18"/>
        </w:rPr>
      </w:pPr>
      <w:r>
        <w:rPr>
          <w:rFonts w:ascii="ARIAL" w:hAnsi="ARIAL"/>
          <w:sz w:val="18"/>
        </w:rPr>
        <w:t xml:space="preserve">Severance and change in control benefits promote stability and continuity of our senior management team in the event of a potential change in control and/or an involuntary termination. Our People &amp; Compensation Committee believes these provisions help to align our NEOs’ interests appropriately with those of our stockholders in these scenarios. We have entered into employment agreements with each of our NEOs, which provide for at-will employment and, other than in the context of a termination without Cause or a Resignation for Good Reason (as such terms are defined in the employment agreements), may be terminated at any time. See Fiscal 2024 Potential Payments Upon Termination or Change in Control below for a description of the severance benefits and the acceleration benefits, if any, that Messrs. Massaro, Orgel, Pitigoi, Butterfield and King are entitled to pursuant to their employment agreements and equity award agreements. </w:t>
      </w:r>
    </w:p>
    <w:p>
      <w:pPr>
        <w:pStyle w:val="TextBody"/>
        <w:bidi w:val="0"/>
        <w:spacing w:before="200" w:after="0"/>
        <w:jc w:val="left"/>
        <w:rPr>
          <w:rFonts w:ascii="ARIAL" w:hAnsi="ARIAL"/>
          <w:sz w:val="18"/>
        </w:rPr>
      </w:pPr>
      <w:r>
        <w:rPr>
          <w:rFonts w:ascii="ARIAL" w:hAnsi="ARIAL"/>
          <w:sz w:val="18"/>
        </w:rPr>
        <w:t xml:space="preserve">OTHER BENEFITS AND PERQUISITES </w:t>
      </w:r>
    </w:p>
    <w:p>
      <w:pPr>
        <w:pStyle w:val="TextBody"/>
        <w:bidi w:val="0"/>
        <w:spacing w:before="200" w:after="0"/>
        <w:jc w:val="left"/>
        <w:rPr>
          <w:rFonts w:ascii="ARIAL" w:hAnsi="ARIAL"/>
          <w:sz w:val="18"/>
        </w:rPr>
      </w:pPr>
      <w:r>
        <w:rPr>
          <w:rFonts w:ascii="ARIAL" w:hAnsi="ARIAL"/>
          <w:sz w:val="18"/>
        </w:rPr>
        <w:t xml:space="preserve">Our NEOs are eligible to participate in all of our employee benefit plans (including our employee stock purchase plan, administered by our People &amp; Compensation Committee), such as medical, dental, vision, group life and disability insurance and our 401(k) plan, in each case, on the same basis as our other employees. We are responsible for the administrative costs of the 401(k) plan. We match 50% of every dollar contributed up to 6% of salary, subject to certain limitations under the Internal Revenue Code. There were no special benefits or perquisites provided to any NEO in Fiscal 2024. </w:t>
      </w:r>
    </w:p>
    <w:p>
      <w:pPr>
        <w:pStyle w:val="TextBody"/>
        <w:bidi w:val="0"/>
        <w:spacing w:before="200" w:after="0"/>
        <w:jc w:val="left"/>
        <w:rPr>
          <w:rFonts w:ascii="ARIAL" w:hAnsi="ARIAL"/>
          <w:sz w:val="18"/>
        </w:rPr>
      </w:pPr>
      <w:r>
        <w:rPr>
          <w:rFonts w:ascii="ARIAL" w:hAnsi="ARIAL"/>
          <w:sz w:val="18"/>
        </w:rPr>
        <w:t xml:space="preserve">RECOUPMENT AND RELATED POLICIES </w:t>
      </w:r>
    </w:p>
    <w:p>
      <w:pPr>
        <w:pStyle w:val="TextBody"/>
        <w:bidi w:val="0"/>
        <w:spacing w:before="200" w:after="0"/>
        <w:jc w:val="left"/>
        <w:rPr>
          <w:rFonts w:ascii="ARIAL" w:hAnsi="ARIAL"/>
          <w:sz w:val="18"/>
        </w:rPr>
      </w:pPr>
      <w:r>
        <w:rPr>
          <w:rFonts w:ascii="ARIAL" w:hAnsi="ARIAL"/>
          <w:sz w:val="18"/>
        </w:rPr>
        <w:t xml:space="preserve">We have a comprehensive Code of Conduct and ensure that our employees comply with this policy. In accordance with this policy, we investigate all reported instances of questionable or unethical behavior, and where improper behavior is found to have occurred, we take appropriate remedial action up to and including termination. If the results of an investigation establish that one of our employees, officers or directors has committed fraud or engaged in some other improper act that has the result of causing our financial statements for any period to be restated or that otherwise adversely affects those financial statements, our Board has discretion to take immediate and appropriate disciplinary action against the individual, including but not limited to termination. In addition, our Board has discretion to pursue whatever legal remedies are available to prosecute the individual to the fullest extent of the law and to claw back or recoup any amounts he or she inappropriately received as a result of the improper action or inaction, including but not limited to any annual or long-term incentives that he or she received but would not have received had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  33  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such act not be taken. In July 2023, we adopted a Policy for the Recovery of Erroneously Awarded Compensation applicable to our executive officers (as defined for purposes of Section 16 of the Securities Exchange Act of 1934, as amended) covering our annual and long-term incentive award plans and arrangements consistent with the requirements of the Exchange Act Rule 10D-1 after Nasdaq releases final listing standards in accordance with such rule. </w:t>
      </w:r>
    </w:p>
    <w:p>
      <w:pPr>
        <w:pStyle w:val="TextBody"/>
        <w:bidi w:val="0"/>
        <w:spacing w:before="200" w:after="0"/>
        <w:jc w:val="left"/>
        <w:rPr>
          <w:rFonts w:ascii="ARIAL" w:hAnsi="ARIAL"/>
          <w:sz w:val="18"/>
        </w:rPr>
      </w:pPr>
      <w:r>
        <w:rPr>
          <w:rFonts w:ascii="ARIAL" w:hAnsi="ARIAL"/>
          <w:sz w:val="18"/>
        </w:rPr>
        <w:t xml:space="preserve">EQUITY AWARDS GRANT POLICY </w:t>
      </w:r>
    </w:p>
    <w:p>
      <w:pPr>
        <w:pStyle w:val="TextBody"/>
        <w:bidi w:val="0"/>
        <w:spacing w:before="200" w:after="0"/>
        <w:jc w:val="left"/>
        <w:rPr>
          <w:rFonts w:ascii="ARIAL" w:hAnsi="ARIAL"/>
          <w:sz w:val="18"/>
        </w:rPr>
      </w:pPr>
      <w:r>
        <w:rPr>
          <w:rFonts w:ascii="ARIAL" w:hAnsi="ARIAL"/>
          <w:sz w:val="18"/>
        </w:rPr>
        <w:t xml:space="preserve">Except with respect to certain elements of non-employee director compensation, we do not have any program, plan, or obligation that requires us to grant equity awards on specified dates, although historically we have granted such awards to our existing executive officers and employees at least annually and to newly-hired employees upon or shortly after the commencement of their employment. Equity awards may occasionally be granted following a significant change in job responsibilities or to meet other special retention or performance objectives. We do not consider material non-public information when determining the timing or terms of equity awards, nor do we time disclosures of material non-public information for the purpose of affecting the value of executive compensation with such awards. </w:t>
      </w:r>
    </w:p>
    <w:p>
      <w:pPr>
        <w:pStyle w:val="TextBody"/>
        <w:bidi w:val="0"/>
        <w:spacing w:before="200" w:after="0"/>
        <w:jc w:val="left"/>
        <w:rPr>
          <w:rFonts w:ascii="ARIAL" w:hAnsi="ARIAL"/>
          <w:sz w:val="18"/>
        </w:rPr>
      </w:pPr>
      <w:r>
        <w:rPr>
          <w:rFonts w:ascii="ARIAL" w:hAnsi="ARIAL"/>
          <w:sz w:val="18"/>
        </w:rPr>
        <w:t xml:space="preserve">Authority to grant equity awards to our employees rests with our People &amp; Compensation Committee, although our People &amp; Compensation Committee has delegated authority to our Chief Executive Officer and President and Chief Operating Officer to grant equity awards to non-executive employees within prescribed limits set by our People &amp; Compensation Committee. With respect to our executive officers, except for our Chief Executive Officer, recommendations for equity awards are made by our Chief Executive Officer and reviewed and approved by our People &amp; Compensation Committee. </w:t>
      </w:r>
    </w:p>
    <w:p>
      <w:pPr>
        <w:pStyle w:val="TextBody"/>
        <w:bidi w:val="0"/>
        <w:spacing w:before="200" w:after="0"/>
        <w:jc w:val="left"/>
        <w:rPr>
          <w:rFonts w:ascii="ARIAL" w:hAnsi="ARIAL"/>
          <w:sz w:val="18"/>
        </w:rPr>
      </w:pPr>
      <w:r>
        <w:rPr>
          <w:rFonts w:ascii="ARIAL" w:hAnsi="ARIAL"/>
          <w:sz w:val="18"/>
        </w:rPr>
        <w:t xml:space="preserve">Under the terms of our 2021 Equity Incentive Plan, pursuant to which new equity awards are granted, the exercise price of any option (which we have not granted since 2022) to purchase shares of our common stock awarded under the plan must be equal to at least 100% of the fair market value of our common stock (which is determined based on the closing sales price of our common stock on the Nasdaq Global Market) on the date of grant. </w:t>
      </w:r>
    </w:p>
    <w:p>
      <w:pPr>
        <w:pStyle w:val="TextBody"/>
        <w:bidi w:val="0"/>
        <w:spacing w:before="200" w:after="0"/>
        <w:jc w:val="left"/>
        <w:rPr>
          <w:rFonts w:ascii="ARIAL" w:hAnsi="ARIAL"/>
          <w:sz w:val="18"/>
        </w:rPr>
      </w:pPr>
      <w:r>
        <w:rPr>
          <w:rFonts w:ascii="ARIAL" w:hAnsi="ARIAL"/>
          <w:sz w:val="18"/>
        </w:rPr>
        <w:t xml:space="preserve">RESTRICTIONS ON TRADING </w:t>
      </w:r>
    </w:p>
    <w:p>
      <w:pPr>
        <w:pStyle w:val="TextBody"/>
        <w:bidi w:val="0"/>
        <w:spacing w:before="200" w:after="0"/>
        <w:jc w:val="left"/>
        <w:rPr>
          <w:rFonts w:ascii="ARIAL" w:hAnsi="ARIAL"/>
          <w:sz w:val="18"/>
        </w:rPr>
      </w:pPr>
      <w:r>
        <w:rPr>
          <w:rFonts w:ascii="ARIAL" w:hAnsi="ARIAL"/>
          <w:sz w:val="18"/>
        </w:rPr>
        <w:t xml:space="preserve">Our Insider Trading Policy, as amended and restated in the first quarter of 2023 (ITP), prohibits our employees (including officers) and directors, or any of their designees, from purchasing financial instruments (including prepaid variable forward contracts, equity swaps, collars, and exchange funds), or otherwise engaging in transactions, that hedge or offset, or are designed to hedge or offset, any decrease in the market value of our equity securities (i) granted to the employee or director as part of the compensation of the employee or director; or (ii) held, directly or indirectly, by the employee or director. Although our employees (including officers) and directors may pledge our equity securities held by them with the prior clearance of one of our compliance officers, such persons are responsible for ensuring that foreclosure on any such account would not violate our ITP and should be aware that sales of such securities could have securities law implications. </w:t>
      </w:r>
    </w:p>
    <w:p>
      <w:pPr>
        <w:pStyle w:val="TextBody"/>
        <w:bidi w:val="0"/>
        <w:spacing w:before="200" w:after="0"/>
        <w:jc w:val="left"/>
        <w:rPr>
          <w:rFonts w:ascii="ARIAL" w:hAnsi="ARIAL"/>
          <w:sz w:val="18"/>
        </w:rPr>
      </w:pPr>
      <w:r>
        <w:rPr>
          <w:rFonts w:ascii="ARIAL" w:hAnsi="ARIAL"/>
          <w:sz w:val="18"/>
        </w:rPr>
        <w:t xml:space="preserve">RULE 10B5-1 SALES PLANS </w:t>
      </w:r>
    </w:p>
    <w:p>
      <w:pPr>
        <w:pStyle w:val="TextBody"/>
        <w:bidi w:val="0"/>
        <w:spacing w:before="200" w:after="0"/>
        <w:jc w:val="left"/>
        <w:rPr>
          <w:rFonts w:ascii="ARIAL" w:hAnsi="ARIAL"/>
          <w:sz w:val="18"/>
        </w:rPr>
      </w:pPr>
      <w:r>
        <w:rPr>
          <w:rFonts w:ascii="ARIAL" w:hAnsi="ARIAL"/>
          <w:sz w:val="18"/>
        </w:rPr>
        <w:t xml:space="preserve">Our ITP permits our directors, officers and employees to enter into trading plans complying with Rule 10b5-1 under the Exchange Act at a time when such individuals are not in possession of material non-public information. Certain of our executive officers and directors have adopted, and may in the future adopt, Rule 10b5-1 trading plans. Generally, under these trading plans, the individual relinquishes control over the transactions once the trading plan is put into place. Accordingly, sales under these plans may occur at any time during the term of the trading plan, including possibly before, simultaneously with, or immediately after significant events involving our company, and at other times, including during a closed trading window, when a director, officer, or employee may be prohibited from trading otherwise. </w:t>
      </w:r>
    </w:p>
    <w:p>
      <w:pPr>
        <w:pStyle w:val="TextBody"/>
        <w:bidi w:val="0"/>
        <w:spacing w:before="200" w:after="0"/>
        <w:jc w:val="left"/>
        <w:rPr>
          <w:rFonts w:ascii="ARIAL" w:hAnsi="ARIAL"/>
          <w:sz w:val="18"/>
        </w:rPr>
      </w:pPr>
      <w:r>
        <w:rPr>
          <w:rFonts w:ascii="ARIAL" w:hAnsi="ARIAL"/>
          <w:sz w:val="18"/>
        </w:rPr>
        <w:t xml:space="preserve">STOCK OWNERSHIP GUIDELINES </w:t>
      </w:r>
    </w:p>
    <w:p>
      <w:pPr>
        <w:pStyle w:val="TextBody"/>
        <w:bidi w:val="0"/>
        <w:spacing w:before="200" w:after="0"/>
        <w:jc w:val="left"/>
        <w:rPr>
          <w:rFonts w:ascii="ARIAL" w:hAnsi="ARIAL"/>
          <w:sz w:val="18"/>
        </w:rPr>
      </w:pPr>
      <w:r>
        <w:rPr>
          <w:rFonts w:ascii="ARIAL" w:hAnsi="ARIAL"/>
          <w:sz w:val="18"/>
        </w:rPr>
        <w:t xml:space="preserve">To better align the interests of our executive officers with those of our stockholders, in July 2023 we adopted a stock ownership policy that requires our executive officers (as defined for purposes of Section 16 of the Securities Exchange Act of 1934, as amended) to hold specified amounts of Flywire stock or other qualifying equity securities. Qualifying equity securities include Flywire common stock, including both vested and unvested restricted stock unit awards that do not have an exercise or purchase price, and shares issuable under equity awards that vest based on the achievement of performance goals after such conditions have been satisfied. Qualifying equity securities include shares held by the executive or any immediate family members living in his or her household. Under the policy, ownership guidelines are five times (5x) annual base salary for our Chief Executive Officer and two times (2x) base salary for all other executive officers. Compliance with this policy is measured at the end of our fiscal year and is measured based on the closing price of the common stock on the applicable measurement date (or the last prior trading day if the measurement date is not a trading day). Each executive officer has five years from the later of (i) the effective date of the policy (July 2023) or (ii) the first date the individual became subject to the guidelines as an executive officer. If at that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  34  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point an executive officer does not hold the required amount, then they are required to maintain 50% of any shares acquired through stock option exercises and vesting of restricted stock units until such time as the threshold is met. At the end of 2024, each executive officer had satisfied the stock ownership guidelines. </w:t>
      </w:r>
    </w:p>
    <w:p>
      <w:pPr>
        <w:pStyle w:val="TextBody"/>
        <w:bidi w:val="0"/>
        <w:spacing w:before="200" w:after="0"/>
        <w:jc w:val="left"/>
        <w:rPr>
          <w:rFonts w:ascii="ARIAL" w:hAnsi="ARIAL"/>
          <w:sz w:val="18"/>
        </w:rPr>
      </w:pPr>
      <w:r>
        <w:rPr>
          <w:rFonts w:ascii="ARIAL" w:hAnsi="ARIAL"/>
          <w:sz w:val="18"/>
        </w:rPr>
        <w:t xml:space="preserve">In November 2024 we adopted a stock ownership policy that requires the non-employee members of our Board of Directors to hold specified amounts of Flywire stock or other qualifying equity securities. Qualifying equity securities include Flywire common stock, including both vested and unvested restricted stock unit awards that do not have an exercise or purchase price, and shares issuable under equity awards that vest based on the achievement of performance goals after such conditions have been satisfied. Qualifying equity securities include shares held by the executive or any immediate family members living in his or her household. Under the policy, ownership guidelines are five times (5x) the annual cash retainer for Board service, excluding any additional retainers for committee service or for service as lead independent director or Chairman of the Board. This requirement applies to such directors irrespective of their acceptance of any such payment. Compliance with this policy is measured at the end of our fiscal year and is measured based on the closing price of the common stock on the applicable measurement date (or the last prior trading day if the measurement date is not a trading day). Each non-employee director has three years from the later of (i) the effective date of the policy (November 2024) or (ii) the first date the individual became subject to the guidelines as a non-employee director. If at that point a director does not hold the required amount, then they are required to maintain 50% of any shares acquired through stock option exercises and vesting of restricted stock units until such time as the threshold is met. At the end of 2024, each director had satisfied the stock ownership guidelines. </w:t>
      </w:r>
    </w:p>
    <w:p>
      <w:pPr>
        <w:pStyle w:val="TextBody"/>
        <w:bidi w:val="0"/>
        <w:spacing w:before="200" w:after="0"/>
        <w:jc w:val="left"/>
        <w:rPr>
          <w:rFonts w:ascii="ARIAL" w:hAnsi="ARIAL"/>
          <w:sz w:val="18"/>
        </w:rPr>
      </w:pPr>
      <w:r>
        <w:rPr>
          <w:rFonts w:ascii="ARIAL" w:hAnsi="ARIAL"/>
          <w:sz w:val="18"/>
        </w:rPr>
        <w:t xml:space="preserve">PEOPLE &amp; COMPENSATION COMMITTEE REPORT* </w:t>
      </w:r>
    </w:p>
    <w:p>
      <w:pPr>
        <w:pStyle w:val="TextBody"/>
        <w:bidi w:val="0"/>
        <w:spacing w:before="200" w:after="0"/>
        <w:jc w:val="left"/>
        <w:rPr>
          <w:rFonts w:ascii="ARIAL" w:hAnsi="ARIAL"/>
          <w:sz w:val="18"/>
        </w:rPr>
      </w:pPr>
      <w:r>
        <w:rPr>
          <w:rFonts w:ascii="ARIAL" w:hAnsi="ARIAL"/>
          <w:sz w:val="18"/>
        </w:rPr>
        <w:t xml:space="preserve">Our People &amp; Compensation Committee has reviewed and discussed the Compensation Discussion and Analysis with management. Based on such review and discussion, our People &amp; Compensation Committee has recommended to our Board of Directors that the Compensation Discussion and Analysis be incorporated by reference into our 2024 Annual Report and included in this proxy statement. </w:t>
      </w:r>
    </w:p>
    <w:p>
      <w:pPr>
        <w:pStyle w:val="TextBody"/>
        <w:bidi w:val="0"/>
        <w:spacing w:before="200" w:after="0"/>
        <w:jc w:val="left"/>
        <w:rPr>
          <w:rFonts w:ascii="ARIAL" w:hAnsi="ARIAL"/>
          <w:sz w:val="18"/>
        </w:rPr>
      </w:pPr>
      <w:r>
        <w:rPr>
          <w:rFonts w:ascii="ARIAL" w:hAnsi="ARIAL"/>
          <w:sz w:val="18"/>
        </w:rPr>
        <w:t xml:space="preserve">Respectfully submitted by the members of the People &amp; Compensation Committee of our Board of Directors: </w:t>
      </w:r>
    </w:p>
    <w:p>
      <w:pPr>
        <w:pStyle w:val="TextBody"/>
        <w:bidi w:val="0"/>
        <w:spacing w:before="200" w:after="0"/>
        <w:jc w:val="left"/>
        <w:rPr>
          <w:rFonts w:ascii="ARIAL" w:hAnsi="ARIAL"/>
          <w:b/>
          <w:sz w:val="18"/>
        </w:rPr>
      </w:pPr>
      <w:r>
        <w:rPr>
          <w:rFonts w:ascii="ARIAL" w:hAnsi="ARIAL"/>
          <w:b/>
          <w:sz w:val="18"/>
        </w:rPr>
        <w:t xml:space="preserve">Diane Offereins, Chair </w:t>
      </w:r>
    </w:p>
    <w:p>
      <w:pPr>
        <w:pStyle w:val="TextBody"/>
        <w:bidi w:val="0"/>
        <w:spacing w:before="0" w:after="0"/>
        <w:jc w:val="left"/>
        <w:rPr>
          <w:rFonts w:ascii="ARIAL" w:hAnsi="ARIAL"/>
          <w:b/>
          <w:sz w:val="18"/>
        </w:rPr>
      </w:pPr>
      <w:r>
        <w:rPr>
          <w:rFonts w:ascii="ARIAL" w:hAnsi="ARIAL"/>
          <w:b/>
          <w:sz w:val="18"/>
        </w:rPr>
        <w:t xml:space="preserve">Matthew Harris </w:t>
      </w:r>
    </w:p>
    <w:p>
      <w:pPr>
        <w:pStyle w:val="TextBody"/>
        <w:bidi w:val="0"/>
        <w:spacing w:before="0" w:after="0"/>
        <w:jc w:val="left"/>
        <w:rPr>
          <w:rFonts w:ascii="ARIAL" w:hAnsi="ARIAL"/>
          <w:b/>
          <w:sz w:val="18"/>
        </w:rPr>
      </w:pPr>
      <w:r>
        <w:rPr>
          <w:rFonts w:ascii="ARIAL" w:hAnsi="ARIAL"/>
          <w:b/>
          <w:sz w:val="18"/>
        </w:rPr>
        <w:t xml:space="preserve">Gretchen Howard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333333"/>
              </w:rPr>
            </w:pPr>
            <w:r>
              <w:rPr>
                <w:color w:val="333333"/>
              </w:rPr>
              <w:t>*</w:t>
            </w:r>
          </w:p>
        </w:tc>
        <w:tc>
          <w:tcPr>
            <w:tcW w:w="10050" w:type="dxa"/>
            <w:tcBorders/>
            <w:vAlign w:val="center"/>
          </w:tcPr>
          <w:p>
            <w:pPr>
              <w:pStyle w:val="TableContents"/>
              <w:bidi w:val="0"/>
              <w:spacing w:before="0" w:after="0"/>
              <w:jc w:val="left"/>
              <w:rPr>
                <w:rFonts w:ascii="ARIAL" w:hAnsi="ARIAL"/>
                <w:color w:val="333333"/>
                <w:sz w:val="14"/>
              </w:rPr>
            </w:pPr>
            <w:r>
              <w:rPr>
                <w:rFonts w:ascii="ARIAL" w:hAnsi="ARIAL"/>
                <w:b/>
                <w:color w:val="333333"/>
                <w:sz w:val="14"/>
              </w:rPr>
              <w:t>The material in this report is not soliciting material, is not deemed filed with the SEC and is not to be incorporated by reference in any filing of Flywire Corporation under the Securities Act or the Exchange Act, whether made before or after the date hereof and irrespective of any general incorporation language in any such filing.</w:t>
            </w:r>
            <w:r>
              <w:rPr>
                <w:rFonts w:ascii="ARIAL" w:hAnsi="ARIAL"/>
                <w:color w:val="333333"/>
                <w:sz w:val="14"/>
              </w:rPr>
              <w:t xml:space="preserve">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  35  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bookmarkStart w:id="40" w:name="toc917810_38"/>
      <w:bookmarkEnd w:id="40"/>
      <w:r>
        <w:rPr>
          <w:rFonts w:ascii="ARIAL" w:hAnsi="ARIAL"/>
          <w:sz w:val="18"/>
        </w:rPr>
        <w:t xml:space="preserve">FISCAL 2024 SUMMARY COMPENSATION TABLE </w:t>
      </w:r>
    </w:p>
    <w:p>
      <w:pPr>
        <w:pStyle w:val="TextBody"/>
        <w:bidi w:val="0"/>
        <w:spacing w:before="200" w:after="0"/>
        <w:jc w:val="left"/>
        <w:rPr>
          <w:rFonts w:ascii="ARIAL" w:hAnsi="ARIAL"/>
          <w:sz w:val="18"/>
        </w:rPr>
      </w:pPr>
      <w:r>
        <w:rPr>
          <w:rFonts w:ascii="ARIAL" w:hAnsi="ARIAL"/>
          <w:sz w:val="18"/>
        </w:rPr>
        <w:t xml:space="preserve">The following table shows information regarding the compensation awarded to, earned by, or paid to our NEOs for the years indicated: </w:t>
      </w:r>
    </w:p>
    <w:p>
      <w:pPr>
        <w:pStyle w:val="TextBody"/>
        <w:bidi w:val="0"/>
        <w:spacing w:before="0" w:after="0"/>
        <w:jc w:val="left"/>
        <w:rPr/>
      </w:pPr>
      <w:r>
        <w:rPr/>
        <w:t> </w:t>
      </w:r>
    </w:p>
    <w:tbl>
      <w:tblPr>
        <w:tblW w:w="15435" w:type="dxa"/>
        <w:jc w:val="left"/>
        <w:tblInd w:w="0" w:type="dxa"/>
        <w:tblLayout w:type="fixed"/>
        <w:tblCellMar>
          <w:top w:w="0" w:type="dxa"/>
          <w:left w:w="0" w:type="dxa"/>
          <w:bottom w:w="0" w:type="dxa"/>
          <w:right w:w="0" w:type="dxa"/>
        </w:tblCellMar>
      </w:tblPr>
      <w:tblGrid>
        <w:gridCol w:w="4040"/>
        <w:gridCol w:w="120"/>
        <w:gridCol w:w="77"/>
        <w:gridCol w:w="648"/>
        <w:gridCol w:w="60"/>
        <w:gridCol w:w="120"/>
        <w:gridCol w:w="72"/>
        <w:gridCol w:w="968"/>
        <w:gridCol w:w="60"/>
        <w:gridCol w:w="120"/>
        <w:gridCol w:w="60"/>
        <w:gridCol w:w="1100"/>
        <w:gridCol w:w="335"/>
        <w:gridCol w:w="60"/>
        <w:gridCol w:w="77"/>
        <w:gridCol w:w="1038"/>
        <w:gridCol w:w="335"/>
        <w:gridCol w:w="60"/>
        <w:gridCol w:w="150"/>
        <w:gridCol w:w="2000"/>
        <w:gridCol w:w="215"/>
        <w:gridCol w:w="60"/>
        <w:gridCol w:w="141"/>
        <w:gridCol w:w="1889"/>
        <w:gridCol w:w="335"/>
        <w:gridCol w:w="60"/>
        <w:gridCol w:w="60"/>
        <w:gridCol w:w="1100"/>
        <w:gridCol w:w="75"/>
      </w:tblGrid>
      <w:tr>
        <w:trPr/>
        <w:tc>
          <w:tcPr>
            <w:tcW w:w="4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40" w:type="dxa"/>
            <w:tcBorders/>
            <w:vAlign w:val="center"/>
          </w:tcPr>
          <w:p>
            <w:pPr>
              <w:pStyle w:val="TableContents"/>
              <w:bidi w:val="0"/>
              <w:spacing w:before="0" w:after="283"/>
              <w:jc w:val="left"/>
              <w:rPr>
                <w:b/>
              </w:rPr>
            </w:pPr>
            <w:r>
              <w:rPr>
                <w:b/>
              </w:rPr>
              <w:t>NAME AND PRINCIPAL POSITION</w:t>
            </w:r>
          </w:p>
        </w:tc>
        <w:tc>
          <w:tcPr>
            <w:tcW w:w="12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right"/>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b/>
              </w:rPr>
            </w:pPr>
            <w:r>
              <w:rPr>
                <w:b/>
              </w:rPr>
              <w:t>SALARY</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b/>
              </w:rPr>
            </w:pPr>
            <w:r>
              <w:rPr>
                <w:b/>
              </w:rPr>
              <w:t>STOCK</w:t>
              <w:br/>
              <w:t>AWARDS</w:t>
              <w:br/>
              <w:t>($)(1)</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b/>
              </w:rPr>
            </w:pPr>
            <w:r>
              <w:rPr>
                <w:b/>
              </w:rPr>
              <w:t>OPTION</w:t>
              <w:br/>
              <w:t>AWARDS</w:t>
              <w:br/>
              <w:t>($)(1)</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gridSpan w:val="2"/>
            <w:tcBorders/>
            <w:vAlign w:val="center"/>
          </w:tcPr>
          <w:p>
            <w:pPr>
              <w:pStyle w:val="TableContents"/>
              <w:bidi w:val="0"/>
              <w:spacing w:before="0" w:after="283"/>
              <w:jc w:val="right"/>
              <w:rPr>
                <w:b/>
              </w:rPr>
            </w:pPr>
            <w:r>
              <w:rPr>
                <w:b/>
              </w:rPr>
              <w:t>NON-EQUITY</w:t>
              <w:br/>
              <w:t>INCENTIVE PLAN</w:t>
              <w:br/>
              <w:t>COMPENSATION</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right"/>
              <w:rPr>
                <w:b/>
              </w:rPr>
            </w:pPr>
            <w:r>
              <w:rPr>
                <w:b/>
              </w:rPr>
              <w:t>ALL OTHER</w:t>
              <w:br/>
              <w:t>COMPENSATION</w:t>
              <w:b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right"/>
              <w:rPr>
                <w:rFonts w:ascii="ARIAL" w:hAnsi="ARIAL"/>
                <w:b/>
                <w:sz w:val="14"/>
              </w:rPr>
            </w:pPr>
            <w:r>
              <w:rPr>
                <w:rFonts w:ascii="ARIAL" w:hAnsi="ARIAL"/>
                <w:b/>
                <w:sz w:val="14"/>
              </w:rPr>
              <w:t xml:space="preserve">TOTAL </w:t>
            </w:r>
          </w:p>
          <w:p>
            <w:pPr>
              <w:pStyle w:val="TableContents"/>
              <w:bidi w:val="0"/>
              <w:spacing w:before="0" w:after="20"/>
              <w:jc w:val="right"/>
              <w:rPr>
                <w:rFonts w:ascii="ARIAL" w:hAnsi="ARIAL"/>
                <w:b/>
                <w:sz w:val="14"/>
              </w:rPr>
            </w:pPr>
            <w:r>
              <w:rPr>
                <w:rFonts w:ascii="ARIAL" w:hAnsi="ARIAL"/>
                <w:b/>
                <w:sz w:val="14"/>
              </w:rPr>
              <w:t xml:space="preserve">($) </w:t>
            </w:r>
          </w:p>
        </w:tc>
        <w:tc>
          <w:tcPr>
            <w:tcW w:w="75" w:type="dxa"/>
            <w:tcBorders/>
            <w:vAlign w:val="center"/>
          </w:tcPr>
          <w:p>
            <w:pPr>
              <w:pStyle w:val="TableContents"/>
              <w:bidi w:val="0"/>
              <w:spacing w:before="0" w:after="283"/>
              <w:jc w:val="left"/>
              <w:rPr/>
            </w:pPr>
            <w:r>
              <w:rPr/>
              <w:t> </w:t>
            </w:r>
          </w:p>
        </w:tc>
      </w:tr>
      <w:tr>
        <w:trPr/>
        <w:tc>
          <w:tcPr>
            <w:tcW w:w="4040" w:type="dxa"/>
            <w:tcBorders/>
            <w:shd w:fill="E8F4FF" w:val="clear"/>
            <w:vAlign w:val="center"/>
          </w:tcPr>
          <w:p>
            <w:pPr>
              <w:pStyle w:val="TableContents"/>
              <w:bidi w:val="0"/>
              <w:spacing w:before="0" w:after="283"/>
              <w:jc w:val="left"/>
              <w:rPr>
                <w:sz w:val="4"/>
                <w:szCs w:val="4"/>
              </w:rPr>
            </w:pPr>
            <w:r>
              <w:rPr>
                <w:sz w:val="4"/>
                <w:szCs w:val="4"/>
              </w:rPr>
            </w:r>
          </w:p>
        </w:tc>
        <w:tc>
          <w:tcPr>
            <w:tcW w:w="905" w:type="dxa"/>
            <w:gridSpan w:val="4"/>
            <w:tcBorders/>
            <w:shd w:fill="E8F4FF" w:val="clear"/>
            <w:vAlign w:val="center"/>
          </w:tcPr>
          <w:p>
            <w:pPr>
              <w:pStyle w:val="TableContents"/>
              <w:bidi w:val="0"/>
              <w:spacing w:before="0" w:after="283"/>
              <w:jc w:val="left"/>
              <w:rPr>
                <w:sz w:val="4"/>
                <w:szCs w:val="4"/>
              </w:rPr>
            </w:pPr>
            <w:r>
              <w:rPr>
                <w:sz w:val="4"/>
                <w:szCs w:val="4"/>
              </w:rPr>
            </w:r>
          </w:p>
        </w:tc>
        <w:tc>
          <w:tcPr>
            <w:tcW w:w="1220" w:type="dxa"/>
            <w:gridSpan w:val="4"/>
            <w:tcBorders/>
            <w:shd w:fill="E8F4FF" w:val="clear"/>
            <w:vAlign w:val="center"/>
          </w:tcPr>
          <w:p>
            <w:pPr>
              <w:pStyle w:val="TableContents"/>
              <w:bidi w:val="0"/>
              <w:spacing w:before="0" w:after="283"/>
              <w:jc w:val="left"/>
              <w:rPr>
                <w:sz w:val="4"/>
                <w:szCs w:val="4"/>
              </w:rPr>
            </w:pPr>
            <w:r>
              <w:rPr>
                <w:sz w:val="4"/>
                <w:szCs w:val="4"/>
              </w:rPr>
            </w:r>
          </w:p>
        </w:tc>
        <w:tc>
          <w:tcPr>
            <w:tcW w:w="1615" w:type="dxa"/>
            <w:gridSpan w:val="4"/>
            <w:tcBorders/>
            <w:shd w:fill="E8F4FF" w:val="clear"/>
            <w:vAlign w:val="center"/>
          </w:tcPr>
          <w:p>
            <w:pPr>
              <w:pStyle w:val="TableContents"/>
              <w:bidi w:val="0"/>
              <w:spacing w:before="0" w:after="283"/>
              <w:jc w:val="left"/>
              <w:rPr>
                <w:sz w:val="4"/>
                <w:szCs w:val="4"/>
              </w:rPr>
            </w:pPr>
            <w:r>
              <w:rPr>
                <w:sz w:val="4"/>
                <w:szCs w:val="4"/>
              </w:rPr>
            </w:r>
          </w:p>
        </w:tc>
        <w:tc>
          <w:tcPr>
            <w:tcW w:w="1510" w:type="dxa"/>
            <w:gridSpan w:val="4"/>
            <w:tcBorders/>
            <w:shd w:fill="E8F4FF" w:val="clear"/>
            <w:vAlign w:val="center"/>
          </w:tcPr>
          <w:p>
            <w:pPr>
              <w:pStyle w:val="TableContents"/>
              <w:bidi w:val="0"/>
              <w:spacing w:before="0" w:after="283"/>
              <w:jc w:val="left"/>
              <w:rPr>
                <w:sz w:val="4"/>
                <w:szCs w:val="4"/>
              </w:rPr>
            </w:pPr>
            <w:r>
              <w:rPr>
                <w:sz w:val="4"/>
                <w:szCs w:val="4"/>
              </w:rPr>
            </w:r>
          </w:p>
        </w:tc>
        <w:tc>
          <w:tcPr>
            <w:tcW w:w="2425" w:type="dxa"/>
            <w:gridSpan w:val="4"/>
            <w:tcBorders/>
            <w:shd w:fill="E8F4FF" w:val="clear"/>
            <w:vAlign w:val="center"/>
          </w:tcPr>
          <w:p>
            <w:pPr>
              <w:pStyle w:val="TableContents"/>
              <w:bidi w:val="0"/>
              <w:spacing w:before="0" w:after="283"/>
              <w:jc w:val="left"/>
              <w:rPr>
                <w:sz w:val="4"/>
                <w:szCs w:val="4"/>
              </w:rPr>
            </w:pPr>
            <w:r>
              <w:rPr>
                <w:sz w:val="4"/>
                <w:szCs w:val="4"/>
              </w:rPr>
            </w:r>
          </w:p>
        </w:tc>
        <w:tc>
          <w:tcPr>
            <w:tcW w:w="2425" w:type="dxa"/>
            <w:gridSpan w:val="4"/>
            <w:tcBorders/>
            <w:shd w:fill="E8F4FF" w:val="clear"/>
            <w:vAlign w:val="center"/>
          </w:tcPr>
          <w:p>
            <w:pPr>
              <w:pStyle w:val="TableContents"/>
              <w:bidi w:val="0"/>
              <w:spacing w:before="0" w:after="283"/>
              <w:jc w:val="left"/>
              <w:rPr>
                <w:sz w:val="4"/>
                <w:szCs w:val="4"/>
              </w:rPr>
            </w:pPr>
            <w:r>
              <w:rPr>
                <w:sz w:val="4"/>
                <w:szCs w:val="4"/>
              </w:rPr>
            </w:r>
          </w:p>
        </w:tc>
        <w:tc>
          <w:tcPr>
            <w:tcW w:w="129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4040" w:type="dxa"/>
            <w:vMerge w:val="restart"/>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Michael Massaro</w:t>
            </w:r>
          </w:p>
          <w:p>
            <w:pPr>
              <w:pStyle w:val="TableContents"/>
              <w:bidi w:val="0"/>
              <w:spacing w:before="0" w:after="20"/>
              <w:jc w:val="left"/>
              <w:rPr>
                <w:rFonts w:ascii="ARIAL" w:hAnsi="ARIAL"/>
                <w:sz w:val="16"/>
              </w:rPr>
            </w:pPr>
            <w:r>
              <w:rPr>
                <w:rFonts w:ascii="ARIAL" w:hAnsi="ARIAL"/>
                <w:sz w:val="16"/>
              </w:rPr>
              <w:t>Chief Executive Officer</w:t>
            </w:r>
          </w:p>
        </w:tc>
        <w:tc>
          <w:tcPr>
            <w:tcW w:w="12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648" w:type="dxa"/>
            <w:tcBorders/>
            <w:shd w:fill="E8F4FF" w:val="clear"/>
            <w:vAlign w:val="center"/>
          </w:tcPr>
          <w:p>
            <w:pPr>
              <w:pStyle w:val="TableContents"/>
              <w:bidi w:val="0"/>
              <w:spacing w:before="0" w:after="283"/>
              <w:jc w:val="right"/>
              <w:rPr/>
            </w:pPr>
            <w:r>
              <w:rPr/>
              <w:t>2024</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72" w:type="dxa"/>
            <w:tcBorders/>
            <w:shd w:fill="E8F4FF" w:val="clear"/>
            <w:vAlign w:val="center"/>
          </w:tcPr>
          <w:p>
            <w:pPr>
              <w:pStyle w:val="TableContents"/>
              <w:bidi w:val="0"/>
              <w:spacing w:before="0" w:after="283"/>
              <w:jc w:val="left"/>
              <w:rPr/>
            </w:pPr>
            <w:r>
              <w:rPr/>
              <w:t> </w:t>
            </w:r>
          </w:p>
        </w:tc>
        <w:tc>
          <w:tcPr>
            <w:tcW w:w="968" w:type="dxa"/>
            <w:tcBorders/>
            <w:shd w:fill="E8F4FF" w:val="clear"/>
            <w:vAlign w:val="center"/>
          </w:tcPr>
          <w:p>
            <w:pPr>
              <w:pStyle w:val="TableContents"/>
              <w:bidi w:val="0"/>
              <w:spacing w:before="0" w:after="283"/>
              <w:jc w:val="right"/>
              <w:rPr/>
            </w:pPr>
            <w:r>
              <w:rPr/>
              <w:t>450,000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9,295,443</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1038" w:type="dxa"/>
            <w:tcBorders/>
            <w:shd w:fill="E8F4FF" w:val="clear"/>
            <w:vAlign w:val="center"/>
          </w:tcPr>
          <w:p>
            <w:pPr>
              <w:pStyle w:val="TableContents"/>
              <w:bidi w:val="0"/>
              <w:spacing w:before="0" w:after="283"/>
              <w:jc w:val="right"/>
              <w:rPr/>
            </w:pPr>
            <w:r>
              <w:rPr/>
              <w:t>—</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50" w:type="dxa"/>
            <w:tcBorders/>
            <w:shd w:fill="E8F4FF" w:val="clear"/>
            <w:vAlign w:val="center"/>
          </w:tcPr>
          <w:p>
            <w:pPr>
              <w:pStyle w:val="TableContents"/>
              <w:bidi w:val="0"/>
              <w:spacing w:before="0" w:after="283"/>
              <w:jc w:val="left"/>
              <w:rPr/>
            </w:pPr>
            <w:r>
              <w:rPr/>
              <w:t> </w:t>
            </w:r>
          </w:p>
        </w:tc>
        <w:tc>
          <w:tcPr>
            <w:tcW w:w="2000" w:type="dxa"/>
            <w:tcBorders/>
            <w:shd w:fill="E8F4FF" w:val="clear"/>
            <w:vAlign w:val="center"/>
          </w:tcPr>
          <w:p>
            <w:pPr>
              <w:pStyle w:val="TableContents"/>
              <w:bidi w:val="0"/>
              <w:spacing w:before="0" w:after="283"/>
              <w:jc w:val="right"/>
              <w:rPr/>
            </w:pPr>
            <w:r>
              <w:rPr/>
              <w:t>241,776</w:t>
            </w:r>
          </w:p>
        </w:tc>
        <w:tc>
          <w:tcPr>
            <w:tcW w:w="215" w:type="dxa"/>
            <w:tcBorders/>
            <w:shd w:fill="E8F4FF" w:val="clear"/>
            <w:vAlign w:val="center"/>
          </w:tcPr>
          <w:p>
            <w:pPr>
              <w:pStyle w:val="TableContents"/>
              <w:bidi w:val="0"/>
              <w:spacing w:before="0" w:after="283"/>
              <w:jc w:val="left"/>
              <w:rPr/>
            </w:pPr>
            <w:r>
              <w:rPr/>
              <w:t>(2) </w:t>
            </w:r>
          </w:p>
        </w:tc>
        <w:tc>
          <w:tcPr>
            <w:tcW w:w="60" w:type="dxa"/>
            <w:tcBorders/>
            <w:shd w:fill="E8F4FF" w:val="clear"/>
            <w:vAlign w:val="center"/>
          </w:tcPr>
          <w:p>
            <w:pPr>
              <w:pStyle w:val="TableContents"/>
              <w:bidi w:val="0"/>
              <w:spacing w:before="0" w:after="283"/>
              <w:jc w:val="left"/>
              <w:rPr/>
            </w:pPr>
            <w:r>
              <w:rPr/>
              <w:t> </w:t>
            </w:r>
          </w:p>
        </w:tc>
        <w:tc>
          <w:tcPr>
            <w:tcW w:w="141" w:type="dxa"/>
            <w:tcBorders/>
            <w:shd w:fill="E8F4FF" w:val="clear"/>
            <w:vAlign w:val="center"/>
          </w:tcPr>
          <w:p>
            <w:pPr>
              <w:pStyle w:val="TableContents"/>
              <w:bidi w:val="0"/>
              <w:spacing w:before="0" w:after="283"/>
              <w:jc w:val="left"/>
              <w:rPr/>
            </w:pPr>
            <w:r>
              <w:rPr/>
              <w:t> </w:t>
            </w:r>
          </w:p>
        </w:tc>
        <w:tc>
          <w:tcPr>
            <w:tcW w:w="1889" w:type="dxa"/>
            <w:tcBorders/>
            <w:shd w:fill="E8F4FF" w:val="clear"/>
            <w:vAlign w:val="center"/>
          </w:tcPr>
          <w:p>
            <w:pPr>
              <w:pStyle w:val="TableContents"/>
              <w:bidi w:val="0"/>
              <w:spacing w:before="0" w:after="283"/>
              <w:jc w:val="right"/>
              <w:rPr/>
            </w:pPr>
            <w:r>
              <w:rPr/>
              <w:t>11,598</w:t>
            </w:r>
          </w:p>
        </w:tc>
        <w:tc>
          <w:tcPr>
            <w:tcW w:w="335" w:type="dxa"/>
            <w:tcBorders/>
            <w:shd w:fill="E8F4FF" w:val="clear"/>
            <w:vAlign w:val="center"/>
          </w:tcPr>
          <w:p>
            <w:pPr>
              <w:pStyle w:val="TableContents"/>
              <w:bidi w:val="0"/>
              <w:spacing w:before="0" w:after="283"/>
              <w:jc w:val="left"/>
              <w:rPr/>
            </w:pPr>
            <w:r>
              <w:rPr/>
              <w:t>(3)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9,998,817</w:t>
            </w:r>
          </w:p>
        </w:tc>
        <w:tc>
          <w:tcPr>
            <w:tcW w:w="75" w:type="dxa"/>
            <w:tcBorders/>
            <w:shd w:fill="E8F4FF" w:val="clear"/>
            <w:vAlign w:val="center"/>
          </w:tcPr>
          <w:p>
            <w:pPr>
              <w:pStyle w:val="TableContents"/>
              <w:bidi w:val="0"/>
              <w:spacing w:before="0" w:after="283"/>
              <w:jc w:val="left"/>
              <w:rPr/>
            </w:pPr>
            <w:r>
              <w:rPr/>
              <w:t> </w:t>
            </w:r>
          </w:p>
        </w:tc>
      </w:tr>
      <w:tr>
        <w:trPr/>
        <w:tc>
          <w:tcPr>
            <w:tcW w:w="4040" w:type="dxa"/>
            <w:vMerge w:val="continue"/>
            <w:tcBorders/>
            <w:shd w:fill="E8F4FF" w:val="clear"/>
            <w:vAlign w:val="center"/>
          </w:tcPr>
          <w:p>
            <w:pPr>
              <w:pStyle w:val="Normal"/>
              <w:bidi w:val="0"/>
              <w:jc w:val="left"/>
              <w:rPr/>
            </w:pPr>
            <w:r>
              <w:rPr/>
            </w:r>
          </w:p>
        </w:tc>
        <w:tc>
          <w:tcPr>
            <w:tcW w:w="12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648" w:type="dxa"/>
            <w:tcBorders/>
            <w:shd w:fill="E8F4FF" w:val="clear"/>
            <w:vAlign w:val="center"/>
          </w:tcPr>
          <w:p>
            <w:pPr>
              <w:pStyle w:val="TableContents"/>
              <w:bidi w:val="0"/>
              <w:spacing w:before="0" w:after="283"/>
              <w:jc w:val="right"/>
              <w:rPr/>
            </w:pPr>
            <w:r>
              <w:rPr/>
              <w:t>2023</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72" w:type="dxa"/>
            <w:tcBorders/>
            <w:shd w:fill="E8F4FF" w:val="clear"/>
            <w:vAlign w:val="center"/>
          </w:tcPr>
          <w:p>
            <w:pPr>
              <w:pStyle w:val="TableContents"/>
              <w:bidi w:val="0"/>
              <w:spacing w:before="0" w:after="283"/>
              <w:jc w:val="left"/>
              <w:rPr/>
            </w:pPr>
            <w:r>
              <w:rPr/>
              <w:t> </w:t>
            </w:r>
          </w:p>
        </w:tc>
        <w:tc>
          <w:tcPr>
            <w:tcW w:w="968" w:type="dxa"/>
            <w:tcBorders/>
            <w:shd w:fill="E8F4FF" w:val="clear"/>
            <w:vAlign w:val="center"/>
          </w:tcPr>
          <w:p>
            <w:pPr>
              <w:pStyle w:val="TableContents"/>
              <w:bidi w:val="0"/>
              <w:spacing w:before="0" w:after="283"/>
              <w:jc w:val="right"/>
              <w:rPr/>
            </w:pPr>
            <w:r>
              <w:rPr/>
              <w:t>450,000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7,628,574</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1038" w:type="dxa"/>
            <w:tcBorders/>
            <w:shd w:fill="E8F4FF" w:val="clear"/>
            <w:vAlign w:val="center"/>
          </w:tcPr>
          <w:p>
            <w:pPr>
              <w:pStyle w:val="TableContents"/>
              <w:bidi w:val="0"/>
              <w:spacing w:before="0" w:after="283"/>
              <w:jc w:val="right"/>
              <w:rPr/>
            </w:pPr>
            <w:r>
              <w:rPr/>
              <w:t>—</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50" w:type="dxa"/>
            <w:tcBorders/>
            <w:shd w:fill="E8F4FF" w:val="clear"/>
            <w:vAlign w:val="center"/>
          </w:tcPr>
          <w:p>
            <w:pPr>
              <w:pStyle w:val="TableContents"/>
              <w:bidi w:val="0"/>
              <w:spacing w:before="0" w:after="283"/>
              <w:jc w:val="left"/>
              <w:rPr/>
            </w:pPr>
            <w:r>
              <w:rPr/>
              <w:t> </w:t>
            </w:r>
          </w:p>
        </w:tc>
        <w:tc>
          <w:tcPr>
            <w:tcW w:w="2000" w:type="dxa"/>
            <w:tcBorders/>
            <w:shd w:fill="E8F4FF" w:val="clear"/>
            <w:vAlign w:val="center"/>
          </w:tcPr>
          <w:p>
            <w:pPr>
              <w:pStyle w:val="TableContents"/>
              <w:bidi w:val="0"/>
              <w:spacing w:before="0" w:after="283"/>
              <w:jc w:val="right"/>
              <w:rPr/>
            </w:pPr>
            <w:r>
              <w:rPr/>
              <w:t>585,000</w:t>
            </w:r>
          </w:p>
        </w:tc>
        <w:tc>
          <w:tcPr>
            <w:tcW w:w="21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41" w:type="dxa"/>
            <w:tcBorders/>
            <w:shd w:fill="E8F4FF" w:val="clear"/>
            <w:vAlign w:val="center"/>
          </w:tcPr>
          <w:p>
            <w:pPr>
              <w:pStyle w:val="TableContents"/>
              <w:bidi w:val="0"/>
              <w:spacing w:before="0" w:after="283"/>
              <w:jc w:val="left"/>
              <w:rPr/>
            </w:pPr>
            <w:r>
              <w:rPr/>
              <w:t> </w:t>
            </w:r>
          </w:p>
        </w:tc>
        <w:tc>
          <w:tcPr>
            <w:tcW w:w="1889" w:type="dxa"/>
            <w:tcBorders/>
            <w:shd w:fill="E8F4FF" w:val="clear"/>
            <w:vAlign w:val="center"/>
          </w:tcPr>
          <w:p>
            <w:pPr>
              <w:pStyle w:val="TableContents"/>
              <w:bidi w:val="0"/>
              <w:spacing w:before="0" w:after="283"/>
              <w:jc w:val="right"/>
              <w:rPr/>
            </w:pPr>
            <w:r>
              <w:rPr/>
              <w:t>11,076</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8,674,650</w:t>
            </w:r>
          </w:p>
        </w:tc>
        <w:tc>
          <w:tcPr>
            <w:tcW w:w="75" w:type="dxa"/>
            <w:tcBorders/>
            <w:shd w:fill="E8F4FF" w:val="clear"/>
            <w:vAlign w:val="center"/>
          </w:tcPr>
          <w:p>
            <w:pPr>
              <w:pStyle w:val="TableContents"/>
              <w:bidi w:val="0"/>
              <w:spacing w:before="0" w:after="283"/>
              <w:jc w:val="left"/>
              <w:rPr/>
            </w:pPr>
            <w:r>
              <w:rPr/>
              <w:t> </w:t>
            </w:r>
          </w:p>
        </w:tc>
      </w:tr>
      <w:tr>
        <w:trPr/>
        <w:tc>
          <w:tcPr>
            <w:tcW w:w="4040" w:type="dxa"/>
            <w:vMerge w:val="continue"/>
            <w:tcBorders/>
            <w:shd w:fill="E8F4FF" w:val="clear"/>
            <w:vAlign w:val="center"/>
          </w:tcPr>
          <w:p>
            <w:pPr>
              <w:pStyle w:val="Normal"/>
              <w:bidi w:val="0"/>
              <w:jc w:val="left"/>
              <w:rPr/>
            </w:pPr>
            <w:r>
              <w:rPr/>
            </w:r>
          </w:p>
        </w:tc>
        <w:tc>
          <w:tcPr>
            <w:tcW w:w="12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648" w:type="dxa"/>
            <w:tcBorders/>
            <w:shd w:fill="E8F4FF" w:val="clear"/>
            <w:vAlign w:val="center"/>
          </w:tcPr>
          <w:p>
            <w:pPr>
              <w:pStyle w:val="TableContents"/>
              <w:bidi w:val="0"/>
              <w:spacing w:before="0" w:after="283"/>
              <w:jc w:val="right"/>
              <w:rPr/>
            </w:pPr>
            <w:r>
              <w:rPr/>
              <w:t>2022</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72" w:type="dxa"/>
            <w:tcBorders/>
            <w:shd w:fill="E8F4FF" w:val="clear"/>
            <w:vAlign w:val="center"/>
          </w:tcPr>
          <w:p>
            <w:pPr>
              <w:pStyle w:val="TableContents"/>
              <w:bidi w:val="0"/>
              <w:spacing w:before="0" w:after="283"/>
              <w:jc w:val="left"/>
              <w:rPr/>
            </w:pPr>
            <w:r>
              <w:rPr/>
              <w:t> </w:t>
            </w:r>
          </w:p>
        </w:tc>
        <w:tc>
          <w:tcPr>
            <w:tcW w:w="968" w:type="dxa"/>
            <w:tcBorders/>
            <w:shd w:fill="E8F4FF" w:val="clear"/>
            <w:vAlign w:val="center"/>
          </w:tcPr>
          <w:p>
            <w:pPr>
              <w:pStyle w:val="TableContents"/>
              <w:bidi w:val="0"/>
              <w:spacing w:before="0" w:after="283"/>
              <w:jc w:val="right"/>
              <w:rPr/>
            </w:pPr>
            <w:r>
              <w:rPr/>
              <w:t>450,000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6,384,148</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1038" w:type="dxa"/>
            <w:tcBorders/>
            <w:shd w:fill="E8F4FF" w:val="clear"/>
            <w:vAlign w:val="center"/>
          </w:tcPr>
          <w:p>
            <w:pPr>
              <w:pStyle w:val="TableContents"/>
              <w:bidi w:val="0"/>
              <w:spacing w:before="0" w:after="283"/>
              <w:jc w:val="right"/>
              <w:rPr/>
            </w:pPr>
            <w:r>
              <w:rPr/>
              <w:t>—</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50" w:type="dxa"/>
            <w:tcBorders/>
            <w:shd w:fill="E8F4FF" w:val="clear"/>
            <w:vAlign w:val="center"/>
          </w:tcPr>
          <w:p>
            <w:pPr>
              <w:pStyle w:val="TableContents"/>
              <w:bidi w:val="0"/>
              <w:spacing w:before="0" w:after="283"/>
              <w:jc w:val="left"/>
              <w:rPr/>
            </w:pPr>
            <w:r>
              <w:rPr/>
              <w:t> </w:t>
            </w:r>
          </w:p>
        </w:tc>
        <w:tc>
          <w:tcPr>
            <w:tcW w:w="2000" w:type="dxa"/>
            <w:tcBorders/>
            <w:shd w:fill="E8F4FF" w:val="clear"/>
            <w:vAlign w:val="center"/>
          </w:tcPr>
          <w:p>
            <w:pPr>
              <w:pStyle w:val="TableContents"/>
              <w:bidi w:val="0"/>
              <w:spacing w:before="0" w:after="283"/>
              <w:jc w:val="right"/>
              <w:rPr/>
            </w:pPr>
            <w:r>
              <w:rPr/>
              <w:t>226,200</w:t>
            </w:r>
          </w:p>
        </w:tc>
        <w:tc>
          <w:tcPr>
            <w:tcW w:w="21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41" w:type="dxa"/>
            <w:tcBorders/>
            <w:shd w:fill="E8F4FF" w:val="clear"/>
            <w:vAlign w:val="center"/>
          </w:tcPr>
          <w:p>
            <w:pPr>
              <w:pStyle w:val="TableContents"/>
              <w:bidi w:val="0"/>
              <w:spacing w:before="0" w:after="283"/>
              <w:jc w:val="left"/>
              <w:rPr/>
            </w:pPr>
            <w:r>
              <w:rPr/>
              <w:t> </w:t>
            </w:r>
          </w:p>
        </w:tc>
        <w:tc>
          <w:tcPr>
            <w:tcW w:w="1889" w:type="dxa"/>
            <w:tcBorders/>
            <w:shd w:fill="E8F4FF" w:val="clear"/>
            <w:vAlign w:val="center"/>
          </w:tcPr>
          <w:p>
            <w:pPr>
              <w:pStyle w:val="TableContents"/>
              <w:bidi w:val="0"/>
              <w:spacing w:before="0" w:after="283"/>
              <w:jc w:val="right"/>
              <w:rPr/>
            </w:pPr>
            <w:r>
              <w:rPr/>
              <w:t>10,326</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7,070,674</w:t>
            </w:r>
          </w:p>
        </w:tc>
        <w:tc>
          <w:tcPr>
            <w:tcW w:w="75" w:type="dxa"/>
            <w:tcBorders/>
            <w:shd w:fill="E8F4FF" w:val="clear"/>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4040" w:type="dxa"/>
            <w:vMerge w:val="restart"/>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Robert Orgel</w:t>
            </w:r>
          </w:p>
          <w:p>
            <w:pPr>
              <w:pStyle w:val="TableContents"/>
              <w:bidi w:val="0"/>
              <w:spacing w:before="0" w:after="20"/>
              <w:jc w:val="left"/>
              <w:rPr>
                <w:rFonts w:ascii="ARIAL" w:hAnsi="ARIAL"/>
                <w:sz w:val="16"/>
              </w:rPr>
            </w:pPr>
            <w:r>
              <w:rPr>
                <w:rFonts w:ascii="ARIAL" w:hAnsi="ARIAL"/>
                <w:sz w:val="16"/>
              </w:rPr>
              <w:t>President and Chief Operating Officer</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5,402,978</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120,888</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7,748</w:t>
            </w:r>
          </w:p>
        </w:tc>
        <w:tc>
          <w:tcPr>
            <w:tcW w:w="33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5,881,614</w:t>
            </w:r>
          </w:p>
        </w:tc>
        <w:tc>
          <w:tcPr>
            <w:tcW w:w="75" w:type="dxa"/>
            <w:tcBorders/>
            <w:vAlign w:val="center"/>
          </w:tcPr>
          <w:p>
            <w:pPr>
              <w:pStyle w:val="TableContents"/>
              <w:bidi w:val="0"/>
              <w:spacing w:before="0" w:after="283"/>
              <w:jc w:val="left"/>
              <w:rPr/>
            </w:pPr>
            <w:r>
              <w:rPr/>
              <w:t> </w:t>
            </w:r>
          </w:p>
        </w:tc>
      </w:tr>
      <w:tr>
        <w:trPr/>
        <w:tc>
          <w:tcPr>
            <w:tcW w:w="404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4,024,716</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293,000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8,799</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4,676,515</w:t>
            </w:r>
          </w:p>
        </w:tc>
        <w:tc>
          <w:tcPr>
            <w:tcW w:w="75" w:type="dxa"/>
            <w:tcBorders/>
            <w:vAlign w:val="center"/>
          </w:tcPr>
          <w:p>
            <w:pPr>
              <w:pStyle w:val="TableContents"/>
              <w:bidi w:val="0"/>
              <w:spacing w:before="0" w:after="283"/>
              <w:jc w:val="left"/>
              <w:rPr/>
            </w:pPr>
            <w:r>
              <w:rPr/>
              <w:t> </w:t>
            </w:r>
          </w:p>
        </w:tc>
      </w:tr>
      <w:tr>
        <w:trPr/>
        <w:tc>
          <w:tcPr>
            <w:tcW w:w="404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3,192,061</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195,750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10,326</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3,748,137</w:t>
            </w:r>
          </w:p>
        </w:tc>
        <w:tc>
          <w:tcPr>
            <w:tcW w:w="75" w:type="dxa"/>
            <w:tcBorders/>
            <w:vAlign w:val="center"/>
          </w:tcPr>
          <w:p>
            <w:pPr>
              <w:pStyle w:val="TableContents"/>
              <w:bidi w:val="0"/>
              <w:spacing w:before="0" w:after="283"/>
              <w:jc w:val="left"/>
              <w:rPr/>
            </w:pPr>
            <w:r>
              <w:rPr/>
              <w:t> </w:t>
            </w:r>
          </w:p>
        </w:tc>
      </w:tr>
      <w:tr>
        <w:trPr/>
        <w:tc>
          <w:tcPr>
            <w:tcW w:w="4040" w:type="dxa"/>
            <w:tcBorders/>
            <w:shd w:fill="E8F4FF" w:val="clear"/>
            <w:vAlign w:val="center"/>
          </w:tcPr>
          <w:p>
            <w:pPr>
              <w:pStyle w:val="TableContents"/>
              <w:bidi w:val="0"/>
              <w:spacing w:before="0" w:after="283"/>
              <w:jc w:val="left"/>
              <w:rPr>
                <w:sz w:val="4"/>
                <w:szCs w:val="4"/>
              </w:rPr>
            </w:pPr>
            <w:r>
              <w:rPr>
                <w:sz w:val="4"/>
                <w:szCs w:val="4"/>
              </w:rPr>
            </w:r>
          </w:p>
        </w:tc>
        <w:tc>
          <w:tcPr>
            <w:tcW w:w="905" w:type="dxa"/>
            <w:gridSpan w:val="4"/>
            <w:tcBorders/>
            <w:shd w:fill="E8F4FF" w:val="clear"/>
            <w:vAlign w:val="center"/>
          </w:tcPr>
          <w:p>
            <w:pPr>
              <w:pStyle w:val="TableContents"/>
              <w:bidi w:val="0"/>
              <w:spacing w:before="0" w:after="283"/>
              <w:jc w:val="left"/>
              <w:rPr>
                <w:sz w:val="4"/>
                <w:szCs w:val="4"/>
              </w:rPr>
            </w:pPr>
            <w:r>
              <w:rPr>
                <w:sz w:val="4"/>
                <w:szCs w:val="4"/>
              </w:rPr>
            </w:r>
          </w:p>
        </w:tc>
        <w:tc>
          <w:tcPr>
            <w:tcW w:w="1220" w:type="dxa"/>
            <w:gridSpan w:val="4"/>
            <w:tcBorders/>
            <w:shd w:fill="E8F4FF" w:val="clear"/>
            <w:vAlign w:val="center"/>
          </w:tcPr>
          <w:p>
            <w:pPr>
              <w:pStyle w:val="TableContents"/>
              <w:bidi w:val="0"/>
              <w:spacing w:before="0" w:after="283"/>
              <w:jc w:val="left"/>
              <w:rPr>
                <w:sz w:val="4"/>
                <w:szCs w:val="4"/>
              </w:rPr>
            </w:pPr>
            <w:r>
              <w:rPr>
                <w:sz w:val="4"/>
                <w:szCs w:val="4"/>
              </w:rPr>
            </w:r>
          </w:p>
        </w:tc>
        <w:tc>
          <w:tcPr>
            <w:tcW w:w="1615" w:type="dxa"/>
            <w:gridSpan w:val="4"/>
            <w:tcBorders/>
            <w:shd w:fill="E8F4FF" w:val="clear"/>
            <w:vAlign w:val="center"/>
          </w:tcPr>
          <w:p>
            <w:pPr>
              <w:pStyle w:val="TableContents"/>
              <w:bidi w:val="0"/>
              <w:spacing w:before="0" w:after="283"/>
              <w:jc w:val="left"/>
              <w:rPr>
                <w:sz w:val="4"/>
                <w:szCs w:val="4"/>
              </w:rPr>
            </w:pPr>
            <w:r>
              <w:rPr>
                <w:sz w:val="4"/>
                <w:szCs w:val="4"/>
              </w:rPr>
            </w:r>
          </w:p>
        </w:tc>
        <w:tc>
          <w:tcPr>
            <w:tcW w:w="1510" w:type="dxa"/>
            <w:gridSpan w:val="4"/>
            <w:tcBorders/>
            <w:shd w:fill="E8F4FF" w:val="clear"/>
            <w:vAlign w:val="center"/>
          </w:tcPr>
          <w:p>
            <w:pPr>
              <w:pStyle w:val="TableContents"/>
              <w:bidi w:val="0"/>
              <w:spacing w:before="0" w:after="283"/>
              <w:jc w:val="left"/>
              <w:rPr>
                <w:sz w:val="4"/>
                <w:szCs w:val="4"/>
              </w:rPr>
            </w:pPr>
            <w:r>
              <w:rPr>
                <w:sz w:val="4"/>
                <w:szCs w:val="4"/>
              </w:rPr>
            </w:r>
          </w:p>
        </w:tc>
        <w:tc>
          <w:tcPr>
            <w:tcW w:w="2425" w:type="dxa"/>
            <w:gridSpan w:val="4"/>
            <w:tcBorders/>
            <w:shd w:fill="E8F4FF" w:val="clear"/>
            <w:vAlign w:val="center"/>
          </w:tcPr>
          <w:p>
            <w:pPr>
              <w:pStyle w:val="TableContents"/>
              <w:bidi w:val="0"/>
              <w:spacing w:before="0" w:after="283"/>
              <w:jc w:val="left"/>
              <w:rPr>
                <w:sz w:val="4"/>
                <w:szCs w:val="4"/>
              </w:rPr>
            </w:pPr>
            <w:r>
              <w:rPr>
                <w:sz w:val="4"/>
                <w:szCs w:val="4"/>
              </w:rPr>
            </w:r>
          </w:p>
        </w:tc>
        <w:tc>
          <w:tcPr>
            <w:tcW w:w="2425" w:type="dxa"/>
            <w:gridSpan w:val="4"/>
            <w:tcBorders/>
            <w:shd w:fill="E8F4FF" w:val="clear"/>
            <w:vAlign w:val="center"/>
          </w:tcPr>
          <w:p>
            <w:pPr>
              <w:pStyle w:val="TableContents"/>
              <w:bidi w:val="0"/>
              <w:spacing w:before="0" w:after="283"/>
              <w:jc w:val="left"/>
              <w:rPr>
                <w:sz w:val="4"/>
                <w:szCs w:val="4"/>
              </w:rPr>
            </w:pPr>
            <w:r>
              <w:rPr>
                <w:sz w:val="4"/>
                <w:szCs w:val="4"/>
              </w:rPr>
            </w:r>
          </w:p>
        </w:tc>
        <w:tc>
          <w:tcPr>
            <w:tcW w:w="129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40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Cosmin Pitigoi(5)</w:t>
            </w:r>
          </w:p>
          <w:p>
            <w:pPr>
              <w:pStyle w:val="TableContents"/>
              <w:bidi w:val="0"/>
              <w:spacing w:before="0" w:after="20"/>
              <w:jc w:val="left"/>
              <w:rPr>
                <w:rFonts w:ascii="ARIAL" w:hAnsi="ARIAL"/>
                <w:sz w:val="16"/>
              </w:rPr>
            </w:pPr>
            <w:r>
              <w:rPr>
                <w:rFonts w:ascii="ARIAL" w:hAnsi="ARIAL"/>
                <w:sz w:val="16"/>
              </w:rPr>
              <w:t>Chief Financial Officer</w:t>
            </w:r>
          </w:p>
        </w:tc>
        <w:tc>
          <w:tcPr>
            <w:tcW w:w="12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648" w:type="dxa"/>
            <w:tcBorders/>
            <w:shd w:fill="E8F4FF" w:val="clear"/>
            <w:vAlign w:val="center"/>
          </w:tcPr>
          <w:p>
            <w:pPr>
              <w:pStyle w:val="TableContents"/>
              <w:bidi w:val="0"/>
              <w:spacing w:before="0" w:after="283"/>
              <w:jc w:val="right"/>
              <w:rPr/>
            </w:pPr>
            <w:r>
              <w:rPr/>
              <w:t>2024</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72" w:type="dxa"/>
            <w:tcBorders/>
            <w:shd w:fill="E8F4FF" w:val="clear"/>
            <w:vAlign w:val="center"/>
          </w:tcPr>
          <w:p>
            <w:pPr>
              <w:pStyle w:val="TableContents"/>
              <w:bidi w:val="0"/>
              <w:spacing w:before="0" w:after="283"/>
              <w:jc w:val="left"/>
              <w:rPr/>
            </w:pPr>
            <w:r>
              <w:rPr/>
              <w:t> </w:t>
            </w:r>
          </w:p>
        </w:tc>
        <w:tc>
          <w:tcPr>
            <w:tcW w:w="968" w:type="dxa"/>
            <w:tcBorders/>
            <w:shd w:fill="E8F4FF" w:val="clear"/>
            <w:vAlign w:val="center"/>
          </w:tcPr>
          <w:p>
            <w:pPr>
              <w:pStyle w:val="TableContents"/>
              <w:bidi w:val="0"/>
              <w:spacing w:before="0" w:after="283"/>
              <w:jc w:val="right"/>
              <w:rPr/>
            </w:pPr>
            <w:r>
              <w:rPr/>
              <w:t>340,353</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10,747,871</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1038" w:type="dxa"/>
            <w:tcBorders/>
            <w:shd w:fill="E8F4FF" w:val="clear"/>
            <w:vAlign w:val="center"/>
          </w:tcPr>
          <w:p>
            <w:pPr>
              <w:pStyle w:val="TableContents"/>
              <w:bidi w:val="0"/>
              <w:spacing w:before="0" w:after="283"/>
              <w:jc w:val="right"/>
              <w:rPr/>
            </w:pPr>
            <w:r>
              <w:rPr/>
              <w:t>—</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50" w:type="dxa"/>
            <w:tcBorders/>
            <w:shd w:fill="E8F4FF" w:val="clear"/>
            <w:vAlign w:val="center"/>
          </w:tcPr>
          <w:p>
            <w:pPr>
              <w:pStyle w:val="TableContents"/>
              <w:bidi w:val="0"/>
              <w:spacing w:before="0" w:after="283"/>
              <w:jc w:val="left"/>
              <w:rPr/>
            </w:pPr>
            <w:r>
              <w:rPr/>
              <w:t> </w:t>
            </w:r>
          </w:p>
        </w:tc>
        <w:tc>
          <w:tcPr>
            <w:tcW w:w="2000" w:type="dxa"/>
            <w:tcBorders/>
            <w:shd w:fill="E8F4FF" w:val="clear"/>
            <w:vAlign w:val="center"/>
          </w:tcPr>
          <w:p>
            <w:pPr>
              <w:pStyle w:val="TableContents"/>
              <w:bidi w:val="0"/>
              <w:spacing w:before="0" w:after="283"/>
              <w:jc w:val="right"/>
              <w:rPr/>
            </w:pPr>
            <w:r>
              <w:rPr/>
              <w:t>133,805</w:t>
            </w:r>
          </w:p>
        </w:tc>
        <w:tc>
          <w:tcPr>
            <w:tcW w:w="215" w:type="dxa"/>
            <w:tcBorders/>
            <w:shd w:fill="E8F4FF" w:val="clear"/>
            <w:vAlign w:val="center"/>
          </w:tcPr>
          <w:p>
            <w:pPr>
              <w:pStyle w:val="TableContents"/>
              <w:bidi w:val="0"/>
              <w:spacing w:before="0" w:after="283"/>
              <w:jc w:val="left"/>
              <w:rPr/>
            </w:pPr>
            <w:r>
              <w:rPr/>
              <w:t>(2) </w:t>
            </w:r>
          </w:p>
        </w:tc>
        <w:tc>
          <w:tcPr>
            <w:tcW w:w="60" w:type="dxa"/>
            <w:tcBorders/>
            <w:shd w:fill="E8F4FF" w:val="clear"/>
            <w:vAlign w:val="center"/>
          </w:tcPr>
          <w:p>
            <w:pPr>
              <w:pStyle w:val="TableContents"/>
              <w:bidi w:val="0"/>
              <w:spacing w:before="0" w:after="283"/>
              <w:jc w:val="left"/>
              <w:rPr/>
            </w:pPr>
            <w:r>
              <w:rPr/>
              <w:t> </w:t>
            </w:r>
          </w:p>
        </w:tc>
        <w:tc>
          <w:tcPr>
            <w:tcW w:w="141" w:type="dxa"/>
            <w:tcBorders/>
            <w:shd w:fill="E8F4FF" w:val="clear"/>
            <w:vAlign w:val="center"/>
          </w:tcPr>
          <w:p>
            <w:pPr>
              <w:pStyle w:val="TableContents"/>
              <w:bidi w:val="0"/>
              <w:spacing w:before="0" w:after="283"/>
              <w:jc w:val="left"/>
              <w:rPr/>
            </w:pPr>
            <w:r>
              <w:rPr/>
              <w:t> </w:t>
            </w:r>
          </w:p>
        </w:tc>
        <w:tc>
          <w:tcPr>
            <w:tcW w:w="1889" w:type="dxa"/>
            <w:tcBorders/>
            <w:shd w:fill="E8F4FF" w:val="clear"/>
            <w:vAlign w:val="center"/>
          </w:tcPr>
          <w:p>
            <w:pPr>
              <w:pStyle w:val="TableContents"/>
              <w:bidi w:val="0"/>
              <w:spacing w:before="0" w:after="283"/>
              <w:jc w:val="right"/>
              <w:rPr/>
            </w:pPr>
            <w:r>
              <w:rPr/>
              <w:t>55,103</w:t>
            </w:r>
          </w:p>
        </w:tc>
        <w:tc>
          <w:tcPr>
            <w:tcW w:w="335" w:type="dxa"/>
            <w:tcBorders/>
            <w:shd w:fill="E8F4FF" w:val="clear"/>
            <w:vAlign w:val="center"/>
          </w:tcPr>
          <w:p>
            <w:pPr>
              <w:pStyle w:val="TableContents"/>
              <w:bidi w:val="0"/>
              <w:spacing w:before="0" w:after="283"/>
              <w:jc w:val="left"/>
              <w:rPr/>
            </w:pPr>
            <w:r>
              <w:rPr/>
              <w:t>(6)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11,277,132</w:t>
            </w:r>
          </w:p>
        </w:tc>
        <w:tc>
          <w:tcPr>
            <w:tcW w:w="75" w:type="dxa"/>
            <w:tcBorders/>
            <w:shd w:fill="E8F4FF" w:val="clear"/>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4040" w:type="dxa"/>
            <w:vMerge w:val="restart"/>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Peter Butterfield</w:t>
            </w:r>
          </w:p>
          <w:p>
            <w:pPr>
              <w:pStyle w:val="TableContents"/>
              <w:bidi w:val="0"/>
              <w:spacing w:before="0" w:after="20"/>
              <w:jc w:val="left"/>
              <w:rPr>
                <w:rFonts w:ascii="ARIAL" w:hAnsi="ARIAL"/>
                <w:sz w:val="16"/>
              </w:rPr>
            </w:pPr>
            <w:r>
              <w:rPr>
                <w:rFonts w:ascii="ARIAL" w:hAnsi="ARIAL"/>
                <w:sz w:val="16"/>
              </w:rPr>
              <w:t>General Counsel and Chief Compliance Officer</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2,091,473</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80,592</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10,486</w:t>
            </w:r>
          </w:p>
        </w:tc>
        <w:tc>
          <w:tcPr>
            <w:tcW w:w="33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2,492,551</w:t>
            </w:r>
          </w:p>
        </w:tc>
        <w:tc>
          <w:tcPr>
            <w:tcW w:w="75" w:type="dxa"/>
            <w:tcBorders/>
            <w:vAlign w:val="center"/>
          </w:tcPr>
          <w:p>
            <w:pPr>
              <w:pStyle w:val="TableContents"/>
              <w:bidi w:val="0"/>
              <w:spacing w:before="0" w:after="283"/>
              <w:jc w:val="left"/>
              <w:rPr/>
            </w:pPr>
            <w:r>
              <w:rPr/>
              <w:t> </w:t>
            </w:r>
          </w:p>
        </w:tc>
      </w:tr>
      <w:tr>
        <w:trPr/>
        <w:tc>
          <w:tcPr>
            <w:tcW w:w="404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1,920,285</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195,000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10,603</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2,425,888</w:t>
            </w:r>
          </w:p>
        </w:tc>
        <w:tc>
          <w:tcPr>
            <w:tcW w:w="75" w:type="dxa"/>
            <w:tcBorders/>
            <w:vAlign w:val="center"/>
          </w:tcPr>
          <w:p>
            <w:pPr>
              <w:pStyle w:val="TableContents"/>
              <w:bidi w:val="0"/>
              <w:spacing w:before="0" w:after="283"/>
              <w:jc w:val="left"/>
              <w:rPr/>
            </w:pPr>
            <w:r>
              <w:rPr/>
              <w:t> </w:t>
            </w:r>
          </w:p>
        </w:tc>
      </w:tr>
      <w:tr>
        <w:trPr/>
        <w:tc>
          <w:tcPr>
            <w:tcW w:w="4040" w:type="dxa"/>
            <w:tcBorders/>
            <w:shd w:fill="E8F4FF" w:val="clear"/>
            <w:vAlign w:val="center"/>
          </w:tcPr>
          <w:p>
            <w:pPr>
              <w:pStyle w:val="TableContents"/>
              <w:bidi w:val="0"/>
              <w:spacing w:before="0" w:after="283"/>
              <w:jc w:val="left"/>
              <w:rPr>
                <w:sz w:val="4"/>
                <w:szCs w:val="4"/>
              </w:rPr>
            </w:pPr>
            <w:r>
              <w:rPr>
                <w:sz w:val="4"/>
                <w:szCs w:val="4"/>
              </w:rPr>
            </w:r>
          </w:p>
        </w:tc>
        <w:tc>
          <w:tcPr>
            <w:tcW w:w="905" w:type="dxa"/>
            <w:gridSpan w:val="4"/>
            <w:tcBorders/>
            <w:shd w:fill="E8F4FF" w:val="clear"/>
            <w:vAlign w:val="center"/>
          </w:tcPr>
          <w:p>
            <w:pPr>
              <w:pStyle w:val="TableContents"/>
              <w:bidi w:val="0"/>
              <w:spacing w:before="0" w:after="283"/>
              <w:jc w:val="left"/>
              <w:rPr>
                <w:sz w:val="4"/>
                <w:szCs w:val="4"/>
              </w:rPr>
            </w:pPr>
            <w:r>
              <w:rPr>
                <w:sz w:val="4"/>
                <w:szCs w:val="4"/>
              </w:rPr>
            </w:r>
          </w:p>
        </w:tc>
        <w:tc>
          <w:tcPr>
            <w:tcW w:w="1220" w:type="dxa"/>
            <w:gridSpan w:val="4"/>
            <w:tcBorders/>
            <w:shd w:fill="E8F4FF" w:val="clear"/>
            <w:vAlign w:val="center"/>
          </w:tcPr>
          <w:p>
            <w:pPr>
              <w:pStyle w:val="TableContents"/>
              <w:bidi w:val="0"/>
              <w:spacing w:before="0" w:after="283"/>
              <w:jc w:val="left"/>
              <w:rPr>
                <w:sz w:val="4"/>
                <w:szCs w:val="4"/>
              </w:rPr>
            </w:pPr>
            <w:r>
              <w:rPr>
                <w:sz w:val="4"/>
                <w:szCs w:val="4"/>
              </w:rPr>
            </w:r>
          </w:p>
        </w:tc>
        <w:tc>
          <w:tcPr>
            <w:tcW w:w="1615" w:type="dxa"/>
            <w:gridSpan w:val="4"/>
            <w:tcBorders/>
            <w:shd w:fill="E8F4FF" w:val="clear"/>
            <w:vAlign w:val="center"/>
          </w:tcPr>
          <w:p>
            <w:pPr>
              <w:pStyle w:val="TableContents"/>
              <w:bidi w:val="0"/>
              <w:spacing w:before="0" w:after="283"/>
              <w:jc w:val="left"/>
              <w:rPr>
                <w:sz w:val="4"/>
                <w:szCs w:val="4"/>
              </w:rPr>
            </w:pPr>
            <w:r>
              <w:rPr>
                <w:sz w:val="4"/>
                <w:szCs w:val="4"/>
              </w:rPr>
            </w:r>
          </w:p>
        </w:tc>
        <w:tc>
          <w:tcPr>
            <w:tcW w:w="1510" w:type="dxa"/>
            <w:gridSpan w:val="4"/>
            <w:tcBorders/>
            <w:shd w:fill="E8F4FF" w:val="clear"/>
            <w:vAlign w:val="center"/>
          </w:tcPr>
          <w:p>
            <w:pPr>
              <w:pStyle w:val="TableContents"/>
              <w:bidi w:val="0"/>
              <w:spacing w:before="0" w:after="283"/>
              <w:jc w:val="left"/>
              <w:rPr>
                <w:sz w:val="4"/>
                <w:szCs w:val="4"/>
              </w:rPr>
            </w:pPr>
            <w:r>
              <w:rPr>
                <w:sz w:val="4"/>
                <w:szCs w:val="4"/>
              </w:rPr>
            </w:r>
          </w:p>
        </w:tc>
        <w:tc>
          <w:tcPr>
            <w:tcW w:w="2425" w:type="dxa"/>
            <w:gridSpan w:val="4"/>
            <w:tcBorders/>
            <w:shd w:fill="E8F4FF" w:val="clear"/>
            <w:vAlign w:val="center"/>
          </w:tcPr>
          <w:p>
            <w:pPr>
              <w:pStyle w:val="TableContents"/>
              <w:bidi w:val="0"/>
              <w:spacing w:before="0" w:after="283"/>
              <w:jc w:val="left"/>
              <w:rPr>
                <w:sz w:val="4"/>
                <w:szCs w:val="4"/>
              </w:rPr>
            </w:pPr>
            <w:r>
              <w:rPr>
                <w:sz w:val="4"/>
                <w:szCs w:val="4"/>
              </w:rPr>
            </w:r>
          </w:p>
        </w:tc>
        <w:tc>
          <w:tcPr>
            <w:tcW w:w="2425" w:type="dxa"/>
            <w:gridSpan w:val="4"/>
            <w:tcBorders/>
            <w:shd w:fill="E8F4FF" w:val="clear"/>
            <w:vAlign w:val="center"/>
          </w:tcPr>
          <w:p>
            <w:pPr>
              <w:pStyle w:val="TableContents"/>
              <w:bidi w:val="0"/>
              <w:spacing w:before="0" w:after="283"/>
              <w:jc w:val="left"/>
              <w:rPr>
                <w:sz w:val="4"/>
                <w:szCs w:val="4"/>
              </w:rPr>
            </w:pPr>
            <w:r>
              <w:rPr>
                <w:sz w:val="4"/>
                <w:szCs w:val="4"/>
              </w:rPr>
            </w:r>
          </w:p>
        </w:tc>
        <w:tc>
          <w:tcPr>
            <w:tcW w:w="129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4040" w:type="dxa"/>
            <w:vMerge w:val="restart"/>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David King</w:t>
            </w:r>
          </w:p>
          <w:p>
            <w:pPr>
              <w:pStyle w:val="TableContents"/>
              <w:bidi w:val="0"/>
              <w:spacing w:before="0" w:after="20"/>
              <w:jc w:val="left"/>
              <w:rPr>
                <w:rFonts w:ascii="ARIAL" w:hAnsi="ARIAL"/>
                <w:sz w:val="16"/>
              </w:rPr>
            </w:pPr>
            <w:r>
              <w:rPr>
                <w:rFonts w:ascii="ARIAL" w:hAnsi="ARIAL"/>
                <w:sz w:val="16"/>
              </w:rPr>
              <w:t>Chief Technology Officer</w:t>
            </w:r>
          </w:p>
        </w:tc>
        <w:tc>
          <w:tcPr>
            <w:tcW w:w="12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648" w:type="dxa"/>
            <w:tcBorders/>
            <w:shd w:fill="E8F4FF" w:val="clear"/>
            <w:vAlign w:val="center"/>
          </w:tcPr>
          <w:p>
            <w:pPr>
              <w:pStyle w:val="TableContents"/>
              <w:bidi w:val="0"/>
              <w:spacing w:before="0" w:after="283"/>
              <w:jc w:val="right"/>
              <w:rPr/>
            </w:pPr>
            <w:r>
              <w:rPr/>
              <w:t>2024</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72" w:type="dxa"/>
            <w:tcBorders/>
            <w:shd w:fill="E8F4FF" w:val="clear"/>
            <w:vAlign w:val="center"/>
          </w:tcPr>
          <w:p>
            <w:pPr>
              <w:pStyle w:val="TableContents"/>
              <w:bidi w:val="0"/>
              <w:spacing w:before="0" w:after="283"/>
              <w:jc w:val="left"/>
              <w:rPr/>
            </w:pPr>
            <w:r>
              <w:rPr/>
              <w:t> </w:t>
            </w:r>
          </w:p>
        </w:tc>
        <w:tc>
          <w:tcPr>
            <w:tcW w:w="968" w:type="dxa"/>
            <w:tcBorders/>
            <w:shd w:fill="E8F4FF" w:val="clear"/>
            <w:vAlign w:val="center"/>
          </w:tcPr>
          <w:p>
            <w:pPr>
              <w:pStyle w:val="TableContents"/>
              <w:bidi w:val="0"/>
              <w:spacing w:before="0" w:after="283"/>
              <w:jc w:val="right"/>
              <w:rPr/>
            </w:pPr>
            <w:r>
              <w:rPr/>
              <w:t>310,000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3,834,380</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1038" w:type="dxa"/>
            <w:tcBorders/>
            <w:shd w:fill="E8F4FF" w:val="clear"/>
            <w:vAlign w:val="center"/>
          </w:tcPr>
          <w:p>
            <w:pPr>
              <w:pStyle w:val="TableContents"/>
              <w:bidi w:val="0"/>
              <w:spacing w:before="0" w:after="283"/>
              <w:jc w:val="right"/>
              <w:rPr/>
            </w:pPr>
            <w:r>
              <w:rPr/>
              <w:t>—</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50" w:type="dxa"/>
            <w:tcBorders/>
            <w:shd w:fill="E8F4FF" w:val="clear"/>
            <w:vAlign w:val="center"/>
          </w:tcPr>
          <w:p>
            <w:pPr>
              <w:pStyle w:val="TableContents"/>
              <w:bidi w:val="0"/>
              <w:spacing w:before="0" w:after="283"/>
              <w:jc w:val="left"/>
              <w:rPr/>
            </w:pPr>
            <w:r>
              <w:rPr/>
              <w:t> </w:t>
            </w:r>
          </w:p>
        </w:tc>
        <w:tc>
          <w:tcPr>
            <w:tcW w:w="2000" w:type="dxa"/>
            <w:tcBorders/>
            <w:shd w:fill="E8F4FF" w:val="clear"/>
            <w:vAlign w:val="center"/>
          </w:tcPr>
          <w:p>
            <w:pPr>
              <w:pStyle w:val="TableContents"/>
              <w:bidi w:val="0"/>
              <w:spacing w:before="0" w:after="283"/>
              <w:jc w:val="right"/>
              <w:rPr/>
            </w:pPr>
            <w:r>
              <w:rPr/>
              <w:t>80,592</w:t>
            </w:r>
          </w:p>
        </w:tc>
        <w:tc>
          <w:tcPr>
            <w:tcW w:w="215" w:type="dxa"/>
            <w:tcBorders/>
            <w:shd w:fill="E8F4FF" w:val="clear"/>
            <w:vAlign w:val="center"/>
          </w:tcPr>
          <w:p>
            <w:pPr>
              <w:pStyle w:val="TableContents"/>
              <w:bidi w:val="0"/>
              <w:spacing w:before="0" w:after="283"/>
              <w:jc w:val="left"/>
              <w:rPr/>
            </w:pPr>
            <w:r>
              <w:rPr/>
              <w:t>(2) </w:t>
            </w:r>
          </w:p>
        </w:tc>
        <w:tc>
          <w:tcPr>
            <w:tcW w:w="60" w:type="dxa"/>
            <w:tcBorders/>
            <w:shd w:fill="E8F4FF" w:val="clear"/>
            <w:vAlign w:val="center"/>
          </w:tcPr>
          <w:p>
            <w:pPr>
              <w:pStyle w:val="TableContents"/>
              <w:bidi w:val="0"/>
              <w:spacing w:before="0" w:after="283"/>
              <w:jc w:val="left"/>
              <w:rPr/>
            </w:pPr>
            <w:r>
              <w:rPr/>
              <w:t> </w:t>
            </w:r>
          </w:p>
        </w:tc>
        <w:tc>
          <w:tcPr>
            <w:tcW w:w="141" w:type="dxa"/>
            <w:tcBorders/>
            <w:shd w:fill="E8F4FF" w:val="clear"/>
            <w:vAlign w:val="center"/>
          </w:tcPr>
          <w:p>
            <w:pPr>
              <w:pStyle w:val="TableContents"/>
              <w:bidi w:val="0"/>
              <w:spacing w:before="0" w:after="283"/>
              <w:jc w:val="left"/>
              <w:rPr/>
            </w:pPr>
            <w:r>
              <w:rPr/>
              <w:t> </w:t>
            </w:r>
          </w:p>
        </w:tc>
        <w:tc>
          <w:tcPr>
            <w:tcW w:w="1889" w:type="dxa"/>
            <w:tcBorders/>
            <w:shd w:fill="E8F4FF" w:val="clear"/>
            <w:vAlign w:val="center"/>
          </w:tcPr>
          <w:p>
            <w:pPr>
              <w:pStyle w:val="TableContents"/>
              <w:bidi w:val="0"/>
              <w:spacing w:before="0" w:after="283"/>
              <w:jc w:val="right"/>
              <w:rPr/>
            </w:pPr>
            <w:r>
              <w:rPr/>
              <w:t>10,498</w:t>
            </w:r>
          </w:p>
        </w:tc>
        <w:tc>
          <w:tcPr>
            <w:tcW w:w="335" w:type="dxa"/>
            <w:tcBorders/>
            <w:shd w:fill="E8F4FF" w:val="clear"/>
            <w:vAlign w:val="center"/>
          </w:tcPr>
          <w:p>
            <w:pPr>
              <w:pStyle w:val="TableContents"/>
              <w:bidi w:val="0"/>
              <w:spacing w:before="0" w:after="283"/>
              <w:jc w:val="left"/>
              <w:rPr/>
            </w:pPr>
            <w:r>
              <w:rPr/>
              <w:t>(8)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4,235,470</w:t>
            </w:r>
          </w:p>
        </w:tc>
        <w:tc>
          <w:tcPr>
            <w:tcW w:w="75" w:type="dxa"/>
            <w:tcBorders/>
            <w:shd w:fill="E8F4FF" w:val="clear"/>
            <w:vAlign w:val="center"/>
          </w:tcPr>
          <w:p>
            <w:pPr>
              <w:pStyle w:val="TableContents"/>
              <w:bidi w:val="0"/>
              <w:spacing w:before="0" w:after="283"/>
              <w:jc w:val="left"/>
              <w:rPr/>
            </w:pPr>
            <w:r>
              <w:rPr/>
              <w:t> </w:t>
            </w:r>
          </w:p>
        </w:tc>
      </w:tr>
      <w:tr>
        <w:trPr/>
        <w:tc>
          <w:tcPr>
            <w:tcW w:w="4040" w:type="dxa"/>
            <w:vMerge w:val="continue"/>
            <w:tcBorders/>
            <w:shd w:fill="E8F4FF" w:val="clear"/>
            <w:vAlign w:val="center"/>
          </w:tcPr>
          <w:p>
            <w:pPr>
              <w:pStyle w:val="Normal"/>
              <w:bidi w:val="0"/>
              <w:jc w:val="left"/>
              <w:rPr/>
            </w:pPr>
            <w:r>
              <w:rPr/>
            </w:r>
          </w:p>
        </w:tc>
        <w:tc>
          <w:tcPr>
            <w:tcW w:w="12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648" w:type="dxa"/>
            <w:tcBorders/>
            <w:shd w:fill="E8F4FF" w:val="clear"/>
            <w:vAlign w:val="center"/>
          </w:tcPr>
          <w:p>
            <w:pPr>
              <w:pStyle w:val="TableContents"/>
              <w:bidi w:val="0"/>
              <w:spacing w:before="0" w:after="283"/>
              <w:jc w:val="right"/>
              <w:rPr/>
            </w:pPr>
            <w:r>
              <w:rPr/>
              <w:t>2023</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72" w:type="dxa"/>
            <w:tcBorders/>
            <w:shd w:fill="E8F4FF" w:val="clear"/>
            <w:vAlign w:val="center"/>
          </w:tcPr>
          <w:p>
            <w:pPr>
              <w:pStyle w:val="TableContents"/>
              <w:bidi w:val="0"/>
              <w:spacing w:before="0" w:after="283"/>
              <w:jc w:val="left"/>
              <w:rPr/>
            </w:pPr>
            <w:r>
              <w:rPr/>
              <w:t> </w:t>
            </w:r>
          </w:p>
        </w:tc>
        <w:tc>
          <w:tcPr>
            <w:tcW w:w="968" w:type="dxa"/>
            <w:tcBorders/>
            <w:shd w:fill="E8F4FF" w:val="clear"/>
            <w:vAlign w:val="center"/>
          </w:tcPr>
          <w:p>
            <w:pPr>
              <w:pStyle w:val="TableContents"/>
              <w:bidi w:val="0"/>
              <w:spacing w:before="0" w:after="283"/>
              <w:jc w:val="right"/>
              <w:rPr/>
            </w:pPr>
            <w:r>
              <w:rPr/>
              <w:t>300,000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3,235,565</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1038" w:type="dxa"/>
            <w:tcBorders/>
            <w:shd w:fill="E8F4FF" w:val="clear"/>
            <w:vAlign w:val="center"/>
          </w:tcPr>
          <w:p>
            <w:pPr>
              <w:pStyle w:val="TableContents"/>
              <w:bidi w:val="0"/>
              <w:spacing w:before="0" w:after="283"/>
              <w:jc w:val="right"/>
              <w:rPr/>
            </w:pPr>
            <w:r>
              <w:rPr/>
              <w:t>—</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50" w:type="dxa"/>
            <w:tcBorders/>
            <w:shd w:fill="E8F4FF" w:val="clear"/>
            <w:vAlign w:val="center"/>
          </w:tcPr>
          <w:p>
            <w:pPr>
              <w:pStyle w:val="TableContents"/>
              <w:bidi w:val="0"/>
              <w:spacing w:before="0" w:after="283"/>
              <w:jc w:val="left"/>
              <w:rPr/>
            </w:pPr>
            <w:r>
              <w:rPr/>
              <w:t> </w:t>
            </w:r>
          </w:p>
        </w:tc>
        <w:tc>
          <w:tcPr>
            <w:tcW w:w="2000" w:type="dxa"/>
            <w:tcBorders/>
            <w:shd w:fill="E8F4FF" w:val="clear"/>
            <w:vAlign w:val="center"/>
          </w:tcPr>
          <w:p>
            <w:pPr>
              <w:pStyle w:val="TableContents"/>
              <w:bidi w:val="0"/>
              <w:spacing w:before="0" w:after="283"/>
              <w:jc w:val="right"/>
              <w:rPr/>
            </w:pPr>
            <w:r>
              <w:rPr/>
              <w:t>195,000</w:t>
            </w:r>
          </w:p>
        </w:tc>
        <w:tc>
          <w:tcPr>
            <w:tcW w:w="21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41" w:type="dxa"/>
            <w:tcBorders/>
            <w:shd w:fill="E8F4FF" w:val="clear"/>
            <w:vAlign w:val="center"/>
          </w:tcPr>
          <w:p>
            <w:pPr>
              <w:pStyle w:val="TableContents"/>
              <w:bidi w:val="0"/>
              <w:spacing w:before="0" w:after="283"/>
              <w:jc w:val="left"/>
              <w:rPr/>
            </w:pPr>
            <w:r>
              <w:rPr/>
              <w:t> </w:t>
            </w:r>
          </w:p>
        </w:tc>
        <w:tc>
          <w:tcPr>
            <w:tcW w:w="1889" w:type="dxa"/>
            <w:tcBorders/>
            <w:shd w:fill="E8F4FF" w:val="clear"/>
            <w:vAlign w:val="center"/>
          </w:tcPr>
          <w:p>
            <w:pPr>
              <w:pStyle w:val="TableContents"/>
              <w:bidi w:val="0"/>
              <w:spacing w:before="0" w:after="283"/>
              <w:jc w:val="right"/>
              <w:rPr/>
            </w:pPr>
            <w:r>
              <w:rPr/>
              <w:t>10,144</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3,740,709</w:t>
            </w:r>
          </w:p>
        </w:tc>
        <w:tc>
          <w:tcPr>
            <w:tcW w:w="75" w:type="dxa"/>
            <w:tcBorders/>
            <w:shd w:fill="E8F4FF" w:val="clear"/>
            <w:vAlign w:val="center"/>
          </w:tcPr>
          <w:p>
            <w:pPr>
              <w:pStyle w:val="TableContents"/>
              <w:bidi w:val="0"/>
              <w:spacing w:before="0" w:after="283"/>
              <w:jc w:val="left"/>
              <w:rPr/>
            </w:pPr>
            <w:r>
              <w:rPr/>
              <w:t> </w:t>
            </w:r>
          </w:p>
        </w:tc>
      </w:tr>
      <w:tr>
        <w:trPr/>
        <w:tc>
          <w:tcPr>
            <w:tcW w:w="4040" w:type="dxa"/>
            <w:vMerge w:val="continue"/>
            <w:tcBorders/>
            <w:shd w:fill="E8F4FF" w:val="clear"/>
            <w:vAlign w:val="center"/>
          </w:tcPr>
          <w:p>
            <w:pPr>
              <w:pStyle w:val="Normal"/>
              <w:bidi w:val="0"/>
              <w:jc w:val="left"/>
              <w:rPr/>
            </w:pPr>
            <w:r>
              <w:rPr/>
            </w:r>
          </w:p>
        </w:tc>
        <w:tc>
          <w:tcPr>
            <w:tcW w:w="12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648" w:type="dxa"/>
            <w:tcBorders/>
            <w:shd w:fill="E8F4FF" w:val="clear"/>
            <w:vAlign w:val="center"/>
          </w:tcPr>
          <w:p>
            <w:pPr>
              <w:pStyle w:val="TableContents"/>
              <w:bidi w:val="0"/>
              <w:spacing w:before="0" w:after="283"/>
              <w:jc w:val="right"/>
              <w:rPr/>
            </w:pPr>
            <w:r>
              <w:rPr/>
              <w:t>2022</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72" w:type="dxa"/>
            <w:tcBorders/>
            <w:shd w:fill="E8F4FF" w:val="clear"/>
            <w:vAlign w:val="center"/>
          </w:tcPr>
          <w:p>
            <w:pPr>
              <w:pStyle w:val="TableContents"/>
              <w:bidi w:val="0"/>
              <w:spacing w:before="0" w:after="283"/>
              <w:jc w:val="left"/>
              <w:rPr/>
            </w:pPr>
            <w:r>
              <w:rPr/>
              <w:t> </w:t>
            </w:r>
          </w:p>
        </w:tc>
        <w:tc>
          <w:tcPr>
            <w:tcW w:w="968" w:type="dxa"/>
            <w:tcBorders/>
            <w:shd w:fill="E8F4FF" w:val="clear"/>
            <w:vAlign w:val="center"/>
          </w:tcPr>
          <w:p>
            <w:pPr>
              <w:pStyle w:val="TableContents"/>
              <w:bidi w:val="0"/>
              <w:spacing w:before="0" w:after="283"/>
              <w:jc w:val="right"/>
              <w:rPr/>
            </w:pPr>
            <w:r>
              <w:rPr/>
              <w:t>294,792</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3,192,061</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1038" w:type="dxa"/>
            <w:tcBorders/>
            <w:shd w:fill="E8F4FF" w:val="clear"/>
            <w:vAlign w:val="center"/>
          </w:tcPr>
          <w:p>
            <w:pPr>
              <w:pStyle w:val="TableContents"/>
              <w:bidi w:val="0"/>
              <w:spacing w:before="0" w:after="283"/>
              <w:jc w:val="right"/>
              <w:rPr/>
            </w:pPr>
            <w:r>
              <w:rPr/>
              <w:t>—</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50" w:type="dxa"/>
            <w:tcBorders/>
            <w:shd w:fill="E8F4FF" w:val="clear"/>
            <w:vAlign w:val="center"/>
          </w:tcPr>
          <w:p>
            <w:pPr>
              <w:pStyle w:val="TableContents"/>
              <w:bidi w:val="0"/>
              <w:spacing w:before="0" w:after="283"/>
              <w:jc w:val="left"/>
              <w:rPr/>
            </w:pPr>
            <w:r>
              <w:rPr/>
              <w:t> </w:t>
            </w:r>
          </w:p>
        </w:tc>
        <w:tc>
          <w:tcPr>
            <w:tcW w:w="2000" w:type="dxa"/>
            <w:tcBorders/>
            <w:shd w:fill="E8F4FF" w:val="clear"/>
            <w:vAlign w:val="center"/>
          </w:tcPr>
          <w:p>
            <w:pPr>
              <w:pStyle w:val="TableContents"/>
              <w:bidi w:val="0"/>
              <w:spacing w:before="0" w:after="283"/>
              <w:jc w:val="right"/>
              <w:rPr/>
            </w:pPr>
            <w:r>
              <w:rPr/>
              <w:t>132,525</w:t>
            </w:r>
          </w:p>
        </w:tc>
        <w:tc>
          <w:tcPr>
            <w:tcW w:w="21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41" w:type="dxa"/>
            <w:tcBorders/>
            <w:shd w:fill="E8F4FF" w:val="clear"/>
            <w:vAlign w:val="center"/>
          </w:tcPr>
          <w:p>
            <w:pPr>
              <w:pStyle w:val="TableContents"/>
              <w:bidi w:val="0"/>
              <w:spacing w:before="0" w:after="283"/>
              <w:jc w:val="left"/>
              <w:rPr/>
            </w:pPr>
            <w:r>
              <w:rPr/>
              <w:t> </w:t>
            </w:r>
          </w:p>
        </w:tc>
        <w:tc>
          <w:tcPr>
            <w:tcW w:w="1889" w:type="dxa"/>
            <w:tcBorders/>
            <w:shd w:fill="E8F4FF" w:val="clear"/>
            <w:vAlign w:val="center"/>
          </w:tcPr>
          <w:p>
            <w:pPr>
              <w:pStyle w:val="TableContents"/>
              <w:bidi w:val="0"/>
              <w:spacing w:before="0" w:after="283"/>
              <w:jc w:val="right"/>
              <w:rPr/>
            </w:pPr>
            <w:r>
              <w:rPr/>
              <w:t>7,835</w:t>
            </w:r>
          </w:p>
        </w:tc>
        <w:tc>
          <w:tcPr>
            <w:tcW w:w="33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3,627,213</w:t>
            </w:r>
          </w:p>
        </w:tc>
        <w:tc>
          <w:tcPr>
            <w:tcW w:w="75" w:type="dxa"/>
            <w:tcBorders/>
            <w:shd w:fill="E8F4FF" w:val="clear"/>
            <w:vAlign w:val="center"/>
          </w:tcPr>
          <w:p>
            <w:pPr>
              <w:pStyle w:val="TableContents"/>
              <w:bidi w:val="0"/>
              <w:spacing w:before="0" w:after="283"/>
              <w:jc w:val="left"/>
              <w:rPr/>
            </w:pPr>
            <w:r>
              <w:rPr/>
              <w:t> </w:t>
            </w:r>
          </w:p>
        </w:tc>
      </w:tr>
      <w:tr>
        <w:trPr/>
        <w:tc>
          <w:tcPr>
            <w:tcW w:w="4040" w:type="dxa"/>
            <w:vMerge w:val="continue"/>
            <w:tcBorders/>
            <w:shd w:fill="E8F4FF" w:val="clear"/>
            <w:vAlign w:val="center"/>
          </w:tcPr>
          <w:p>
            <w:pPr>
              <w:pStyle w:val="Normal"/>
              <w:bidi w:val="0"/>
              <w:jc w:val="left"/>
              <w:rPr/>
            </w:pPr>
            <w:r>
              <w:rPr/>
            </w:r>
          </w:p>
        </w:tc>
        <w:tc>
          <w:tcPr>
            <w:tcW w:w="12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648" w:type="dxa"/>
            <w:tcBorders/>
            <w:shd w:fill="E8F4FF" w:val="clear"/>
            <w:vAlign w:val="center"/>
          </w:tcPr>
          <w:p>
            <w:pPr>
              <w:pStyle w:val="TableContents"/>
              <w:bidi w:val="0"/>
              <w:spacing w:before="0" w:after="283"/>
              <w:jc w:val="right"/>
              <w:rPr/>
            </w:pPr>
            <w:r>
              <w:rPr/>
              <w:t>2024</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72" w:type="dxa"/>
            <w:tcBorders/>
            <w:shd w:fill="E8F4FF" w:val="clear"/>
            <w:vAlign w:val="center"/>
          </w:tcPr>
          <w:p>
            <w:pPr>
              <w:pStyle w:val="TableContents"/>
              <w:bidi w:val="0"/>
              <w:spacing w:before="0" w:after="283"/>
              <w:jc w:val="left"/>
              <w:rPr/>
            </w:pPr>
            <w:r>
              <w:rPr/>
              <w:t> </w:t>
            </w:r>
          </w:p>
        </w:tc>
        <w:tc>
          <w:tcPr>
            <w:tcW w:w="968" w:type="dxa"/>
            <w:tcBorders/>
            <w:shd w:fill="E8F4FF" w:val="clear"/>
            <w:vAlign w:val="center"/>
          </w:tcPr>
          <w:p>
            <w:pPr>
              <w:pStyle w:val="TableContents"/>
              <w:bidi w:val="0"/>
              <w:spacing w:before="0" w:after="283"/>
              <w:jc w:val="right"/>
              <w:rPr/>
            </w:pPr>
            <w:r>
              <w:rPr/>
              <w:t>87,500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731,131</w:t>
            </w:r>
          </w:p>
        </w:tc>
        <w:tc>
          <w:tcPr>
            <w:tcW w:w="335" w:type="dxa"/>
            <w:tcBorders/>
            <w:shd w:fill="E8F4FF" w:val="clear"/>
            <w:vAlign w:val="center"/>
          </w:tcPr>
          <w:p>
            <w:pPr>
              <w:pStyle w:val="TableContents"/>
              <w:bidi w:val="0"/>
              <w:spacing w:before="0" w:after="283"/>
              <w:jc w:val="left"/>
              <w:rPr/>
            </w:pPr>
            <w:r>
              <w:rPr/>
              <w:t>(10) </w:t>
            </w:r>
          </w:p>
        </w:tc>
        <w:tc>
          <w:tcPr>
            <w:tcW w:w="60" w:type="dxa"/>
            <w:tcBorders/>
            <w:shd w:fill="E8F4FF" w:val="clear"/>
            <w:vAlign w:val="center"/>
          </w:tcPr>
          <w:p>
            <w:pPr>
              <w:pStyle w:val="TableContents"/>
              <w:bidi w:val="0"/>
              <w:spacing w:before="0" w:after="283"/>
              <w:jc w:val="left"/>
              <w:rPr/>
            </w:pPr>
            <w:r>
              <w:rPr/>
              <w:t> </w:t>
            </w:r>
          </w:p>
        </w:tc>
        <w:tc>
          <w:tcPr>
            <w:tcW w:w="77" w:type="dxa"/>
            <w:tcBorders/>
            <w:shd w:fill="E8F4FF" w:val="clear"/>
            <w:vAlign w:val="center"/>
          </w:tcPr>
          <w:p>
            <w:pPr>
              <w:pStyle w:val="TableContents"/>
              <w:bidi w:val="0"/>
              <w:spacing w:before="0" w:after="283"/>
              <w:jc w:val="left"/>
              <w:rPr/>
            </w:pPr>
            <w:r>
              <w:rPr/>
              <w:t> </w:t>
            </w:r>
          </w:p>
        </w:tc>
        <w:tc>
          <w:tcPr>
            <w:tcW w:w="1038" w:type="dxa"/>
            <w:tcBorders/>
            <w:shd w:fill="E8F4FF" w:val="clear"/>
            <w:vAlign w:val="center"/>
          </w:tcPr>
          <w:p>
            <w:pPr>
              <w:pStyle w:val="TableContents"/>
              <w:bidi w:val="0"/>
              <w:spacing w:before="0" w:after="283"/>
              <w:jc w:val="right"/>
              <w:rPr/>
            </w:pPr>
            <w:r>
              <w:rPr/>
              <w:t>600,887</w:t>
            </w:r>
          </w:p>
        </w:tc>
        <w:tc>
          <w:tcPr>
            <w:tcW w:w="335" w:type="dxa"/>
            <w:tcBorders/>
            <w:shd w:fill="E8F4FF" w:val="clear"/>
            <w:vAlign w:val="center"/>
          </w:tcPr>
          <w:p>
            <w:pPr>
              <w:pStyle w:val="TableContents"/>
              <w:bidi w:val="0"/>
              <w:spacing w:before="0" w:after="283"/>
              <w:jc w:val="left"/>
              <w:rPr/>
            </w:pPr>
            <w:r>
              <w:rPr/>
              <w:t>(10) </w:t>
            </w:r>
          </w:p>
        </w:tc>
        <w:tc>
          <w:tcPr>
            <w:tcW w:w="60" w:type="dxa"/>
            <w:tcBorders/>
            <w:shd w:fill="E8F4FF" w:val="clear"/>
            <w:vAlign w:val="center"/>
          </w:tcPr>
          <w:p>
            <w:pPr>
              <w:pStyle w:val="TableContents"/>
              <w:bidi w:val="0"/>
              <w:spacing w:before="0" w:after="283"/>
              <w:jc w:val="left"/>
              <w:rPr/>
            </w:pPr>
            <w:r>
              <w:rPr/>
              <w:t> </w:t>
            </w:r>
          </w:p>
        </w:tc>
        <w:tc>
          <w:tcPr>
            <w:tcW w:w="150" w:type="dxa"/>
            <w:tcBorders/>
            <w:shd w:fill="E8F4FF" w:val="clear"/>
            <w:vAlign w:val="center"/>
          </w:tcPr>
          <w:p>
            <w:pPr>
              <w:pStyle w:val="TableContents"/>
              <w:bidi w:val="0"/>
              <w:spacing w:before="0" w:after="283"/>
              <w:jc w:val="left"/>
              <w:rPr/>
            </w:pPr>
            <w:r>
              <w:rPr/>
              <w:t> </w:t>
            </w:r>
          </w:p>
        </w:tc>
        <w:tc>
          <w:tcPr>
            <w:tcW w:w="2000" w:type="dxa"/>
            <w:tcBorders/>
            <w:shd w:fill="E8F4FF" w:val="clear"/>
            <w:vAlign w:val="center"/>
          </w:tcPr>
          <w:p>
            <w:pPr>
              <w:pStyle w:val="TableContents"/>
              <w:bidi w:val="0"/>
              <w:spacing w:before="0" w:after="283"/>
              <w:jc w:val="right"/>
              <w:rPr/>
            </w:pPr>
            <w:r>
              <w:rPr/>
              <w:t>—</w:t>
            </w:r>
          </w:p>
        </w:tc>
        <w:tc>
          <w:tcPr>
            <w:tcW w:w="21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41" w:type="dxa"/>
            <w:tcBorders/>
            <w:shd w:fill="E8F4FF" w:val="clear"/>
            <w:vAlign w:val="center"/>
          </w:tcPr>
          <w:p>
            <w:pPr>
              <w:pStyle w:val="TableContents"/>
              <w:bidi w:val="0"/>
              <w:spacing w:before="0" w:after="283"/>
              <w:jc w:val="left"/>
              <w:rPr/>
            </w:pPr>
            <w:r>
              <w:rPr/>
              <w:t> </w:t>
            </w:r>
          </w:p>
        </w:tc>
        <w:tc>
          <w:tcPr>
            <w:tcW w:w="1889" w:type="dxa"/>
            <w:tcBorders/>
            <w:shd w:fill="E8F4FF" w:val="clear"/>
            <w:vAlign w:val="center"/>
          </w:tcPr>
          <w:p>
            <w:pPr>
              <w:pStyle w:val="TableContents"/>
              <w:bidi w:val="0"/>
              <w:spacing w:before="0" w:after="283"/>
              <w:jc w:val="right"/>
              <w:rPr/>
            </w:pPr>
            <w:r>
              <w:rPr/>
              <w:t>341,788</w:t>
            </w:r>
          </w:p>
        </w:tc>
        <w:tc>
          <w:tcPr>
            <w:tcW w:w="335" w:type="dxa"/>
            <w:tcBorders/>
            <w:shd w:fill="E8F4FF" w:val="clear"/>
            <w:vAlign w:val="center"/>
          </w:tcPr>
          <w:p>
            <w:pPr>
              <w:pStyle w:val="TableContents"/>
              <w:bidi w:val="0"/>
              <w:spacing w:before="0" w:after="283"/>
              <w:jc w:val="left"/>
              <w:rPr/>
            </w:pPr>
            <w:r>
              <w:rPr/>
              <w:t>(11)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1,761,306</w:t>
            </w:r>
          </w:p>
        </w:tc>
        <w:tc>
          <w:tcPr>
            <w:tcW w:w="75" w:type="dxa"/>
            <w:tcBorders/>
            <w:shd w:fill="E8F4FF" w:val="clear"/>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4040" w:type="dxa"/>
            <w:vMerge w:val="restart"/>
            <w:tcBorders>
              <w:bottom w:val="single" w:sz="8" w:space="0" w:color="2393FF"/>
            </w:tcBorders>
            <w:tcMar>
              <w:bottom w:w="120" w:type="dxa"/>
            </w:tcMar>
            <w:vAlign w:val="center"/>
          </w:tcPr>
          <w:p>
            <w:pPr>
              <w:pStyle w:val="TableContents"/>
              <w:bidi w:val="0"/>
              <w:spacing w:before="0" w:after="0"/>
              <w:jc w:val="left"/>
              <w:rPr>
                <w:rFonts w:ascii="ARIAL" w:hAnsi="ARIAL"/>
                <w:b/>
                <w:color w:val="2393FF"/>
                <w:sz w:val="16"/>
              </w:rPr>
            </w:pPr>
            <w:r>
              <w:rPr>
                <w:rFonts w:ascii="ARIAL" w:hAnsi="ARIAL"/>
                <w:b/>
                <w:color w:val="2393FF"/>
                <w:sz w:val="16"/>
              </w:rPr>
              <w:t>Michael Ellis(9)</w:t>
            </w:r>
          </w:p>
          <w:p>
            <w:pPr>
              <w:pStyle w:val="TableContents"/>
              <w:bidi w:val="0"/>
              <w:spacing w:before="0" w:after="20"/>
              <w:jc w:val="left"/>
              <w:rPr>
                <w:rFonts w:ascii="ARIAL" w:hAnsi="ARIAL"/>
                <w:sz w:val="16"/>
              </w:rPr>
            </w:pPr>
            <w:r>
              <w:rPr>
                <w:rFonts w:ascii="ARIAL" w:hAnsi="ARIAL"/>
                <w:sz w:val="16"/>
              </w:rPr>
              <w:t>former Chief Financial Officer</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3,077,808</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335,076</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293,000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889" w:type="dxa"/>
            <w:tcBorders/>
            <w:vAlign w:val="center"/>
          </w:tcPr>
          <w:p>
            <w:pPr>
              <w:pStyle w:val="TableContents"/>
              <w:bidi w:val="0"/>
              <w:spacing w:before="0" w:after="283"/>
              <w:jc w:val="right"/>
              <w:rPr/>
            </w:pPr>
            <w:r>
              <w:rPr/>
              <w:t>10,158</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4,041,042</w:t>
            </w:r>
          </w:p>
        </w:tc>
        <w:tc>
          <w:tcPr>
            <w:tcW w:w="75" w:type="dxa"/>
            <w:tcBorders/>
            <w:vAlign w:val="center"/>
          </w:tcPr>
          <w:p>
            <w:pPr>
              <w:pStyle w:val="TableContents"/>
              <w:bidi w:val="0"/>
              <w:spacing w:before="0" w:after="283"/>
              <w:jc w:val="left"/>
              <w:rPr/>
            </w:pPr>
            <w:r>
              <w:rPr/>
              <w:t> </w:t>
            </w:r>
          </w:p>
        </w:tc>
      </w:tr>
      <w:tr>
        <w:trPr/>
        <w:tc>
          <w:tcPr>
            <w:tcW w:w="4040" w:type="dxa"/>
            <w:vMerge w:val="continue"/>
            <w:tcBorders>
              <w:bottom w:val="single" w:sz="8" w:space="0" w:color="2393FF"/>
            </w:tcBorders>
            <w:tcMar>
              <w:bottom w:w="120" w:type="dxa"/>
            </w:tcMar>
            <w:vAlign w:val="center"/>
          </w:tcPr>
          <w:p>
            <w:pPr>
              <w:pStyle w:val="Normal"/>
              <w:bidi w:val="0"/>
              <w:jc w:val="left"/>
              <w:rPr/>
            </w:pPr>
            <w:r>
              <w:rPr/>
            </w:r>
          </w:p>
        </w:tc>
        <w:tc>
          <w:tcPr>
            <w:tcW w:w="120" w:type="dxa"/>
            <w:tcBorders>
              <w:bottom w:val="single" w:sz="8" w:space="0" w:color="2393FF"/>
            </w:tcBorders>
            <w:tcMar>
              <w:bottom w:w="28" w:type="dxa"/>
            </w:tcMar>
            <w:vAlign w:val="center"/>
          </w:tcPr>
          <w:p>
            <w:pPr>
              <w:pStyle w:val="TableContents"/>
              <w:bidi w:val="0"/>
              <w:spacing w:before="0" w:after="283"/>
              <w:jc w:val="left"/>
              <w:rPr/>
            </w:pPr>
            <w:r>
              <w:rPr/>
              <w:t>  </w:t>
            </w:r>
          </w:p>
        </w:tc>
        <w:tc>
          <w:tcPr>
            <w:tcW w:w="77" w:type="dxa"/>
            <w:tcBorders>
              <w:bottom w:val="single" w:sz="8" w:space="0" w:color="2393FF"/>
            </w:tcBorders>
            <w:tcMar>
              <w:bottom w:w="120" w:type="dxa"/>
            </w:tcMar>
            <w:vAlign w:val="center"/>
          </w:tcPr>
          <w:p>
            <w:pPr>
              <w:pStyle w:val="TableContents"/>
              <w:bidi w:val="0"/>
              <w:spacing w:before="0" w:after="283"/>
              <w:jc w:val="left"/>
              <w:rPr/>
            </w:pPr>
            <w:r>
              <w:rPr/>
              <w:t> </w:t>
            </w:r>
          </w:p>
        </w:tc>
        <w:tc>
          <w:tcPr>
            <w:tcW w:w="648" w:type="dxa"/>
            <w:tcBorders>
              <w:bottom w:val="single" w:sz="8" w:space="0" w:color="2393FF"/>
            </w:tcBorders>
            <w:tcMar>
              <w:bottom w:w="120" w:type="dxa"/>
            </w:tcMar>
            <w:vAlign w:val="center"/>
          </w:tcPr>
          <w:p>
            <w:pPr>
              <w:pStyle w:val="TableContents"/>
              <w:bidi w:val="0"/>
              <w:spacing w:before="0" w:after="283"/>
              <w:jc w:val="right"/>
              <w:rPr/>
            </w:pPr>
            <w:r>
              <w:rPr/>
              <w:t>2022</w:t>
            </w:r>
          </w:p>
        </w:tc>
        <w:tc>
          <w:tcPr>
            <w:tcW w:w="60" w:type="dxa"/>
            <w:tcBorders>
              <w:bottom w:val="single" w:sz="8" w:space="0" w:color="2393FF"/>
            </w:tcBorders>
            <w:tcMar>
              <w:bottom w:w="120" w:type="dxa"/>
            </w:tcMar>
            <w:vAlign w:val="center"/>
          </w:tcPr>
          <w:p>
            <w:pPr>
              <w:pStyle w:val="TableContents"/>
              <w:bidi w:val="0"/>
              <w:spacing w:before="0" w:after="283"/>
              <w:jc w:val="left"/>
              <w:rPr/>
            </w:pPr>
            <w:r>
              <w:rPr/>
              <w:t> </w:t>
            </w:r>
          </w:p>
        </w:tc>
        <w:tc>
          <w:tcPr>
            <w:tcW w:w="120" w:type="dxa"/>
            <w:tcBorders>
              <w:bottom w:val="single" w:sz="8" w:space="0" w:color="2393FF"/>
            </w:tcBorders>
            <w:tcMar>
              <w:bottom w:w="28" w:type="dxa"/>
            </w:tcMar>
            <w:vAlign w:val="center"/>
          </w:tcPr>
          <w:p>
            <w:pPr>
              <w:pStyle w:val="TableContents"/>
              <w:bidi w:val="0"/>
              <w:spacing w:before="0" w:after="283"/>
              <w:jc w:val="left"/>
              <w:rPr/>
            </w:pPr>
            <w:r>
              <w:rPr/>
              <w:t>  </w:t>
            </w:r>
          </w:p>
        </w:tc>
        <w:tc>
          <w:tcPr>
            <w:tcW w:w="72" w:type="dxa"/>
            <w:tcBorders>
              <w:bottom w:val="single" w:sz="8" w:space="0" w:color="2393FF"/>
            </w:tcBorders>
            <w:tcMar>
              <w:bottom w:w="120" w:type="dxa"/>
            </w:tcMar>
            <w:vAlign w:val="center"/>
          </w:tcPr>
          <w:p>
            <w:pPr>
              <w:pStyle w:val="TableContents"/>
              <w:bidi w:val="0"/>
              <w:spacing w:before="0" w:after="283"/>
              <w:jc w:val="left"/>
              <w:rPr/>
            </w:pPr>
            <w:r>
              <w:rPr/>
              <w:t> </w:t>
            </w:r>
          </w:p>
        </w:tc>
        <w:tc>
          <w:tcPr>
            <w:tcW w:w="968" w:type="dxa"/>
            <w:tcBorders>
              <w:bottom w:val="single" w:sz="8" w:space="0" w:color="2393FF"/>
            </w:tcBorders>
            <w:tcMar>
              <w:bottom w:w="120" w:type="dxa"/>
            </w:tcMar>
            <w:vAlign w:val="center"/>
          </w:tcPr>
          <w:p>
            <w:pPr>
              <w:pStyle w:val="TableContents"/>
              <w:bidi w:val="0"/>
              <w:spacing w:before="0" w:after="283"/>
              <w:jc w:val="right"/>
              <w:rPr/>
            </w:pPr>
            <w:r>
              <w:rPr/>
              <w:t>319,792</w:t>
            </w:r>
          </w:p>
        </w:tc>
        <w:tc>
          <w:tcPr>
            <w:tcW w:w="60" w:type="dxa"/>
            <w:tcBorders>
              <w:bottom w:val="single" w:sz="8" w:space="0" w:color="2393FF"/>
            </w:tcBorders>
            <w:tcMar>
              <w:bottom w:w="120" w:type="dxa"/>
            </w:tcMar>
            <w:vAlign w:val="center"/>
          </w:tcPr>
          <w:p>
            <w:pPr>
              <w:pStyle w:val="TableContents"/>
              <w:bidi w:val="0"/>
              <w:spacing w:before="0" w:after="283"/>
              <w:jc w:val="left"/>
              <w:rPr/>
            </w:pPr>
            <w:r>
              <w:rPr/>
              <w:t> </w:t>
            </w:r>
          </w:p>
        </w:tc>
        <w:tc>
          <w:tcPr>
            <w:tcW w:w="120" w:type="dxa"/>
            <w:tcBorders>
              <w:bottom w:val="single" w:sz="8" w:space="0" w:color="2393FF"/>
            </w:tcBorders>
            <w:tcMar>
              <w:bottom w:w="28" w:type="dxa"/>
            </w:tcMar>
            <w:vAlign w:val="center"/>
          </w:tcPr>
          <w:p>
            <w:pPr>
              <w:pStyle w:val="TableContents"/>
              <w:bidi w:val="0"/>
              <w:spacing w:before="0" w:after="283"/>
              <w:jc w:val="left"/>
              <w:rPr/>
            </w:pPr>
            <w:r>
              <w:rPr/>
              <w:t>  </w:t>
            </w:r>
          </w:p>
        </w:tc>
        <w:tc>
          <w:tcPr>
            <w:tcW w:w="60" w:type="dxa"/>
            <w:tcBorders>
              <w:bottom w:val="single" w:sz="8" w:space="0" w:color="2393FF"/>
            </w:tcBorders>
            <w:tcMar>
              <w:bottom w:w="120" w:type="dxa"/>
            </w:tcMar>
            <w:vAlign w:val="center"/>
          </w:tcPr>
          <w:p>
            <w:pPr>
              <w:pStyle w:val="TableContents"/>
              <w:bidi w:val="0"/>
              <w:spacing w:before="0" w:after="283"/>
              <w:jc w:val="left"/>
              <w:rPr/>
            </w:pPr>
            <w:r>
              <w:rPr/>
              <w:t> </w:t>
            </w:r>
          </w:p>
        </w:tc>
        <w:tc>
          <w:tcPr>
            <w:tcW w:w="1100" w:type="dxa"/>
            <w:tcBorders>
              <w:bottom w:val="single" w:sz="8" w:space="0" w:color="2393FF"/>
            </w:tcBorders>
            <w:tcMar>
              <w:bottom w:w="120" w:type="dxa"/>
            </w:tcMar>
            <w:vAlign w:val="center"/>
          </w:tcPr>
          <w:p>
            <w:pPr>
              <w:pStyle w:val="TableContents"/>
              <w:bidi w:val="0"/>
              <w:spacing w:before="0" w:after="283"/>
              <w:jc w:val="right"/>
              <w:rPr/>
            </w:pPr>
            <w:r>
              <w:rPr/>
              <w:t>2,280,055</w:t>
            </w:r>
          </w:p>
        </w:tc>
        <w:tc>
          <w:tcPr>
            <w:tcW w:w="335" w:type="dxa"/>
            <w:tcBorders>
              <w:bottom w:val="single" w:sz="8" w:space="0" w:color="2393FF"/>
            </w:tcBorders>
            <w:tcMar>
              <w:bottom w:w="120" w:type="dxa"/>
            </w:tcMar>
            <w:vAlign w:val="center"/>
          </w:tcPr>
          <w:p>
            <w:pPr>
              <w:pStyle w:val="TableContents"/>
              <w:bidi w:val="0"/>
              <w:spacing w:before="0" w:after="283"/>
              <w:jc w:val="left"/>
              <w:rPr/>
            </w:pPr>
            <w:r>
              <w:rPr/>
              <w:t> </w:t>
            </w:r>
          </w:p>
        </w:tc>
        <w:tc>
          <w:tcPr>
            <w:tcW w:w="60" w:type="dxa"/>
            <w:tcBorders>
              <w:bottom w:val="single" w:sz="8" w:space="0" w:color="2393FF"/>
            </w:tcBorders>
            <w:tcMar>
              <w:bottom w:w="28" w:type="dxa"/>
            </w:tcMar>
            <w:vAlign w:val="center"/>
          </w:tcPr>
          <w:p>
            <w:pPr>
              <w:pStyle w:val="TableContents"/>
              <w:bidi w:val="0"/>
              <w:spacing w:before="0" w:after="283"/>
              <w:jc w:val="left"/>
              <w:rPr/>
            </w:pPr>
            <w:r>
              <w:rPr/>
              <w:t> </w:t>
            </w:r>
          </w:p>
        </w:tc>
        <w:tc>
          <w:tcPr>
            <w:tcW w:w="77" w:type="dxa"/>
            <w:tcBorders>
              <w:bottom w:val="single" w:sz="8" w:space="0" w:color="2393FF"/>
            </w:tcBorders>
            <w:tcMar>
              <w:bottom w:w="120" w:type="dxa"/>
            </w:tcMar>
            <w:vAlign w:val="center"/>
          </w:tcPr>
          <w:p>
            <w:pPr>
              <w:pStyle w:val="TableContents"/>
              <w:bidi w:val="0"/>
              <w:spacing w:before="0" w:after="283"/>
              <w:jc w:val="left"/>
              <w:rPr/>
            </w:pPr>
            <w:r>
              <w:rPr/>
              <w:t> </w:t>
            </w:r>
          </w:p>
        </w:tc>
        <w:tc>
          <w:tcPr>
            <w:tcW w:w="1038" w:type="dxa"/>
            <w:tcBorders>
              <w:bottom w:val="single" w:sz="8" w:space="0" w:color="2393FF"/>
            </w:tcBorders>
            <w:tcMar>
              <w:bottom w:w="120" w:type="dxa"/>
            </w:tcMar>
            <w:vAlign w:val="center"/>
          </w:tcPr>
          <w:p>
            <w:pPr>
              <w:pStyle w:val="TableContents"/>
              <w:bidi w:val="0"/>
              <w:spacing w:before="0" w:after="283"/>
              <w:jc w:val="right"/>
              <w:rPr/>
            </w:pPr>
            <w:r>
              <w:rPr/>
              <w:t>—</w:t>
            </w:r>
          </w:p>
        </w:tc>
        <w:tc>
          <w:tcPr>
            <w:tcW w:w="335" w:type="dxa"/>
            <w:tcBorders>
              <w:bottom w:val="single" w:sz="8" w:space="0" w:color="2393FF"/>
            </w:tcBorders>
            <w:tcMar>
              <w:bottom w:w="120" w:type="dxa"/>
            </w:tcMar>
            <w:vAlign w:val="center"/>
          </w:tcPr>
          <w:p>
            <w:pPr>
              <w:pStyle w:val="TableContents"/>
              <w:bidi w:val="0"/>
              <w:spacing w:before="0" w:after="283"/>
              <w:jc w:val="left"/>
              <w:rPr/>
            </w:pPr>
            <w:r>
              <w:rPr/>
              <w:t> </w:t>
            </w:r>
          </w:p>
        </w:tc>
        <w:tc>
          <w:tcPr>
            <w:tcW w:w="60" w:type="dxa"/>
            <w:tcBorders>
              <w:bottom w:val="single" w:sz="8" w:space="0" w:color="2393FF"/>
            </w:tcBorders>
            <w:tcMar>
              <w:bottom w:w="28" w:type="dxa"/>
            </w:tcMar>
            <w:vAlign w:val="center"/>
          </w:tcPr>
          <w:p>
            <w:pPr>
              <w:pStyle w:val="TableContents"/>
              <w:bidi w:val="0"/>
              <w:spacing w:before="0" w:after="283"/>
              <w:jc w:val="left"/>
              <w:rPr/>
            </w:pPr>
            <w:r>
              <w:rPr/>
              <w:t> </w:t>
            </w:r>
          </w:p>
        </w:tc>
        <w:tc>
          <w:tcPr>
            <w:tcW w:w="150" w:type="dxa"/>
            <w:tcBorders>
              <w:bottom w:val="single" w:sz="8" w:space="0" w:color="2393FF"/>
            </w:tcBorders>
            <w:tcMar>
              <w:bottom w:w="120" w:type="dxa"/>
            </w:tcMar>
            <w:vAlign w:val="center"/>
          </w:tcPr>
          <w:p>
            <w:pPr>
              <w:pStyle w:val="TableContents"/>
              <w:bidi w:val="0"/>
              <w:spacing w:before="0" w:after="283"/>
              <w:jc w:val="left"/>
              <w:rPr/>
            </w:pPr>
            <w:r>
              <w:rPr/>
              <w:t> </w:t>
            </w:r>
          </w:p>
        </w:tc>
        <w:tc>
          <w:tcPr>
            <w:tcW w:w="2000" w:type="dxa"/>
            <w:tcBorders>
              <w:bottom w:val="single" w:sz="8" w:space="0" w:color="2393FF"/>
            </w:tcBorders>
            <w:tcMar>
              <w:bottom w:w="120" w:type="dxa"/>
            </w:tcMar>
            <w:vAlign w:val="center"/>
          </w:tcPr>
          <w:p>
            <w:pPr>
              <w:pStyle w:val="TableContents"/>
              <w:bidi w:val="0"/>
              <w:spacing w:before="0" w:after="283"/>
              <w:jc w:val="right"/>
              <w:rPr/>
            </w:pPr>
            <w:r>
              <w:rPr/>
              <w:t>203,175</w:t>
            </w:r>
          </w:p>
        </w:tc>
        <w:tc>
          <w:tcPr>
            <w:tcW w:w="215" w:type="dxa"/>
            <w:tcBorders>
              <w:bottom w:val="single" w:sz="8" w:space="0" w:color="2393FF"/>
            </w:tcBorders>
            <w:tcMar>
              <w:bottom w:w="120" w:type="dxa"/>
            </w:tcMar>
            <w:vAlign w:val="center"/>
          </w:tcPr>
          <w:p>
            <w:pPr>
              <w:pStyle w:val="TableContents"/>
              <w:bidi w:val="0"/>
              <w:spacing w:before="0" w:after="283"/>
              <w:jc w:val="left"/>
              <w:rPr/>
            </w:pPr>
            <w:r>
              <w:rPr/>
              <w:t> </w:t>
            </w:r>
          </w:p>
        </w:tc>
        <w:tc>
          <w:tcPr>
            <w:tcW w:w="60" w:type="dxa"/>
            <w:tcBorders>
              <w:bottom w:val="single" w:sz="8" w:space="0" w:color="2393FF"/>
            </w:tcBorders>
            <w:tcMar>
              <w:bottom w:w="28" w:type="dxa"/>
            </w:tcMar>
            <w:vAlign w:val="center"/>
          </w:tcPr>
          <w:p>
            <w:pPr>
              <w:pStyle w:val="TableContents"/>
              <w:bidi w:val="0"/>
              <w:spacing w:before="0" w:after="283"/>
              <w:jc w:val="left"/>
              <w:rPr/>
            </w:pPr>
            <w:r>
              <w:rPr/>
              <w:t> </w:t>
            </w:r>
          </w:p>
        </w:tc>
        <w:tc>
          <w:tcPr>
            <w:tcW w:w="141" w:type="dxa"/>
            <w:tcBorders>
              <w:bottom w:val="single" w:sz="8" w:space="0" w:color="2393FF"/>
            </w:tcBorders>
            <w:tcMar>
              <w:bottom w:w="120" w:type="dxa"/>
            </w:tcMar>
            <w:vAlign w:val="center"/>
          </w:tcPr>
          <w:p>
            <w:pPr>
              <w:pStyle w:val="TableContents"/>
              <w:bidi w:val="0"/>
              <w:spacing w:before="0" w:after="283"/>
              <w:jc w:val="left"/>
              <w:rPr/>
            </w:pPr>
            <w:r>
              <w:rPr/>
              <w:t> </w:t>
            </w:r>
          </w:p>
        </w:tc>
        <w:tc>
          <w:tcPr>
            <w:tcW w:w="1889" w:type="dxa"/>
            <w:tcBorders>
              <w:bottom w:val="single" w:sz="8" w:space="0" w:color="2393FF"/>
            </w:tcBorders>
            <w:tcMar>
              <w:bottom w:w="120" w:type="dxa"/>
            </w:tcMar>
            <w:vAlign w:val="center"/>
          </w:tcPr>
          <w:p>
            <w:pPr>
              <w:pStyle w:val="TableContents"/>
              <w:bidi w:val="0"/>
              <w:spacing w:before="0" w:after="283"/>
              <w:jc w:val="right"/>
              <w:rPr/>
            </w:pPr>
            <w:r>
              <w:rPr/>
              <w:t>10,266</w:t>
            </w:r>
          </w:p>
        </w:tc>
        <w:tc>
          <w:tcPr>
            <w:tcW w:w="335" w:type="dxa"/>
            <w:tcBorders>
              <w:bottom w:val="single" w:sz="8" w:space="0" w:color="2393FF"/>
            </w:tcBorders>
            <w:tcMar>
              <w:bottom w:w="120" w:type="dxa"/>
            </w:tcMar>
            <w:vAlign w:val="center"/>
          </w:tcPr>
          <w:p>
            <w:pPr>
              <w:pStyle w:val="TableContents"/>
              <w:bidi w:val="0"/>
              <w:spacing w:before="0" w:after="283"/>
              <w:jc w:val="left"/>
              <w:rPr/>
            </w:pPr>
            <w:r>
              <w:rPr/>
              <w:t> </w:t>
            </w:r>
          </w:p>
        </w:tc>
        <w:tc>
          <w:tcPr>
            <w:tcW w:w="60" w:type="dxa"/>
            <w:tcBorders>
              <w:bottom w:val="single" w:sz="8" w:space="0" w:color="2393FF"/>
            </w:tcBorders>
            <w:tcMar>
              <w:bottom w:w="28" w:type="dxa"/>
            </w:tcMar>
            <w:vAlign w:val="center"/>
          </w:tcPr>
          <w:p>
            <w:pPr>
              <w:pStyle w:val="TableContents"/>
              <w:bidi w:val="0"/>
              <w:spacing w:before="0" w:after="283"/>
              <w:jc w:val="left"/>
              <w:rPr/>
            </w:pPr>
            <w:r>
              <w:rPr/>
              <w:t> </w:t>
            </w:r>
          </w:p>
        </w:tc>
        <w:tc>
          <w:tcPr>
            <w:tcW w:w="60" w:type="dxa"/>
            <w:tcBorders>
              <w:bottom w:val="single" w:sz="8" w:space="0" w:color="2393FF"/>
            </w:tcBorders>
            <w:tcMar>
              <w:bottom w:w="120" w:type="dxa"/>
            </w:tcMar>
            <w:vAlign w:val="center"/>
          </w:tcPr>
          <w:p>
            <w:pPr>
              <w:pStyle w:val="TableContents"/>
              <w:bidi w:val="0"/>
              <w:spacing w:before="0" w:after="283"/>
              <w:jc w:val="left"/>
              <w:rPr/>
            </w:pPr>
            <w:r>
              <w:rPr/>
              <w:t> </w:t>
            </w:r>
          </w:p>
        </w:tc>
        <w:tc>
          <w:tcPr>
            <w:tcW w:w="1100" w:type="dxa"/>
            <w:tcBorders>
              <w:bottom w:val="single" w:sz="8" w:space="0" w:color="2393FF"/>
            </w:tcBorders>
            <w:tcMar>
              <w:bottom w:w="120" w:type="dxa"/>
            </w:tcMar>
            <w:vAlign w:val="center"/>
          </w:tcPr>
          <w:p>
            <w:pPr>
              <w:pStyle w:val="TableContents"/>
              <w:bidi w:val="0"/>
              <w:spacing w:before="0" w:after="283"/>
              <w:jc w:val="right"/>
              <w:rPr/>
            </w:pPr>
            <w:r>
              <w:rPr/>
              <w:t>2,813,288</w:t>
            </w:r>
          </w:p>
        </w:tc>
        <w:tc>
          <w:tcPr>
            <w:tcW w:w="75" w:type="dxa"/>
            <w:tcBorders>
              <w:bottom w:val="single" w:sz="8" w:space="0" w:color="2393FF"/>
            </w:tcBorders>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color w:val="333333"/>
              </w:rPr>
            </w:pPr>
            <w:r>
              <w:rPr>
                <w:color w:val="333333"/>
              </w:rPr>
              <w:t>(1)</w:t>
            </w:r>
          </w:p>
        </w:tc>
        <w:tc>
          <w:tcPr>
            <w:tcW w:w="993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Reflects the aggregate grant date fair value of option and stock awards granted during the applicable year calculated in accordance with FASB ASC Topic 718. For a discussion of valuation assumptions, see Note 13 to our audited financial statements included in the 2024 Annual Report.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color w:val="333333"/>
              </w:rPr>
            </w:pPr>
            <w:r>
              <w:rPr>
                <w:color w:val="333333"/>
              </w:rPr>
              <w:t>(2)</w:t>
            </w:r>
          </w:p>
        </w:tc>
        <w:tc>
          <w:tcPr>
            <w:tcW w:w="9913"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Represents amounts paid under our 2024 cash incentive bonus program paid in March 2025. See “Compensation Discussion and Analysis” above for further details regarding this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color w:val="333333"/>
              </w:rPr>
            </w:pPr>
            <w:r>
              <w:rPr>
                <w:color w:val="333333"/>
              </w:rPr>
              <w:t>(3)</w:t>
            </w:r>
          </w:p>
        </w:tc>
        <w:tc>
          <w:tcPr>
            <w:tcW w:w="9906"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This amount represents $1,248 in life and other supplemental insurance premiums paid on Mr. Massaro’s behalf and a $10,350 matching contribution to his 401(k) account.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color w:val="333333"/>
              </w:rPr>
            </w:pPr>
            <w:r>
              <w:rPr>
                <w:color w:val="333333"/>
              </w:rPr>
              <w:t>(4)</w:t>
            </w:r>
          </w:p>
        </w:tc>
        <w:tc>
          <w:tcPr>
            <w:tcW w:w="9904"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This amount represents $1,248 in life and other supplemental insurance premiums paid on Mr. Orgel’s behalf and a $6,500 matching contribution to his 401(k) account.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305"/>
        <w:gridCol w:w="7565"/>
      </w:tblGrid>
      <w:tr>
        <w:trPr/>
        <w:tc>
          <w:tcPr>
            <w:tcW w:w="305" w:type="dxa"/>
            <w:tcBorders/>
            <w:vAlign w:val="center"/>
          </w:tcPr>
          <w:p>
            <w:pPr>
              <w:pStyle w:val="TableContents"/>
              <w:bidi w:val="0"/>
              <w:spacing w:before="0" w:after="283"/>
              <w:jc w:val="left"/>
              <w:rPr>
                <w:color w:val="333333"/>
              </w:rPr>
            </w:pPr>
            <w:r>
              <w:rPr>
                <w:color w:val="333333"/>
              </w:rPr>
              <w:t>(5)</w:t>
            </w:r>
          </w:p>
        </w:tc>
        <w:tc>
          <w:tcPr>
            <w:tcW w:w="756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Mr. Pitigoi commenced employment with us as our Chief Financial Officer and principal financial officer on March 4,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color w:val="333333"/>
              </w:rPr>
            </w:pPr>
            <w:r>
              <w:rPr>
                <w:color w:val="333333"/>
              </w:rPr>
              <w:t>(6)</w:t>
            </w:r>
          </w:p>
        </w:tc>
        <w:tc>
          <w:tcPr>
            <w:tcW w:w="9923"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This amount represents $1,248 in life and other supplemental insurance premiums paid on Mr. Pitigoi’s behalf, a $8,200 matching contribution to his 401(k) account, and $45,623 in relocation and temporary living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color w:val="333333"/>
              </w:rPr>
            </w:pPr>
            <w:r>
              <w:rPr>
                <w:color w:val="333333"/>
              </w:rPr>
              <w:t>(7)</w:t>
            </w:r>
          </w:p>
        </w:tc>
        <w:tc>
          <w:tcPr>
            <w:tcW w:w="9907"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This amount represents $1,248 in life and other supplemental insurance premiums paid on Mr. Butterfield’s behalf and a $9,238 matching contribution to his 401(k) account.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color w:val="333333"/>
              </w:rPr>
            </w:pPr>
            <w:r>
              <w:rPr>
                <w:color w:val="333333"/>
              </w:rPr>
              <w:t>(8)</w:t>
            </w:r>
          </w:p>
        </w:tc>
        <w:tc>
          <w:tcPr>
            <w:tcW w:w="9904"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This amount represents $1,248 in life and other supplemental insurance premiums paid on Mr. King’s behalf and a $9,250 matching contribution to his 401(k) account.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305"/>
        <w:gridCol w:w="6845"/>
      </w:tblGrid>
      <w:tr>
        <w:trPr/>
        <w:tc>
          <w:tcPr>
            <w:tcW w:w="305" w:type="dxa"/>
            <w:tcBorders/>
            <w:vAlign w:val="center"/>
          </w:tcPr>
          <w:p>
            <w:pPr>
              <w:pStyle w:val="TableContents"/>
              <w:bidi w:val="0"/>
              <w:spacing w:before="0" w:after="283"/>
              <w:jc w:val="left"/>
              <w:rPr>
                <w:color w:val="333333"/>
              </w:rPr>
            </w:pPr>
            <w:r>
              <w:rPr>
                <w:color w:val="333333"/>
              </w:rPr>
              <w:t>(9)</w:t>
            </w:r>
          </w:p>
        </w:tc>
        <w:tc>
          <w:tcPr>
            <w:tcW w:w="684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Effective March 4, 2024, Mr. Ellis ceased serving as our Chief Financial Officer and principal financial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color w:val="333333"/>
              </w:rPr>
            </w:pPr>
            <w:r>
              <w:rPr>
                <w:color w:val="333333"/>
              </w:rPr>
              <w:t>(10)</w:t>
            </w:r>
          </w:p>
        </w:tc>
        <w:tc>
          <w:tcPr>
            <w:tcW w:w="9829"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Pursuant to the terms of his Transition Agreement, we (a) accelerated the vesting of certain restricted stock units and stock options previously granted to Mr. Ellis and (b) extended the exercise period of his vested nonqualified stock options. The amount reported represents the incremental fair value of these modified restricted stock units and stock options determined in accordance with FASB ASC Topic 718.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  36  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79"/>
        <w:gridCol w:w="9826"/>
      </w:tblGrid>
      <w:tr>
        <w:trPr/>
        <w:tc>
          <w:tcPr>
            <w:tcW w:w="379" w:type="dxa"/>
            <w:tcBorders/>
            <w:vAlign w:val="center"/>
          </w:tcPr>
          <w:p>
            <w:pPr>
              <w:pStyle w:val="TableContents"/>
              <w:bidi w:val="0"/>
              <w:spacing w:before="0" w:after="283"/>
              <w:jc w:val="left"/>
              <w:rPr>
                <w:color w:val="333333"/>
              </w:rPr>
            </w:pPr>
            <w:r>
              <w:rPr>
                <w:color w:val="333333"/>
              </w:rPr>
              <w:t>(11)</w:t>
            </w:r>
          </w:p>
        </w:tc>
        <w:tc>
          <w:tcPr>
            <w:tcW w:w="9826"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This amount consists of the severance benefits payable in connection with his Transition Agreement including $237,500 in severance payments, $75,000 representing a cash bonus and $18,569 in COBRA payments. This amount also represents $369 in life and other supplemental insurance premiums paid on Mr. Ellis’ behalf and a $10,350 matching contribution to his 401(k) account. </w:t>
            </w:r>
          </w:p>
        </w:tc>
      </w:tr>
    </w:tbl>
    <w:p>
      <w:pPr>
        <w:pStyle w:val="TextBody"/>
        <w:bidi w:val="0"/>
        <w:spacing w:before="200" w:after="0"/>
        <w:jc w:val="left"/>
        <w:rPr>
          <w:rFonts w:ascii="ARIAL" w:hAnsi="ARIAL"/>
          <w:sz w:val="18"/>
        </w:rPr>
      </w:pPr>
      <w:r>
        <w:rPr>
          <w:rFonts w:ascii="ARIAL" w:hAnsi="ARIAL"/>
          <w:sz w:val="18"/>
        </w:rPr>
        <w:t xml:space="preserve">EMPLOYMENT ARRANGEMENTS WITH OUR NAMED EXECUTIVE OFFICERS </w:t>
      </w:r>
    </w:p>
    <w:p>
      <w:pPr>
        <w:pStyle w:val="TextBody"/>
        <w:bidi w:val="0"/>
        <w:spacing w:before="200" w:after="0"/>
        <w:jc w:val="left"/>
        <w:rPr>
          <w:rFonts w:ascii="ARIAL" w:hAnsi="ARIAL"/>
          <w:sz w:val="18"/>
        </w:rPr>
      </w:pPr>
      <w:r>
        <w:rPr>
          <w:rFonts w:ascii="ARIAL" w:hAnsi="ARIAL"/>
          <w:sz w:val="18"/>
        </w:rPr>
        <w:t xml:space="preserve">We have entered into employment agreements with our NEOs. Each of these agreements provide for at-will employment and includes the NEO’s base salary at the time of entering into such agreement. In addition, each of our NEOs has executed our standard confidential information and invention assignment agreement. </w:t>
      </w:r>
    </w:p>
    <w:p>
      <w:pPr>
        <w:pStyle w:val="TextBody"/>
        <w:bidi w:val="0"/>
        <w:spacing w:before="200" w:after="0"/>
        <w:jc w:val="left"/>
        <w:rPr>
          <w:rFonts w:ascii="ARIAL" w:hAnsi="ARIAL"/>
          <w:sz w:val="18"/>
        </w:rPr>
      </w:pPr>
      <w:bookmarkStart w:id="41" w:name="toc917810_39"/>
      <w:bookmarkEnd w:id="41"/>
      <w:r>
        <w:rPr>
          <w:rFonts w:ascii="ARIAL" w:hAnsi="ARIAL"/>
          <w:sz w:val="18"/>
        </w:rPr>
        <w:t xml:space="preserve">FISCAL 2024 GRANTS OF PLAN-BASED AWARDS TABLE </w:t>
      </w:r>
    </w:p>
    <w:p>
      <w:pPr>
        <w:pStyle w:val="TextBody"/>
        <w:bidi w:val="0"/>
        <w:spacing w:before="200" w:after="0"/>
        <w:jc w:val="left"/>
        <w:rPr>
          <w:rFonts w:ascii="ARIAL" w:hAnsi="ARIAL"/>
          <w:sz w:val="18"/>
        </w:rPr>
      </w:pPr>
      <w:r>
        <w:rPr>
          <w:rFonts w:ascii="ARIAL" w:hAnsi="ARIAL"/>
          <w:sz w:val="18"/>
        </w:rPr>
        <w:t xml:space="preserve">The following table sets forth certain information regarding each plan-based award granted to our NEOs during our Fiscal 2024. Mr. Ellis was not granted any plan-based awards during Fiscal 2024. For a description of the types of awards indicated below, please see our Compensation Discussion and Analysis section above. </w:t>
      </w:r>
    </w:p>
    <w:p>
      <w:pPr>
        <w:pStyle w:val="TextBody"/>
        <w:bidi w:val="0"/>
        <w:spacing w:before="0" w:after="0"/>
        <w:jc w:val="left"/>
        <w:rPr/>
      </w:pPr>
      <w:r>
        <w:rPr/>
        <w:t> </w:t>
      </w:r>
    </w:p>
    <w:tbl>
      <w:tblPr>
        <w:tblW w:w="11905" w:type="dxa"/>
        <w:jc w:val="left"/>
        <w:tblInd w:w="0" w:type="dxa"/>
        <w:tblLayout w:type="fixed"/>
        <w:tblCellMar>
          <w:top w:w="0" w:type="dxa"/>
          <w:left w:w="0" w:type="dxa"/>
          <w:bottom w:w="0" w:type="dxa"/>
          <w:right w:w="0" w:type="dxa"/>
        </w:tblCellMar>
      </w:tblPr>
      <w:tblGrid>
        <w:gridCol w:w="875"/>
        <w:gridCol w:w="120"/>
        <w:gridCol w:w="177"/>
        <w:gridCol w:w="1478"/>
        <w:gridCol w:w="60"/>
        <w:gridCol w:w="120"/>
        <w:gridCol w:w="110"/>
        <w:gridCol w:w="1474"/>
        <w:gridCol w:w="110"/>
        <w:gridCol w:w="221"/>
        <w:gridCol w:w="110"/>
        <w:gridCol w:w="1474"/>
        <w:gridCol w:w="110"/>
        <w:gridCol w:w="221"/>
        <w:gridCol w:w="110"/>
        <w:gridCol w:w="1480"/>
        <w:gridCol w:w="60"/>
        <w:gridCol w:w="120"/>
        <w:gridCol w:w="60"/>
        <w:gridCol w:w="1280"/>
        <w:gridCol w:w="60"/>
        <w:gridCol w:w="120"/>
        <w:gridCol w:w="60"/>
        <w:gridCol w:w="1820"/>
        <w:gridCol w:w="75"/>
      </w:tblGrid>
      <w:tr>
        <w:trPr/>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20" w:type="dxa"/>
            <w:gridSpan w:val="10"/>
            <w:tcBorders>
              <w:bottom w:val="single" w:sz="8" w:space="0" w:color="2393FF"/>
            </w:tcBorders>
            <w:tcMar>
              <w:bottom w:w="28" w:type="dxa"/>
            </w:tcMar>
            <w:vAlign w:val="center"/>
          </w:tcPr>
          <w:p>
            <w:pPr>
              <w:pStyle w:val="TableContents"/>
              <w:bidi w:val="0"/>
              <w:spacing w:before="0" w:after="283"/>
              <w:jc w:val="center"/>
              <w:rPr/>
            </w:pPr>
            <w:r>
              <w:rPr>
                <w:b/>
              </w:rPr>
              <w:t>ESTIMATED FUTURE PAYOUTS UNDER NON-</w:t>
            </w:r>
            <w:r>
              <w:rPr/>
              <w:br/>
            </w:r>
            <w:r>
              <w:rPr>
                <w:b/>
              </w:rPr>
              <w:t>EQUITY INCENTIVE PLAN AWARDS(1)</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340" w:type="dxa"/>
            <w:gridSpan w:val="2"/>
            <w:vMerge w:val="restart"/>
            <w:tcBorders/>
            <w:vAlign w:val="center"/>
          </w:tcPr>
          <w:p>
            <w:pPr>
              <w:pStyle w:val="TableContents"/>
              <w:bidi w:val="0"/>
              <w:spacing w:before="0" w:after="0"/>
              <w:jc w:val="center"/>
              <w:rPr>
                <w:rFonts w:ascii="ARIAL" w:hAnsi="ARIAL"/>
                <w:b/>
                <w:sz w:val="14"/>
              </w:rPr>
            </w:pPr>
            <w:r>
              <w:rPr>
                <w:rFonts w:ascii="ARIAL" w:hAnsi="ARIAL"/>
                <w:b/>
                <w:sz w:val="14"/>
              </w:rPr>
              <w:t>ALL OTHER</w:t>
              <w:br/>
              <w:t xml:space="preserve">STOCK </w:t>
            </w:r>
          </w:p>
          <w:p>
            <w:pPr>
              <w:pStyle w:val="TableContents"/>
              <w:bidi w:val="0"/>
              <w:spacing w:before="0" w:after="0"/>
              <w:jc w:val="center"/>
              <w:rPr>
                <w:rFonts w:ascii="ARIAL" w:hAnsi="ARIAL"/>
                <w:b/>
                <w:sz w:val="14"/>
              </w:rPr>
            </w:pPr>
            <w:r>
              <w:rPr>
                <w:rFonts w:ascii="ARIAL" w:hAnsi="ARIAL"/>
                <w:b/>
                <w:sz w:val="14"/>
              </w:rPr>
              <w:t xml:space="preserve">AWARDS: </w:t>
            </w:r>
          </w:p>
          <w:p>
            <w:pPr>
              <w:pStyle w:val="TableContents"/>
              <w:bidi w:val="0"/>
              <w:spacing w:before="0" w:after="0"/>
              <w:jc w:val="center"/>
              <w:rPr>
                <w:rFonts w:ascii="ARIAL" w:hAnsi="ARIAL"/>
                <w:b/>
                <w:sz w:val="14"/>
              </w:rPr>
            </w:pPr>
            <w:r>
              <w:rPr>
                <w:rFonts w:ascii="ARIAL" w:hAnsi="ARIAL"/>
                <w:b/>
                <w:sz w:val="14"/>
              </w:rPr>
              <w:t xml:space="preserve">NUMBER </w:t>
            </w:r>
          </w:p>
          <w:p>
            <w:pPr>
              <w:pStyle w:val="TableContents"/>
              <w:bidi w:val="0"/>
              <w:spacing w:before="0" w:after="0"/>
              <w:jc w:val="center"/>
              <w:rPr>
                <w:rFonts w:ascii="ARIAL" w:hAnsi="ARIAL"/>
                <w:b/>
                <w:sz w:val="14"/>
              </w:rPr>
            </w:pPr>
            <w:r>
              <w:rPr>
                <w:rFonts w:ascii="ARIAL" w:hAnsi="ARIAL"/>
                <w:b/>
                <w:sz w:val="14"/>
              </w:rPr>
              <w:t xml:space="preserve">OF SHARES </w:t>
            </w:r>
          </w:p>
          <w:p>
            <w:pPr>
              <w:pStyle w:val="TableContents"/>
              <w:bidi w:val="0"/>
              <w:spacing w:before="0" w:after="0"/>
              <w:jc w:val="center"/>
              <w:rPr>
                <w:rFonts w:ascii="ARIAL" w:hAnsi="ARIAL"/>
                <w:b/>
                <w:sz w:val="14"/>
              </w:rPr>
            </w:pPr>
            <w:r>
              <w:rPr>
                <w:rFonts w:ascii="ARIAL" w:hAnsi="ARIAL"/>
                <w:b/>
                <w:sz w:val="14"/>
              </w:rPr>
              <w:t xml:space="preserve">OF STOCK </w:t>
            </w:r>
          </w:p>
          <w:p>
            <w:pPr>
              <w:pStyle w:val="TableContents"/>
              <w:bidi w:val="0"/>
              <w:spacing w:before="0" w:after="0"/>
              <w:jc w:val="center"/>
              <w:rPr>
                <w:rFonts w:ascii="ARIAL" w:hAnsi="ARIAL"/>
                <w:b/>
                <w:sz w:val="14"/>
              </w:rPr>
            </w:pPr>
            <w:r>
              <w:rPr>
                <w:rFonts w:ascii="ARIAL" w:hAnsi="ARIAL"/>
                <w:b/>
                <w:sz w:val="14"/>
              </w:rPr>
              <w:t xml:space="preserve">OR UNITS </w:t>
            </w:r>
          </w:p>
          <w:p>
            <w:pPr>
              <w:pStyle w:val="TableContents"/>
              <w:bidi w:val="0"/>
              <w:spacing w:before="0" w:after="0"/>
              <w:jc w:val="center"/>
              <w:rPr>
                <w:rFonts w:ascii="ARIAL" w:hAnsi="ARIAL"/>
                <w:b/>
                <w:sz w:val="14"/>
              </w:rPr>
            </w:pPr>
            <w:r>
              <w:rPr>
                <w:rFonts w:ascii="ARIAL" w:hAnsi="ARIAL"/>
                <w:b/>
                <w:sz w:val="14"/>
              </w:rPr>
              <w:t>(#)(2)</w:t>
            </w:r>
          </w:p>
          <w:p>
            <w:pPr>
              <w:pStyle w:val="TableContents"/>
              <w:bidi w:val="0"/>
              <w:spacing w:before="0" w:after="20"/>
              <w:jc w:val="left"/>
              <w:rPr/>
            </w:pPr>
            <w:r>
              <w:rPr/>
              <w:t> </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880" w:type="dxa"/>
            <w:gridSpan w:val="2"/>
            <w:vMerge w:val="restart"/>
            <w:tcBorders/>
            <w:vAlign w:val="center"/>
          </w:tcPr>
          <w:p>
            <w:pPr>
              <w:pStyle w:val="TableContents"/>
              <w:bidi w:val="0"/>
              <w:spacing w:before="0" w:after="0"/>
              <w:jc w:val="right"/>
              <w:rPr>
                <w:rFonts w:ascii="ARIAL" w:hAnsi="ARIAL"/>
                <w:b/>
                <w:sz w:val="14"/>
              </w:rPr>
            </w:pPr>
            <w:r>
              <w:rPr>
                <w:rFonts w:ascii="ARIAL" w:hAnsi="ARIAL"/>
                <w:b/>
                <w:sz w:val="14"/>
              </w:rPr>
              <w:t xml:space="preserve">GRANT </w:t>
            </w:r>
          </w:p>
          <w:p>
            <w:pPr>
              <w:pStyle w:val="TableContents"/>
              <w:bidi w:val="0"/>
              <w:spacing w:before="0" w:after="0"/>
              <w:jc w:val="right"/>
              <w:rPr>
                <w:rFonts w:ascii="ARIAL" w:hAnsi="ARIAL"/>
                <w:b/>
                <w:sz w:val="14"/>
              </w:rPr>
            </w:pPr>
            <w:r>
              <w:rPr>
                <w:rFonts w:ascii="ARIAL" w:hAnsi="ARIAL"/>
                <w:b/>
                <w:sz w:val="14"/>
              </w:rPr>
              <w:t xml:space="preserve">DATE FAIR </w:t>
            </w:r>
          </w:p>
          <w:p>
            <w:pPr>
              <w:pStyle w:val="TableContents"/>
              <w:bidi w:val="0"/>
              <w:spacing w:before="0" w:after="0"/>
              <w:jc w:val="right"/>
              <w:rPr>
                <w:rFonts w:ascii="ARIAL" w:hAnsi="ARIAL"/>
                <w:b/>
                <w:sz w:val="14"/>
              </w:rPr>
            </w:pPr>
            <w:r>
              <w:rPr>
                <w:rFonts w:ascii="ARIAL" w:hAnsi="ARIAL"/>
                <w:b/>
                <w:sz w:val="14"/>
              </w:rPr>
              <w:t xml:space="preserve">VALUE OF </w:t>
            </w:r>
          </w:p>
          <w:p>
            <w:pPr>
              <w:pStyle w:val="TableContents"/>
              <w:bidi w:val="0"/>
              <w:spacing w:before="0" w:after="0"/>
              <w:jc w:val="right"/>
              <w:rPr>
                <w:rFonts w:ascii="ARIAL" w:hAnsi="ARIAL"/>
                <w:b/>
                <w:sz w:val="14"/>
              </w:rPr>
            </w:pPr>
            <w:r>
              <w:rPr>
                <w:rFonts w:ascii="ARIAL" w:hAnsi="ARIAL"/>
                <w:b/>
                <w:sz w:val="14"/>
              </w:rPr>
              <w:t xml:space="preserve">STOCK AND </w:t>
            </w:r>
          </w:p>
          <w:p>
            <w:pPr>
              <w:pStyle w:val="TableContents"/>
              <w:bidi w:val="0"/>
              <w:spacing w:before="0" w:after="0"/>
              <w:jc w:val="right"/>
              <w:rPr>
                <w:rFonts w:ascii="ARIAL" w:hAnsi="ARIAL"/>
                <w:b/>
                <w:sz w:val="14"/>
              </w:rPr>
            </w:pPr>
            <w:r>
              <w:rPr>
                <w:rFonts w:ascii="ARIAL" w:hAnsi="ARIAL"/>
                <w:b/>
                <w:sz w:val="14"/>
              </w:rPr>
              <w:t xml:space="preserve">OPTION </w:t>
            </w:r>
          </w:p>
          <w:p>
            <w:pPr>
              <w:pStyle w:val="TableContents"/>
              <w:bidi w:val="0"/>
              <w:spacing w:before="0" w:after="0"/>
              <w:jc w:val="right"/>
              <w:rPr>
                <w:rFonts w:ascii="ARIAL" w:hAnsi="ARIAL"/>
                <w:b/>
                <w:sz w:val="14"/>
              </w:rPr>
            </w:pPr>
            <w:r>
              <w:rPr>
                <w:rFonts w:ascii="ARIAL" w:hAnsi="ARIAL"/>
                <w:b/>
                <w:sz w:val="14"/>
              </w:rPr>
              <w:t xml:space="preserve">AWARDS(3) </w:t>
            </w:r>
          </w:p>
          <w:p>
            <w:pPr>
              <w:pStyle w:val="TableContents"/>
              <w:bidi w:val="0"/>
              <w:spacing w:before="0" w:after="20"/>
              <w:jc w:val="left"/>
              <w:rPr/>
            </w:pPr>
            <w:r>
              <w:rPr/>
              <w:t> </w:t>
            </w:r>
          </w:p>
        </w:tc>
        <w:tc>
          <w:tcPr>
            <w:tcW w:w="75" w:type="dxa"/>
            <w:vMerge w:val="restart"/>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r>
              <w:rPr>
                <w:b/>
              </w:rPr>
              <w:t>NAME</w:t>
            </w:r>
          </w:p>
        </w:tc>
        <w:tc>
          <w:tcPr>
            <w:tcW w:w="12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right"/>
              <w:rPr>
                <w:b/>
              </w:rPr>
            </w:pPr>
            <w:r>
              <w:rPr>
                <w:b/>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4" w:type="dxa"/>
            <w:gridSpan w:val="2"/>
            <w:tcBorders/>
            <w:vAlign w:val="center"/>
          </w:tcPr>
          <w:p>
            <w:pPr>
              <w:pStyle w:val="TableContents"/>
              <w:bidi w:val="0"/>
              <w:spacing w:before="0" w:after="283"/>
              <w:jc w:val="right"/>
              <w:rPr/>
            </w:pPr>
            <w:r>
              <w:rPr/>
              <w:t>   </w:t>
            </w:r>
            <w:r>
              <w:rPr>
                <w:b/>
              </w:rPr>
              <w:t>THRESHOLD</w:t>
              <w:br/>
              <w:t>($)</w:t>
            </w:r>
          </w:p>
        </w:tc>
        <w:tc>
          <w:tcPr>
            <w:tcW w:w="11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584" w:type="dxa"/>
            <w:gridSpan w:val="2"/>
            <w:tcBorders/>
            <w:vAlign w:val="center"/>
          </w:tcPr>
          <w:p>
            <w:pPr>
              <w:pStyle w:val="TableContents"/>
              <w:bidi w:val="0"/>
              <w:spacing w:before="0" w:after="283"/>
              <w:jc w:val="right"/>
              <w:rPr/>
            </w:pPr>
            <w:r>
              <w:rPr/>
              <w:t>   </w:t>
            </w:r>
            <w:r>
              <w:rPr>
                <w:b/>
              </w:rPr>
              <w:t>TARGET</w:t>
              <w:br/>
              <w:t>($)</w:t>
            </w:r>
          </w:p>
        </w:tc>
        <w:tc>
          <w:tcPr>
            <w:tcW w:w="11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590" w:type="dxa"/>
            <w:gridSpan w:val="2"/>
            <w:tcBorders/>
            <w:vAlign w:val="center"/>
          </w:tcPr>
          <w:p>
            <w:pPr>
              <w:pStyle w:val="TableContents"/>
              <w:bidi w:val="0"/>
              <w:spacing w:before="0" w:after="283"/>
              <w:jc w:val="right"/>
              <w:rPr/>
            </w:pPr>
            <w:r>
              <w:rPr/>
              <w:t>   </w:t>
            </w:r>
            <w:r>
              <w:rPr>
                <w:b/>
              </w:rPr>
              <w:t>MAXIMUM</w:t>
              <w:br/>
              <w:t xml:space="preserve">($) </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34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880"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875" w:type="dxa"/>
            <w:tcBorders/>
            <w:shd w:fill="E8F4FF" w:val="clear"/>
            <w:vAlign w:val="center"/>
          </w:tcPr>
          <w:p>
            <w:pPr>
              <w:pStyle w:val="TableContents"/>
              <w:bidi w:val="0"/>
              <w:spacing w:before="0" w:after="283"/>
              <w:jc w:val="left"/>
              <w:rPr>
                <w:sz w:val="4"/>
                <w:szCs w:val="4"/>
              </w:rPr>
            </w:pPr>
            <w:r>
              <w:rPr>
                <w:sz w:val="4"/>
                <w:szCs w:val="4"/>
              </w:rPr>
            </w:r>
          </w:p>
        </w:tc>
        <w:tc>
          <w:tcPr>
            <w:tcW w:w="1835" w:type="dxa"/>
            <w:gridSpan w:val="4"/>
            <w:tcBorders/>
            <w:shd w:fill="E8F4FF" w:val="clear"/>
            <w:vAlign w:val="center"/>
          </w:tcPr>
          <w:p>
            <w:pPr>
              <w:pStyle w:val="TableContents"/>
              <w:bidi w:val="0"/>
              <w:spacing w:before="0" w:after="283"/>
              <w:jc w:val="left"/>
              <w:rPr>
                <w:sz w:val="4"/>
                <w:szCs w:val="4"/>
              </w:rPr>
            </w:pPr>
            <w:r>
              <w:rPr>
                <w:sz w:val="4"/>
                <w:szCs w:val="4"/>
              </w:rPr>
            </w:r>
          </w:p>
        </w:tc>
        <w:tc>
          <w:tcPr>
            <w:tcW w:w="1814" w:type="dxa"/>
            <w:gridSpan w:val="4"/>
            <w:tcBorders/>
            <w:shd w:fill="E8F4FF" w:val="clear"/>
            <w:vAlign w:val="center"/>
          </w:tcPr>
          <w:p>
            <w:pPr>
              <w:pStyle w:val="TableContents"/>
              <w:bidi w:val="0"/>
              <w:spacing w:before="0" w:after="283"/>
              <w:jc w:val="left"/>
              <w:rPr>
                <w:sz w:val="4"/>
                <w:szCs w:val="4"/>
              </w:rPr>
            </w:pPr>
            <w:r>
              <w:rPr>
                <w:sz w:val="4"/>
                <w:szCs w:val="4"/>
              </w:rPr>
            </w:r>
          </w:p>
        </w:tc>
        <w:tc>
          <w:tcPr>
            <w:tcW w:w="1915" w:type="dxa"/>
            <w:gridSpan w:val="4"/>
            <w:tcBorders/>
            <w:shd w:fill="E8F4FF" w:val="clear"/>
            <w:vAlign w:val="center"/>
          </w:tcPr>
          <w:p>
            <w:pPr>
              <w:pStyle w:val="TableContents"/>
              <w:bidi w:val="0"/>
              <w:spacing w:before="0" w:after="283"/>
              <w:jc w:val="left"/>
              <w:rPr>
                <w:sz w:val="4"/>
                <w:szCs w:val="4"/>
              </w:rPr>
            </w:pPr>
            <w:r>
              <w:rPr>
                <w:sz w:val="4"/>
                <w:szCs w:val="4"/>
              </w:rPr>
            </w:r>
          </w:p>
        </w:tc>
        <w:tc>
          <w:tcPr>
            <w:tcW w:w="1871" w:type="dxa"/>
            <w:gridSpan w:val="4"/>
            <w:tcBorders/>
            <w:shd w:fill="E8F4FF" w:val="clear"/>
            <w:vAlign w:val="center"/>
          </w:tcPr>
          <w:p>
            <w:pPr>
              <w:pStyle w:val="TableContents"/>
              <w:bidi w:val="0"/>
              <w:spacing w:before="0" w:after="283"/>
              <w:jc w:val="left"/>
              <w:rPr>
                <w:sz w:val="4"/>
                <w:szCs w:val="4"/>
              </w:rPr>
            </w:pPr>
            <w:r>
              <w:rPr>
                <w:sz w:val="4"/>
                <w:szCs w:val="4"/>
              </w:rPr>
            </w:r>
          </w:p>
        </w:tc>
        <w:tc>
          <w:tcPr>
            <w:tcW w:w="1520" w:type="dxa"/>
            <w:gridSpan w:val="4"/>
            <w:tcBorders/>
            <w:shd w:fill="E8F4FF" w:val="clear"/>
            <w:vAlign w:val="center"/>
          </w:tcPr>
          <w:p>
            <w:pPr>
              <w:pStyle w:val="TableContents"/>
              <w:bidi w:val="0"/>
              <w:spacing w:before="0" w:after="283"/>
              <w:jc w:val="left"/>
              <w:rPr>
                <w:sz w:val="4"/>
                <w:szCs w:val="4"/>
              </w:rPr>
            </w:pPr>
            <w:r>
              <w:rPr>
                <w:sz w:val="4"/>
                <w:szCs w:val="4"/>
              </w:rPr>
            </w:r>
          </w:p>
        </w:tc>
        <w:tc>
          <w:tcPr>
            <w:tcW w:w="207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875"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Michael Massaro</w:t>
            </w:r>
          </w:p>
        </w:tc>
        <w:tc>
          <w:tcPr>
            <w:tcW w:w="120" w:type="dxa"/>
            <w:tcBorders/>
            <w:shd w:fill="E8F4FF" w:val="clear"/>
            <w:vAlign w:val="center"/>
          </w:tcPr>
          <w:p>
            <w:pPr>
              <w:pStyle w:val="TableContents"/>
              <w:bidi w:val="0"/>
              <w:spacing w:before="0" w:after="283"/>
              <w:jc w:val="left"/>
              <w:rPr/>
            </w:pPr>
            <w:r>
              <w:rPr/>
              <w:t>  </w:t>
            </w:r>
          </w:p>
        </w:tc>
        <w:tc>
          <w:tcPr>
            <w:tcW w:w="177" w:type="dxa"/>
            <w:tcBorders/>
            <w:shd w:fill="E8F4FF" w:val="clear"/>
            <w:vAlign w:val="center"/>
          </w:tcPr>
          <w:p>
            <w:pPr>
              <w:pStyle w:val="TableContents"/>
              <w:bidi w:val="0"/>
              <w:spacing w:before="0" w:after="283"/>
              <w:jc w:val="left"/>
              <w:rPr/>
            </w:pPr>
            <w:r>
              <w:rPr/>
              <w:t> </w:t>
            </w:r>
          </w:p>
        </w:tc>
        <w:tc>
          <w:tcPr>
            <w:tcW w:w="1478" w:type="dxa"/>
            <w:tcBorders/>
            <w:shd w:fill="E8F4FF" w:val="clear"/>
            <w:vAlign w:val="center"/>
          </w:tcPr>
          <w:p>
            <w:pPr>
              <w:pStyle w:val="TableContents"/>
              <w:bidi w:val="0"/>
              <w:spacing w:before="0" w:after="283"/>
              <w:jc w:val="right"/>
              <w:rPr/>
            </w:pPr>
            <w:r>
              <w:rPr/>
              <w:t>N/A</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pPr>
            <w:r>
              <w:rPr/>
              <w:t> </w:t>
            </w:r>
          </w:p>
        </w:tc>
        <w:tc>
          <w:tcPr>
            <w:tcW w:w="1474" w:type="dxa"/>
            <w:tcBorders/>
            <w:shd w:fill="E8F4FF" w:val="clear"/>
            <w:vAlign w:val="center"/>
          </w:tcPr>
          <w:p>
            <w:pPr>
              <w:pStyle w:val="TableContents"/>
              <w:bidi w:val="0"/>
              <w:spacing w:before="0" w:after="283"/>
              <w:jc w:val="right"/>
              <w:rPr/>
            </w:pPr>
            <w:r>
              <w:rPr/>
              <w:t>225,000</w:t>
            </w:r>
          </w:p>
        </w:tc>
        <w:tc>
          <w:tcPr>
            <w:tcW w:w="110" w:type="dxa"/>
            <w:tcBorders/>
            <w:shd w:fill="E8F4FF" w:val="clear"/>
            <w:vAlign w:val="center"/>
          </w:tcPr>
          <w:p>
            <w:pPr>
              <w:pStyle w:val="TableContents"/>
              <w:bidi w:val="0"/>
              <w:spacing w:before="0" w:after="283"/>
              <w:jc w:val="left"/>
              <w:rPr/>
            </w:pPr>
            <w:r>
              <w:rPr/>
              <w:t> </w:t>
            </w:r>
          </w:p>
        </w:tc>
        <w:tc>
          <w:tcPr>
            <w:tcW w:w="221"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pPr>
            <w:r>
              <w:rPr/>
              <w:t> </w:t>
            </w:r>
          </w:p>
        </w:tc>
        <w:tc>
          <w:tcPr>
            <w:tcW w:w="1474" w:type="dxa"/>
            <w:tcBorders/>
            <w:shd w:fill="E8F4FF" w:val="clear"/>
            <w:vAlign w:val="center"/>
          </w:tcPr>
          <w:p>
            <w:pPr>
              <w:pStyle w:val="TableContents"/>
              <w:bidi w:val="0"/>
              <w:spacing w:before="0" w:after="283"/>
              <w:jc w:val="right"/>
              <w:rPr/>
            </w:pPr>
            <w:r>
              <w:rPr/>
              <w:t>450,000</w:t>
            </w:r>
          </w:p>
        </w:tc>
        <w:tc>
          <w:tcPr>
            <w:tcW w:w="110" w:type="dxa"/>
            <w:tcBorders/>
            <w:shd w:fill="E8F4FF" w:val="clear"/>
            <w:vAlign w:val="center"/>
          </w:tcPr>
          <w:p>
            <w:pPr>
              <w:pStyle w:val="TableContents"/>
              <w:bidi w:val="0"/>
              <w:spacing w:before="0" w:after="283"/>
              <w:jc w:val="left"/>
              <w:rPr/>
            </w:pPr>
            <w:r>
              <w:rPr/>
              <w:t> </w:t>
            </w:r>
          </w:p>
        </w:tc>
        <w:tc>
          <w:tcPr>
            <w:tcW w:w="221"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pPr>
            <w:r>
              <w:rPr/>
              <w:t> </w:t>
            </w:r>
          </w:p>
        </w:tc>
        <w:tc>
          <w:tcPr>
            <w:tcW w:w="1480" w:type="dxa"/>
            <w:tcBorders/>
            <w:shd w:fill="E8F4FF" w:val="clear"/>
            <w:vAlign w:val="center"/>
          </w:tcPr>
          <w:p>
            <w:pPr>
              <w:pStyle w:val="TableContents"/>
              <w:bidi w:val="0"/>
              <w:spacing w:before="0" w:after="283"/>
              <w:jc w:val="right"/>
              <w:rPr/>
            </w:pPr>
            <w:r>
              <w:rPr/>
              <w:t>675,000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8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820" w:type="dxa"/>
            <w:tcBorders/>
            <w:shd w:fill="E8F4FF" w:val="clear"/>
            <w:vAlign w:val="center"/>
          </w:tcPr>
          <w:p>
            <w:pPr>
              <w:pStyle w:val="TableContents"/>
              <w:bidi w:val="0"/>
              <w:spacing w:before="0" w:after="283"/>
              <w:jc w:val="left"/>
              <w:rPr>
                <w:sz w:val="4"/>
                <w:szCs w:val="4"/>
              </w:rPr>
            </w:pPr>
            <w:r>
              <w:rPr>
                <w:sz w:val="4"/>
                <w:szCs w:val="4"/>
              </w:rPr>
            </w:r>
          </w:p>
        </w:tc>
        <w:tc>
          <w:tcPr>
            <w:tcW w:w="75" w:type="dxa"/>
            <w:tcBorders/>
            <w:shd w:fill="E8F4FF" w:val="clear"/>
            <w:vAlign w:val="center"/>
          </w:tcPr>
          <w:p>
            <w:pPr>
              <w:pStyle w:val="TableContents"/>
              <w:bidi w:val="0"/>
              <w:spacing w:before="0" w:after="283"/>
              <w:jc w:val="left"/>
              <w:rPr>
                <w:sz w:val="4"/>
                <w:szCs w:val="4"/>
              </w:rPr>
            </w:pPr>
            <w:r>
              <w:rPr>
                <w:sz w:val="4"/>
                <w:szCs w:val="4"/>
              </w:rPr>
            </w:r>
          </w:p>
        </w:tc>
      </w:tr>
      <w:tr>
        <w:trPr/>
        <w:tc>
          <w:tcPr>
            <w:tcW w:w="875" w:type="dxa"/>
            <w:tcBorders/>
            <w:shd w:fill="E8F4FF" w:val="clear"/>
            <w:vAlign w:val="center"/>
          </w:tcPr>
          <w:p>
            <w:pPr>
              <w:pStyle w:val="TableContents"/>
              <w:bidi w:val="0"/>
              <w:spacing w:before="0" w:after="283"/>
              <w:jc w:val="left"/>
              <w:rPr>
                <w:sz w:val="4"/>
                <w:szCs w:val="4"/>
              </w:rPr>
            </w:pPr>
            <w:r>
              <w:rPr>
                <w:sz w:val="4"/>
                <w:szCs w:val="4"/>
              </w:rPr>
            </w:r>
          </w:p>
        </w:tc>
        <w:tc>
          <w:tcPr>
            <w:tcW w:w="1835" w:type="dxa"/>
            <w:gridSpan w:val="4"/>
            <w:tcBorders/>
            <w:shd w:fill="E8F4FF" w:val="clear"/>
            <w:vAlign w:val="center"/>
          </w:tcPr>
          <w:p>
            <w:pPr>
              <w:pStyle w:val="TableContents"/>
              <w:bidi w:val="0"/>
              <w:spacing w:before="0" w:after="283"/>
              <w:jc w:val="left"/>
              <w:rPr>
                <w:sz w:val="4"/>
                <w:szCs w:val="4"/>
              </w:rPr>
            </w:pPr>
            <w:r>
              <w:rPr>
                <w:sz w:val="4"/>
                <w:szCs w:val="4"/>
              </w:rPr>
            </w:r>
          </w:p>
        </w:tc>
        <w:tc>
          <w:tcPr>
            <w:tcW w:w="1814" w:type="dxa"/>
            <w:gridSpan w:val="4"/>
            <w:tcBorders/>
            <w:shd w:fill="E8F4FF" w:val="clear"/>
            <w:vAlign w:val="center"/>
          </w:tcPr>
          <w:p>
            <w:pPr>
              <w:pStyle w:val="TableContents"/>
              <w:bidi w:val="0"/>
              <w:spacing w:before="0" w:after="283"/>
              <w:jc w:val="left"/>
              <w:rPr>
                <w:sz w:val="4"/>
                <w:szCs w:val="4"/>
              </w:rPr>
            </w:pPr>
            <w:r>
              <w:rPr>
                <w:sz w:val="4"/>
                <w:szCs w:val="4"/>
              </w:rPr>
            </w:r>
          </w:p>
        </w:tc>
        <w:tc>
          <w:tcPr>
            <w:tcW w:w="1915" w:type="dxa"/>
            <w:gridSpan w:val="4"/>
            <w:tcBorders/>
            <w:shd w:fill="E8F4FF" w:val="clear"/>
            <w:vAlign w:val="center"/>
          </w:tcPr>
          <w:p>
            <w:pPr>
              <w:pStyle w:val="TableContents"/>
              <w:bidi w:val="0"/>
              <w:spacing w:before="0" w:after="283"/>
              <w:jc w:val="left"/>
              <w:rPr>
                <w:sz w:val="4"/>
                <w:szCs w:val="4"/>
              </w:rPr>
            </w:pPr>
            <w:r>
              <w:rPr>
                <w:sz w:val="4"/>
                <w:szCs w:val="4"/>
              </w:rPr>
            </w:r>
          </w:p>
        </w:tc>
        <w:tc>
          <w:tcPr>
            <w:tcW w:w="1871" w:type="dxa"/>
            <w:gridSpan w:val="4"/>
            <w:tcBorders/>
            <w:shd w:fill="E8F4FF" w:val="clear"/>
            <w:vAlign w:val="center"/>
          </w:tcPr>
          <w:p>
            <w:pPr>
              <w:pStyle w:val="TableContents"/>
              <w:bidi w:val="0"/>
              <w:spacing w:before="0" w:after="283"/>
              <w:jc w:val="left"/>
              <w:rPr>
                <w:sz w:val="4"/>
                <w:szCs w:val="4"/>
              </w:rPr>
            </w:pPr>
            <w:r>
              <w:rPr>
                <w:sz w:val="4"/>
                <w:szCs w:val="4"/>
              </w:rPr>
            </w:r>
          </w:p>
        </w:tc>
        <w:tc>
          <w:tcPr>
            <w:tcW w:w="1520" w:type="dxa"/>
            <w:gridSpan w:val="4"/>
            <w:tcBorders/>
            <w:shd w:fill="E8F4FF" w:val="clear"/>
            <w:vAlign w:val="center"/>
          </w:tcPr>
          <w:p>
            <w:pPr>
              <w:pStyle w:val="TableContents"/>
              <w:bidi w:val="0"/>
              <w:spacing w:before="0" w:after="283"/>
              <w:jc w:val="left"/>
              <w:rPr>
                <w:sz w:val="4"/>
                <w:szCs w:val="4"/>
              </w:rPr>
            </w:pPr>
            <w:r>
              <w:rPr>
                <w:sz w:val="4"/>
                <w:szCs w:val="4"/>
              </w:rPr>
            </w:r>
          </w:p>
        </w:tc>
        <w:tc>
          <w:tcPr>
            <w:tcW w:w="207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875"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177" w:type="dxa"/>
            <w:tcBorders/>
            <w:shd w:fill="E8F4FF" w:val="clear"/>
            <w:vAlign w:val="center"/>
          </w:tcPr>
          <w:p>
            <w:pPr>
              <w:pStyle w:val="TableContents"/>
              <w:bidi w:val="0"/>
              <w:spacing w:before="0" w:after="283"/>
              <w:jc w:val="left"/>
              <w:rPr/>
            </w:pPr>
            <w:r>
              <w:rPr/>
              <w:t> </w:t>
            </w:r>
          </w:p>
        </w:tc>
        <w:tc>
          <w:tcPr>
            <w:tcW w:w="1478" w:type="dxa"/>
            <w:tcBorders/>
            <w:shd w:fill="E8F4FF" w:val="clear"/>
            <w:vAlign w:val="center"/>
          </w:tcPr>
          <w:p>
            <w:pPr>
              <w:pStyle w:val="TableContents"/>
              <w:bidi w:val="0"/>
              <w:spacing w:before="0" w:after="283"/>
              <w:jc w:val="right"/>
              <w:rPr/>
            </w:pPr>
            <w:r>
              <w:rPr/>
              <w:t>3/2/2024</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sz w:val="4"/>
                <w:szCs w:val="4"/>
              </w:rPr>
            </w:pPr>
            <w:r>
              <w:rPr>
                <w:sz w:val="4"/>
                <w:szCs w:val="4"/>
              </w:rPr>
            </w:r>
          </w:p>
        </w:tc>
        <w:tc>
          <w:tcPr>
            <w:tcW w:w="1474" w:type="dxa"/>
            <w:tcBorders/>
            <w:shd w:fill="E8F4FF" w:val="clear"/>
            <w:vAlign w:val="center"/>
          </w:tcPr>
          <w:p>
            <w:pPr>
              <w:pStyle w:val="TableContents"/>
              <w:bidi w:val="0"/>
              <w:spacing w:before="0" w:after="283"/>
              <w:jc w:val="left"/>
              <w:rPr>
                <w:sz w:val="4"/>
                <w:szCs w:val="4"/>
              </w:rPr>
            </w:pPr>
            <w:r>
              <w:rPr>
                <w:sz w:val="4"/>
                <w:szCs w:val="4"/>
              </w:rPr>
            </w:r>
          </w:p>
        </w:tc>
        <w:tc>
          <w:tcPr>
            <w:tcW w:w="110" w:type="dxa"/>
            <w:tcBorders/>
            <w:shd w:fill="E8F4FF" w:val="clear"/>
            <w:vAlign w:val="center"/>
          </w:tcPr>
          <w:p>
            <w:pPr>
              <w:pStyle w:val="TableContents"/>
              <w:bidi w:val="0"/>
              <w:spacing w:before="0" w:after="283"/>
              <w:jc w:val="left"/>
              <w:rPr>
                <w:sz w:val="4"/>
                <w:szCs w:val="4"/>
              </w:rPr>
            </w:pPr>
            <w:r>
              <w:rPr>
                <w:sz w:val="4"/>
                <w:szCs w:val="4"/>
              </w:rPr>
            </w:r>
          </w:p>
        </w:tc>
        <w:tc>
          <w:tcPr>
            <w:tcW w:w="221"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sz w:val="4"/>
                <w:szCs w:val="4"/>
              </w:rPr>
            </w:pPr>
            <w:r>
              <w:rPr>
                <w:sz w:val="4"/>
                <w:szCs w:val="4"/>
              </w:rPr>
            </w:r>
          </w:p>
        </w:tc>
        <w:tc>
          <w:tcPr>
            <w:tcW w:w="1474" w:type="dxa"/>
            <w:tcBorders/>
            <w:shd w:fill="E8F4FF" w:val="clear"/>
            <w:vAlign w:val="center"/>
          </w:tcPr>
          <w:p>
            <w:pPr>
              <w:pStyle w:val="TableContents"/>
              <w:bidi w:val="0"/>
              <w:spacing w:before="0" w:after="283"/>
              <w:jc w:val="left"/>
              <w:rPr>
                <w:sz w:val="4"/>
                <w:szCs w:val="4"/>
              </w:rPr>
            </w:pPr>
            <w:r>
              <w:rPr>
                <w:sz w:val="4"/>
                <w:szCs w:val="4"/>
              </w:rPr>
            </w:r>
          </w:p>
        </w:tc>
        <w:tc>
          <w:tcPr>
            <w:tcW w:w="110" w:type="dxa"/>
            <w:tcBorders/>
            <w:shd w:fill="E8F4FF" w:val="clear"/>
            <w:vAlign w:val="center"/>
          </w:tcPr>
          <w:p>
            <w:pPr>
              <w:pStyle w:val="TableContents"/>
              <w:bidi w:val="0"/>
              <w:spacing w:before="0" w:after="283"/>
              <w:jc w:val="left"/>
              <w:rPr>
                <w:sz w:val="4"/>
                <w:szCs w:val="4"/>
              </w:rPr>
            </w:pPr>
            <w:r>
              <w:rPr>
                <w:sz w:val="4"/>
                <w:szCs w:val="4"/>
              </w:rPr>
            </w:r>
          </w:p>
        </w:tc>
        <w:tc>
          <w:tcPr>
            <w:tcW w:w="221"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sz w:val="4"/>
                <w:szCs w:val="4"/>
              </w:rPr>
            </w:pPr>
            <w:r>
              <w:rPr>
                <w:sz w:val="4"/>
                <w:szCs w:val="4"/>
              </w:rPr>
            </w:r>
          </w:p>
        </w:tc>
        <w:tc>
          <w:tcPr>
            <w:tcW w:w="148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280" w:type="dxa"/>
            <w:tcBorders/>
            <w:shd w:fill="E8F4FF" w:val="clear"/>
            <w:vAlign w:val="center"/>
          </w:tcPr>
          <w:p>
            <w:pPr>
              <w:pStyle w:val="TableContents"/>
              <w:bidi w:val="0"/>
              <w:spacing w:before="0" w:after="283"/>
              <w:jc w:val="right"/>
              <w:rPr/>
            </w:pPr>
            <w:r>
              <w:rPr/>
              <w:t>  </w:t>
            </w:r>
            <w:r>
              <w:rPr/>
              <w:t>340,867</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820" w:type="dxa"/>
            <w:tcBorders/>
            <w:shd w:fill="E8F4FF" w:val="clear"/>
            <w:vAlign w:val="center"/>
          </w:tcPr>
          <w:p>
            <w:pPr>
              <w:pStyle w:val="TableContents"/>
              <w:bidi w:val="0"/>
              <w:spacing w:before="0" w:after="283"/>
              <w:jc w:val="right"/>
              <w:rPr/>
            </w:pPr>
            <w:r>
              <w:rPr/>
              <w:t>   </w:t>
            </w:r>
            <w:r>
              <w:rPr/>
              <w:t>$9,295,443</w:t>
            </w:r>
          </w:p>
        </w:tc>
        <w:tc>
          <w:tcPr>
            <w:tcW w:w="75" w:type="dxa"/>
            <w:tcBorders/>
            <w:shd w:fill="E8F4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before="0" w:after="283"/>
              <w:jc w:val="left"/>
              <w:rPr>
                <w:sz w:val="4"/>
                <w:szCs w:val="4"/>
              </w:rPr>
            </w:pPr>
            <w:r>
              <w:rPr>
                <w:sz w:val="4"/>
                <w:szCs w:val="4"/>
              </w:rPr>
            </w:r>
          </w:p>
        </w:tc>
        <w:tc>
          <w:tcPr>
            <w:tcW w:w="1915" w:type="dxa"/>
            <w:gridSpan w:val="4"/>
            <w:tcBorders/>
            <w:vAlign w:val="center"/>
          </w:tcPr>
          <w:p>
            <w:pPr>
              <w:pStyle w:val="TableContents"/>
              <w:bidi w:val="0"/>
              <w:spacing w:before="0" w:after="283"/>
              <w:jc w:val="left"/>
              <w:rPr>
                <w:sz w:val="4"/>
                <w:szCs w:val="4"/>
              </w:rPr>
            </w:pPr>
            <w:r>
              <w:rPr>
                <w:sz w:val="4"/>
                <w:szCs w:val="4"/>
              </w:rPr>
            </w:r>
          </w:p>
        </w:tc>
        <w:tc>
          <w:tcPr>
            <w:tcW w:w="1871"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Robert Orgel</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4" w:type="dxa"/>
            <w:tcBorders/>
            <w:vAlign w:val="center"/>
          </w:tcPr>
          <w:p>
            <w:pPr>
              <w:pStyle w:val="TableContents"/>
              <w:bidi w:val="0"/>
              <w:spacing w:before="0" w:after="283"/>
              <w:jc w:val="right"/>
              <w:rPr/>
            </w:pPr>
            <w:r>
              <w:rPr/>
              <w:t>112,500</w:t>
            </w:r>
          </w:p>
        </w:tc>
        <w:tc>
          <w:tcPr>
            <w:tcW w:w="11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4" w:type="dxa"/>
            <w:tcBorders/>
            <w:vAlign w:val="center"/>
          </w:tcPr>
          <w:p>
            <w:pPr>
              <w:pStyle w:val="TableContents"/>
              <w:bidi w:val="0"/>
              <w:spacing w:before="0" w:after="283"/>
              <w:jc w:val="right"/>
              <w:rPr/>
            </w:pPr>
            <w:r>
              <w:rPr/>
              <w:t>225,000</w:t>
            </w:r>
          </w:p>
        </w:tc>
        <w:tc>
          <w:tcPr>
            <w:tcW w:w="11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80" w:type="dxa"/>
            <w:tcBorders/>
            <w:vAlign w:val="center"/>
          </w:tcPr>
          <w:p>
            <w:pPr>
              <w:pStyle w:val="TableContents"/>
              <w:bidi w:val="0"/>
              <w:spacing w:before="0" w:after="283"/>
              <w:jc w:val="right"/>
              <w:rPr/>
            </w:pPr>
            <w:r>
              <w:rPr/>
              <w:t>337,500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before="0" w:after="283"/>
              <w:jc w:val="left"/>
              <w:rPr>
                <w:sz w:val="4"/>
                <w:szCs w:val="4"/>
              </w:rPr>
            </w:pPr>
            <w:r>
              <w:rPr>
                <w:sz w:val="4"/>
                <w:szCs w:val="4"/>
              </w:rPr>
            </w:r>
          </w:p>
        </w:tc>
        <w:tc>
          <w:tcPr>
            <w:tcW w:w="1915" w:type="dxa"/>
            <w:gridSpan w:val="4"/>
            <w:tcBorders/>
            <w:vAlign w:val="center"/>
          </w:tcPr>
          <w:p>
            <w:pPr>
              <w:pStyle w:val="TableContents"/>
              <w:bidi w:val="0"/>
              <w:spacing w:before="0" w:after="283"/>
              <w:jc w:val="left"/>
              <w:rPr>
                <w:sz w:val="4"/>
                <w:szCs w:val="4"/>
              </w:rPr>
            </w:pPr>
            <w:r>
              <w:rPr>
                <w:sz w:val="4"/>
                <w:szCs w:val="4"/>
              </w:rPr>
            </w:r>
          </w:p>
        </w:tc>
        <w:tc>
          <w:tcPr>
            <w:tcW w:w="1871"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3/2/2024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198,129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pPr>
            <w:r>
              <w:rPr/>
              <w:t>$5,402,978</w:t>
            </w:r>
          </w:p>
        </w:tc>
        <w:tc>
          <w:tcPr>
            <w:tcW w:w="75" w:type="dxa"/>
            <w:tcBorders/>
            <w:vAlign w:val="center"/>
          </w:tcPr>
          <w:p>
            <w:pPr>
              <w:pStyle w:val="TableContents"/>
              <w:bidi w:val="0"/>
              <w:spacing w:before="0" w:after="283"/>
              <w:jc w:val="left"/>
              <w:rPr/>
            </w:pPr>
            <w:r>
              <w:rPr/>
              <w:t> </w:t>
            </w:r>
          </w:p>
        </w:tc>
      </w:tr>
      <w:tr>
        <w:trPr/>
        <w:tc>
          <w:tcPr>
            <w:tcW w:w="875" w:type="dxa"/>
            <w:tcBorders/>
            <w:shd w:fill="E8F4FF" w:val="clear"/>
            <w:vAlign w:val="center"/>
          </w:tcPr>
          <w:p>
            <w:pPr>
              <w:pStyle w:val="TableContents"/>
              <w:bidi w:val="0"/>
              <w:spacing w:before="0" w:after="283"/>
              <w:jc w:val="left"/>
              <w:rPr>
                <w:sz w:val="4"/>
                <w:szCs w:val="4"/>
              </w:rPr>
            </w:pPr>
            <w:r>
              <w:rPr>
                <w:sz w:val="4"/>
                <w:szCs w:val="4"/>
              </w:rPr>
            </w:r>
          </w:p>
        </w:tc>
        <w:tc>
          <w:tcPr>
            <w:tcW w:w="1835" w:type="dxa"/>
            <w:gridSpan w:val="4"/>
            <w:tcBorders/>
            <w:shd w:fill="E8F4FF" w:val="clear"/>
            <w:vAlign w:val="center"/>
          </w:tcPr>
          <w:p>
            <w:pPr>
              <w:pStyle w:val="TableContents"/>
              <w:bidi w:val="0"/>
              <w:spacing w:before="0" w:after="283"/>
              <w:jc w:val="left"/>
              <w:rPr>
                <w:sz w:val="4"/>
                <w:szCs w:val="4"/>
              </w:rPr>
            </w:pPr>
            <w:r>
              <w:rPr>
                <w:sz w:val="4"/>
                <w:szCs w:val="4"/>
              </w:rPr>
            </w:r>
          </w:p>
        </w:tc>
        <w:tc>
          <w:tcPr>
            <w:tcW w:w="1814" w:type="dxa"/>
            <w:gridSpan w:val="4"/>
            <w:tcBorders/>
            <w:shd w:fill="E8F4FF" w:val="clear"/>
            <w:vAlign w:val="center"/>
          </w:tcPr>
          <w:p>
            <w:pPr>
              <w:pStyle w:val="TableContents"/>
              <w:bidi w:val="0"/>
              <w:spacing w:before="0" w:after="283"/>
              <w:jc w:val="left"/>
              <w:rPr>
                <w:sz w:val="4"/>
                <w:szCs w:val="4"/>
              </w:rPr>
            </w:pPr>
            <w:r>
              <w:rPr>
                <w:sz w:val="4"/>
                <w:szCs w:val="4"/>
              </w:rPr>
            </w:r>
          </w:p>
        </w:tc>
        <w:tc>
          <w:tcPr>
            <w:tcW w:w="1915" w:type="dxa"/>
            <w:gridSpan w:val="4"/>
            <w:tcBorders/>
            <w:shd w:fill="E8F4FF" w:val="clear"/>
            <w:vAlign w:val="center"/>
          </w:tcPr>
          <w:p>
            <w:pPr>
              <w:pStyle w:val="TableContents"/>
              <w:bidi w:val="0"/>
              <w:spacing w:before="0" w:after="283"/>
              <w:jc w:val="left"/>
              <w:rPr>
                <w:sz w:val="4"/>
                <w:szCs w:val="4"/>
              </w:rPr>
            </w:pPr>
            <w:r>
              <w:rPr>
                <w:sz w:val="4"/>
                <w:szCs w:val="4"/>
              </w:rPr>
            </w:r>
          </w:p>
        </w:tc>
        <w:tc>
          <w:tcPr>
            <w:tcW w:w="1871" w:type="dxa"/>
            <w:gridSpan w:val="4"/>
            <w:tcBorders/>
            <w:shd w:fill="E8F4FF" w:val="clear"/>
            <w:vAlign w:val="center"/>
          </w:tcPr>
          <w:p>
            <w:pPr>
              <w:pStyle w:val="TableContents"/>
              <w:bidi w:val="0"/>
              <w:spacing w:before="0" w:after="283"/>
              <w:jc w:val="left"/>
              <w:rPr>
                <w:sz w:val="4"/>
                <w:szCs w:val="4"/>
              </w:rPr>
            </w:pPr>
            <w:r>
              <w:rPr>
                <w:sz w:val="4"/>
                <w:szCs w:val="4"/>
              </w:rPr>
            </w:r>
          </w:p>
        </w:tc>
        <w:tc>
          <w:tcPr>
            <w:tcW w:w="1520" w:type="dxa"/>
            <w:gridSpan w:val="4"/>
            <w:tcBorders/>
            <w:shd w:fill="E8F4FF" w:val="clear"/>
            <w:vAlign w:val="center"/>
          </w:tcPr>
          <w:p>
            <w:pPr>
              <w:pStyle w:val="TableContents"/>
              <w:bidi w:val="0"/>
              <w:spacing w:before="0" w:after="283"/>
              <w:jc w:val="left"/>
              <w:rPr>
                <w:sz w:val="4"/>
                <w:szCs w:val="4"/>
              </w:rPr>
            </w:pPr>
            <w:r>
              <w:rPr>
                <w:sz w:val="4"/>
                <w:szCs w:val="4"/>
              </w:rPr>
            </w:r>
          </w:p>
        </w:tc>
        <w:tc>
          <w:tcPr>
            <w:tcW w:w="207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875"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Cosmin Pitigoi</w:t>
            </w:r>
          </w:p>
        </w:tc>
        <w:tc>
          <w:tcPr>
            <w:tcW w:w="120" w:type="dxa"/>
            <w:tcBorders/>
            <w:shd w:fill="E8F4FF" w:val="clear"/>
            <w:vAlign w:val="center"/>
          </w:tcPr>
          <w:p>
            <w:pPr>
              <w:pStyle w:val="TableContents"/>
              <w:bidi w:val="0"/>
              <w:spacing w:before="0" w:after="283"/>
              <w:jc w:val="left"/>
              <w:rPr/>
            </w:pPr>
            <w:r>
              <w:rPr/>
              <w:t>  </w:t>
            </w:r>
          </w:p>
        </w:tc>
        <w:tc>
          <w:tcPr>
            <w:tcW w:w="177" w:type="dxa"/>
            <w:tcBorders/>
            <w:shd w:fill="E8F4FF" w:val="clear"/>
            <w:vAlign w:val="center"/>
          </w:tcPr>
          <w:p>
            <w:pPr>
              <w:pStyle w:val="TableContents"/>
              <w:bidi w:val="0"/>
              <w:spacing w:before="0" w:after="283"/>
              <w:jc w:val="left"/>
              <w:rPr/>
            </w:pPr>
            <w:r>
              <w:rPr/>
              <w:t> </w:t>
            </w:r>
          </w:p>
        </w:tc>
        <w:tc>
          <w:tcPr>
            <w:tcW w:w="1478" w:type="dxa"/>
            <w:tcBorders/>
            <w:shd w:fill="E8F4FF" w:val="clear"/>
            <w:vAlign w:val="center"/>
          </w:tcPr>
          <w:p>
            <w:pPr>
              <w:pStyle w:val="TableContents"/>
              <w:bidi w:val="0"/>
              <w:spacing w:before="0" w:after="283"/>
              <w:jc w:val="right"/>
              <w:rPr/>
            </w:pPr>
            <w:r>
              <w:rPr/>
              <w:t>N/A</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pPr>
            <w:r>
              <w:rPr/>
              <w:t> </w:t>
            </w:r>
          </w:p>
        </w:tc>
        <w:tc>
          <w:tcPr>
            <w:tcW w:w="1474" w:type="dxa"/>
            <w:tcBorders/>
            <w:shd w:fill="E8F4FF" w:val="clear"/>
            <w:vAlign w:val="center"/>
          </w:tcPr>
          <w:p>
            <w:pPr>
              <w:pStyle w:val="TableContents"/>
              <w:bidi w:val="0"/>
              <w:spacing w:before="0" w:after="283"/>
              <w:jc w:val="right"/>
              <w:rPr/>
            </w:pPr>
            <w:r>
              <w:rPr/>
              <w:t>150,000</w:t>
            </w:r>
          </w:p>
        </w:tc>
        <w:tc>
          <w:tcPr>
            <w:tcW w:w="110" w:type="dxa"/>
            <w:tcBorders/>
            <w:shd w:fill="E8F4FF" w:val="clear"/>
            <w:vAlign w:val="center"/>
          </w:tcPr>
          <w:p>
            <w:pPr>
              <w:pStyle w:val="TableContents"/>
              <w:bidi w:val="0"/>
              <w:spacing w:before="0" w:after="283"/>
              <w:jc w:val="left"/>
              <w:rPr/>
            </w:pPr>
            <w:r>
              <w:rPr/>
              <w:t> </w:t>
            </w:r>
          </w:p>
        </w:tc>
        <w:tc>
          <w:tcPr>
            <w:tcW w:w="221"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pPr>
            <w:r>
              <w:rPr/>
              <w:t> </w:t>
            </w:r>
          </w:p>
        </w:tc>
        <w:tc>
          <w:tcPr>
            <w:tcW w:w="1474" w:type="dxa"/>
            <w:tcBorders/>
            <w:shd w:fill="E8F4FF" w:val="clear"/>
            <w:vAlign w:val="center"/>
          </w:tcPr>
          <w:p>
            <w:pPr>
              <w:pStyle w:val="TableContents"/>
              <w:bidi w:val="0"/>
              <w:spacing w:before="0" w:after="283"/>
              <w:jc w:val="right"/>
              <w:rPr/>
            </w:pPr>
            <w:r>
              <w:rPr/>
              <w:t>300,000</w:t>
            </w:r>
          </w:p>
        </w:tc>
        <w:tc>
          <w:tcPr>
            <w:tcW w:w="110" w:type="dxa"/>
            <w:tcBorders/>
            <w:shd w:fill="E8F4FF" w:val="clear"/>
            <w:vAlign w:val="center"/>
          </w:tcPr>
          <w:p>
            <w:pPr>
              <w:pStyle w:val="TableContents"/>
              <w:bidi w:val="0"/>
              <w:spacing w:before="0" w:after="283"/>
              <w:jc w:val="left"/>
              <w:rPr/>
            </w:pPr>
            <w:r>
              <w:rPr/>
              <w:t> </w:t>
            </w:r>
          </w:p>
        </w:tc>
        <w:tc>
          <w:tcPr>
            <w:tcW w:w="221"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pPr>
            <w:r>
              <w:rPr/>
              <w:t> </w:t>
            </w:r>
          </w:p>
        </w:tc>
        <w:tc>
          <w:tcPr>
            <w:tcW w:w="1480" w:type="dxa"/>
            <w:tcBorders/>
            <w:shd w:fill="E8F4FF" w:val="clear"/>
            <w:vAlign w:val="center"/>
          </w:tcPr>
          <w:p>
            <w:pPr>
              <w:pStyle w:val="TableContents"/>
              <w:bidi w:val="0"/>
              <w:spacing w:before="0" w:after="283"/>
              <w:jc w:val="right"/>
              <w:rPr/>
            </w:pPr>
            <w:r>
              <w:rPr/>
              <w:t>450,000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8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820" w:type="dxa"/>
            <w:tcBorders/>
            <w:shd w:fill="E8F4FF" w:val="clear"/>
            <w:vAlign w:val="center"/>
          </w:tcPr>
          <w:p>
            <w:pPr>
              <w:pStyle w:val="TableContents"/>
              <w:bidi w:val="0"/>
              <w:spacing w:before="0" w:after="283"/>
              <w:jc w:val="left"/>
              <w:rPr>
                <w:sz w:val="4"/>
                <w:szCs w:val="4"/>
              </w:rPr>
            </w:pPr>
            <w:r>
              <w:rPr>
                <w:sz w:val="4"/>
                <w:szCs w:val="4"/>
              </w:rPr>
            </w:r>
          </w:p>
        </w:tc>
        <w:tc>
          <w:tcPr>
            <w:tcW w:w="75" w:type="dxa"/>
            <w:tcBorders/>
            <w:shd w:fill="E8F4FF" w:val="clear"/>
            <w:vAlign w:val="center"/>
          </w:tcPr>
          <w:p>
            <w:pPr>
              <w:pStyle w:val="TableContents"/>
              <w:bidi w:val="0"/>
              <w:spacing w:before="0" w:after="283"/>
              <w:jc w:val="left"/>
              <w:rPr>
                <w:sz w:val="4"/>
                <w:szCs w:val="4"/>
              </w:rPr>
            </w:pPr>
            <w:r>
              <w:rPr>
                <w:sz w:val="4"/>
                <w:szCs w:val="4"/>
              </w:rPr>
            </w:r>
          </w:p>
        </w:tc>
      </w:tr>
      <w:tr>
        <w:trPr/>
        <w:tc>
          <w:tcPr>
            <w:tcW w:w="875" w:type="dxa"/>
            <w:tcBorders/>
            <w:shd w:fill="E8F4FF" w:val="clear"/>
            <w:vAlign w:val="center"/>
          </w:tcPr>
          <w:p>
            <w:pPr>
              <w:pStyle w:val="TableContents"/>
              <w:bidi w:val="0"/>
              <w:spacing w:before="0" w:after="283"/>
              <w:jc w:val="left"/>
              <w:rPr>
                <w:sz w:val="4"/>
                <w:szCs w:val="4"/>
              </w:rPr>
            </w:pPr>
            <w:r>
              <w:rPr>
                <w:sz w:val="4"/>
                <w:szCs w:val="4"/>
              </w:rPr>
            </w:r>
          </w:p>
        </w:tc>
        <w:tc>
          <w:tcPr>
            <w:tcW w:w="1835" w:type="dxa"/>
            <w:gridSpan w:val="4"/>
            <w:tcBorders/>
            <w:shd w:fill="E8F4FF" w:val="clear"/>
            <w:vAlign w:val="center"/>
          </w:tcPr>
          <w:p>
            <w:pPr>
              <w:pStyle w:val="TableContents"/>
              <w:bidi w:val="0"/>
              <w:spacing w:before="0" w:after="283"/>
              <w:jc w:val="left"/>
              <w:rPr>
                <w:sz w:val="4"/>
                <w:szCs w:val="4"/>
              </w:rPr>
            </w:pPr>
            <w:r>
              <w:rPr>
                <w:sz w:val="4"/>
                <w:szCs w:val="4"/>
              </w:rPr>
            </w:r>
          </w:p>
        </w:tc>
        <w:tc>
          <w:tcPr>
            <w:tcW w:w="1814" w:type="dxa"/>
            <w:gridSpan w:val="4"/>
            <w:tcBorders/>
            <w:shd w:fill="E8F4FF" w:val="clear"/>
            <w:vAlign w:val="center"/>
          </w:tcPr>
          <w:p>
            <w:pPr>
              <w:pStyle w:val="TableContents"/>
              <w:bidi w:val="0"/>
              <w:spacing w:before="0" w:after="283"/>
              <w:jc w:val="left"/>
              <w:rPr>
                <w:sz w:val="4"/>
                <w:szCs w:val="4"/>
              </w:rPr>
            </w:pPr>
            <w:r>
              <w:rPr>
                <w:sz w:val="4"/>
                <w:szCs w:val="4"/>
              </w:rPr>
            </w:r>
          </w:p>
        </w:tc>
        <w:tc>
          <w:tcPr>
            <w:tcW w:w="1915" w:type="dxa"/>
            <w:gridSpan w:val="4"/>
            <w:tcBorders/>
            <w:shd w:fill="E8F4FF" w:val="clear"/>
            <w:vAlign w:val="center"/>
          </w:tcPr>
          <w:p>
            <w:pPr>
              <w:pStyle w:val="TableContents"/>
              <w:bidi w:val="0"/>
              <w:spacing w:before="0" w:after="283"/>
              <w:jc w:val="left"/>
              <w:rPr>
                <w:sz w:val="4"/>
                <w:szCs w:val="4"/>
              </w:rPr>
            </w:pPr>
            <w:r>
              <w:rPr>
                <w:sz w:val="4"/>
                <w:szCs w:val="4"/>
              </w:rPr>
            </w:r>
          </w:p>
        </w:tc>
        <w:tc>
          <w:tcPr>
            <w:tcW w:w="1871" w:type="dxa"/>
            <w:gridSpan w:val="4"/>
            <w:tcBorders/>
            <w:shd w:fill="E8F4FF" w:val="clear"/>
            <w:vAlign w:val="center"/>
          </w:tcPr>
          <w:p>
            <w:pPr>
              <w:pStyle w:val="TableContents"/>
              <w:bidi w:val="0"/>
              <w:spacing w:before="0" w:after="283"/>
              <w:jc w:val="left"/>
              <w:rPr>
                <w:sz w:val="4"/>
                <w:szCs w:val="4"/>
              </w:rPr>
            </w:pPr>
            <w:r>
              <w:rPr>
                <w:sz w:val="4"/>
                <w:szCs w:val="4"/>
              </w:rPr>
            </w:r>
          </w:p>
        </w:tc>
        <w:tc>
          <w:tcPr>
            <w:tcW w:w="1520" w:type="dxa"/>
            <w:gridSpan w:val="4"/>
            <w:tcBorders/>
            <w:shd w:fill="E8F4FF" w:val="clear"/>
            <w:vAlign w:val="center"/>
          </w:tcPr>
          <w:p>
            <w:pPr>
              <w:pStyle w:val="TableContents"/>
              <w:bidi w:val="0"/>
              <w:spacing w:before="0" w:after="283"/>
              <w:jc w:val="left"/>
              <w:rPr>
                <w:sz w:val="4"/>
                <w:szCs w:val="4"/>
              </w:rPr>
            </w:pPr>
            <w:r>
              <w:rPr>
                <w:sz w:val="4"/>
                <w:szCs w:val="4"/>
              </w:rPr>
            </w:r>
          </w:p>
        </w:tc>
        <w:tc>
          <w:tcPr>
            <w:tcW w:w="207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875"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177" w:type="dxa"/>
            <w:tcBorders/>
            <w:shd w:fill="E8F4FF" w:val="clear"/>
            <w:vAlign w:val="center"/>
          </w:tcPr>
          <w:p>
            <w:pPr>
              <w:pStyle w:val="TableContents"/>
              <w:bidi w:val="0"/>
              <w:spacing w:before="0" w:after="283"/>
              <w:jc w:val="left"/>
              <w:rPr/>
            </w:pPr>
            <w:r>
              <w:rPr/>
              <w:t> </w:t>
            </w:r>
          </w:p>
        </w:tc>
        <w:tc>
          <w:tcPr>
            <w:tcW w:w="1478" w:type="dxa"/>
            <w:tcBorders/>
            <w:shd w:fill="E8F4FF" w:val="clear"/>
            <w:vAlign w:val="center"/>
          </w:tcPr>
          <w:p>
            <w:pPr>
              <w:pStyle w:val="TableContents"/>
              <w:bidi w:val="0"/>
              <w:spacing w:before="0" w:after="283"/>
              <w:jc w:val="right"/>
              <w:rPr/>
            </w:pPr>
            <w:r>
              <w:rPr/>
              <w:t>3/4/2024</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sz w:val="4"/>
                <w:szCs w:val="4"/>
              </w:rPr>
            </w:pPr>
            <w:r>
              <w:rPr>
                <w:sz w:val="4"/>
                <w:szCs w:val="4"/>
              </w:rPr>
            </w:r>
          </w:p>
        </w:tc>
        <w:tc>
          <w:tcPr>
            <w:tcW w:w="1474" w:type="dxa"/>
            <w:tcBorders/>
            <w:shd w:fill="E8F4FF" w:val="clear"/>
            <w:vAlign w:val="center"/>
          </w:tcPr>
          <w:p>
            <w:pPr>
              <w:pStyle w:val="TableContents"/>
              <w:bidi w:val="0"/>
              <w:spacing w:before="0" w:after="283"/>
              <w:jc w:val="left"/>
              <w:rPr>
                <w:sz w:val="4"/>
                <w:szCs w:val="4"/>
              </w:rPr>
            </w:pPr>
            <w:r>
              <w:rPr>
                <w:sz w:val="4"/>
                <w:szCs w:val="4"/>
              </w:rPr>
            </w:r>
          </w:p>
        </w:tc>
        <w:tc>
          <w:tcPr>
            <w:tcW w:w="110" w:type="dxa"/>
            <w:tcBorders/>
            <w:shd w:fill="E8F4FF" w:val="clear"/>
            <w:vAlign w:val="center"/>
          </w:tcPr>
          <w:p>
            <w:pPr>
              <w:pStyle w:val="TableContents"/>
              <w:bidi w:val="0"/>
              <w:spacing w:before="0" w:after="283"/>
              <w:jc w:val="left"/>
              <w:rPr>
                <w:sz w:val="4"/>
                <w:szCs w:val="4"/>
              </w:rPr>
            </w:pPr>
            <w:r>
              <w:rPr>
                <w:sz w:val="4"/>
                <w:szCs w:val="4"/>
              </w:rPr>
            </w:r>
          </w:p>
        </w:tc>
        <w:tc>
          <w:tcPr>
            <w:tcW w:w="221"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sz w:val="4"/>
                <w:szCs w:val="4"/>
              </w:rPr>
            </w:pPr>
            <w:r>
              <w:rPr>
                <w:sz w:val="4"/>
                <w:szCs w:val="4"/>
              </w:rPr>
            </w:r>
          </w:p>
        </w:tc>
        <w:tc>
          <w:tcPr>
            <w:tcW w:w="1474" w:type="dxa"/>
            <w:tcBorders/>
            <w:shd w:fill="E8F4FF" w:val="clear"/>
            <w:vAlign w:val="center"/>
          </w:tcPr>
          <w:p>
            <w:pPr>
              <w:pStyle w:val="TableContents"/>
              <w:bidi w:val="0"/>
              <w:spacing w:before="0" w:after="283"/>
              <w:jc w:val="left"/>
              <w:rPr>
                <w:sz w:val="4"/>
                <w:szCs w:val="4"/>
              </w:rPr>
            </w:pPr>
            <w:r>
              <w:rPr>
                <w:sz w:val="4"/>
                <w:szCs w:val="4"/>
              </w:rPr>
            </w:r>
          </w:p>
        </w:tc>
        <w:tc>
          <w:tcPr>
            <w:tcW w:w="110" w:type="dxa"/>
            <w:tcBorders/>
            <w:shd w:fill="E8F4FF" w:val="clear"/>
            <w:vAlign w:val="center"/>
          </w:tcPr>
          <w:p>
            <w:pPr>
              <w:pStyle w:val="TableContents"/>
              <w:bidi w:val="0"/>
              <w:spacing w:before="0" w:after="283"/>
              <w:jc w:val="left"/>
              <w:rPr>
                <w:sz w:val="4"/>
                <w:szCs w:val="4"/>
              </w:rPr>
            </w:pPr>
            <w:r>
              <w:rPr>
                <w:sz w:val="4"/>
                <w:szCs w:val="4"/>
              </w:rPr>
            </w:r>
          </w:p>
        </w:tc>
        <w:tc>
          <w:tcPr>
            <w:tcW w:w="221"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sz w:val="4"/>
                <w:szCs w:val="4"/>
              </w:rPr>
            </w:pPr>
            <w:r>
              <w:rPr>
                <w:sz w:val="4"/>
                <w:szCs w:val="4"/>
              </w:rPr>
            </w:r>
          </w:p>
        </w:tc>
        <w:tc>
          <w:tcPr>
            <w:tcW w:w="148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280" w:type="dxa"/>
            <w:tcBorders/>
            <w:shd w:fill="E8F4FF" w:val="clear"/>
            <w:vAlign w:val="center"/>
          </w:tcPr>
          <w:p>
            <w:pPr>
              <w:pStyle w:val="TableContents"/>
              <w:bidi w:val="0"/>
              <w:spacing w:before="0" w:after="283"/>
              <w:jc w:val="right"/>
              <w:rPr/>
            </w:pPr>
            <w:r>
              <w:rPr/>
              <w:t>394,128</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820" w:type="dxa"/>
            <w:tcBorders/>
            <w:shd w:fill="E8F4FF" w:val="clear"/>
            <w:vAlign w:val="center"/>
          </w:tcPr>
          <w:p>
            <w:pPr>
              <w:pStyle w:val="TableContents"/>
              <w:bidi w:val="0"/>
              <w:spacing w:before="0" w:after="283"/>
              <w:jc w:val="right"/>
              <w:rPr/>
            </w:pPr>
            <w:r>
              <w:rPr/>
              <w:t>$10,747,871</w:t>
            </w:r>
          </w:p>
        </w:tc>
        <w:tc>
          <w:tcPr>
            <w:tcW w:w="75" w:type="dxa"/>
            <w:tcBorders/>
            <w:shd w:fill="E8F4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before="0" w:after="283"/>
              <w:jc w:val="left"/>
              <w:rPr>
                <w:sz w:val="4"/>
                <w:szCs w:val="4"/>
              </w:rPr>
            </w:pPr>
            <w:r>
              <w:rPr>
                <w:sz w:val="4"/>
                <w:szCs w:val="4"/>
              </w:rPr>
            </w:r>
          </w:p>
        </w:tc>
        <w:tc>
          <w:tcPr>
            <w:tcW w:w="1915" w:type="dxa"/>
            <w:gridSpan w:val="4"/>
            <w:tcBorders/>
            <w:vAlign w:val="center"/>
          </w:tcPr>
          <w:p>
            <w:pPr>
              <w:pStyle w:val="TableContents"/>
              <w:bidi w:val="0"/>
              <w:spacing w:before="0" w:after="283"/>
              <w:jc w:val="left"/>
              <w:rPr>
                <w:sz w:val="4"/>
                <w:szCs w:val="4"/>
              </w:rPr>
            </w:pPr>
            <w:r>
              <w:rPr>
                <w:sz w:val="4"/>
                <w:szCs w:val="4"/>
              </w:rPr>
            </w:r>
          </w:p>
        </w:tc>
        <w:tc>
          <w:tcPr>
            <w:tcW w:w="1871"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Peter Butterfield</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4" w:type="dxa"/>
            <w:tcBorders/>
            <w:vAlign w:val="center"/>
          </w:tcPr>
          <w:p>
            <w:pPr>
              <w:pStyle w:val="TableContents"/>
              <w:bidi w:val="0"/>
              <w:spacing w:before="0" w:after="283"/>
              <w:jc w:val="right"/>
              <w:rPr/>
            </w:pPr>
            <w:r>
              <w:rPr/>
              <w:t>75,000</w:t>
            </w:r>
          </w:p>
        </w:tc>
        <w:tc>
          <w:tcPr>
            <w:tcW w:w="11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4" w:type="dxa"/>
            <w:tcBorders/>
            <w:vAlign w:val="center"/>
          </w:tcPr>
          <w:p>
            <w:pPr>
              <w:pStyle w:val="TableContents"/>
              <w:bidi w:val="0"/>
              <w:spacing w:before="0" w:after="283"/>
              <w:jc w:val="right"/>
              <w:rPr/>
            </w:pPr>
            <w:r>
              <w:rPr/>
              <w:t>150,000</w:t>
            </w:r>
          </w:p>
        </w:tc>
        <w:tc>
          <w:tcPr>
            <w:tcW w:w="11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80" w:type="dxa"/>
            <w:tcBorders/>
            <w:vAlign w:val="center"/>
          </w:tcPr>
          <w:p>
            <w:pPr>
              <w:pStyle w:val="TableContents"/>
              <w:bidi w:val="0"/>
              <w:spacing w:before="0" w:after="283"/>
              <w:jc w:val="right"/>
              <w:rPr/>
            </w:pPr>
            <w:r>
              <w:rPr/>
              <w:t>225,000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before="0" w:after="283"/>
              <w:jc w:val="left"/>
              <w:rPr>
                <w:sz w:val="4"/>
                <w:szCs w:val="4"/>
              </w:rPr>
            </w:pPr>
            <w:r>
              <w:rPr>
                <w:sz w:val="4"/>
                <w:szCs w:val="4"/>
              </w:rPr>
            </w:r>
          </w:p>
        </w:tc>
        <w:tc>
          <w:tcPr>
            <w:tcW w:w="1915" w:type="dxa"/>
            <w:gridSpan w:val="4"/>
            <w:tcBorders/>
            <w:vAlign w:val="center"/>
          </w:tcPr>
          <w:p>
            <w:pPr>
              <w:pStyle w:val="TableContents"/>
              <w:bidi w:val="0"/>
              <w:spacing w:before="0" w:after="283"/>
              <w:jc w:val="left"/>
              <w:rPr>
                <w:sz w:val="4"/>
                <w:szCs w:val="4"/>
              </w:rPr>
            </w:pPr>
            <w:r>
              <w:rPr>
                <w:sz w:val="4"/>
                <w:szCs w:val="4"/>
              </w:rPr>
            </w:r>
          </w:p>
        </w:tc>
        <w:tc>
          <w:tcPr>
            <w:tcW w:w="1871"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3/2/2024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76,695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pPr>
            <w:r>
              <w:rPr/>
              <w:t>$2,091,473</w:t>
            </w:r>
          </w:p>
        </w:tc>
        <w:tc>
          <w:tcPr>
            <w:tcW w:w="75" w:type="dxa"/>
            <w:tcBorders/>
            <w:vAlign w:val="center"/>
          </w:tcPr>
          <w:p>
            <w:pPr>
              <w:pStyle w:val="TableContents"/>
              <w:bidi w:val="0"/>
              <w:spacing w:before="0" w:after="283"/>
              <w:jc w:val="left"/>
              <w:rPr/>
            </w:pPr>
            <w:r>
              <w:rPr/>
              <w:t> </w:t>
            </w:r>
          </w:p>
        </w:tc>
      </w:tr>
      <w:tr>
        <w:trPr/>
        <w:tc>
          <w:tcPr>
            <w:tcW w:w="875" w:type="dxa"/>
            <w:tcBorders/>
            <w:shd w:fill="E8F4FF" w:val="clear"/>
            <w:vAlign w:val="center"/>
          </w:tcPr>
          <w:p>
            <w:pPr>
              <w:pStyle w:val="TableContents"/>
              <w:bidi w:val="0"/>
              <w:spacing w:before="0" w:after="283"/>
              <w:jc w:val="left"/>
              <w:rPr>
                <w:sz w:val="4"/>
                <w:szCs w:val="4"/>
              </w:rPr>
            </w:pPr>
            <w:r>
              <w:rPr>
                <w:sz w:val="4"/>
                <w:szCs w:val="4"/>
              </w:rPr>
            </w:r>
          </w:p>
        </w:tc>
        <w:tc>
          <w:tcPr>
            <w:tcW w:w="1835" w:type="dxa"/>
            <w:gridSpan w:val="4"/>
            <w:tcBorders/>
            <w:shd w:fill="E8F4FF" w:val="clear"/>
            <w:vAlign w:val="center"/>
          </w:tcPr>
          <w:p>
            <w:pPr>
              <w:pStyle w:val="TableContents"/>
              <w:bidi w:val="0"/>
              <w:spacing w:before="0" w:after="283"/>
              <w:jc w:val="left"/>
              <w:rPr>
                <w:sz w:val="4"/>
                <w:szCs w:val="4"/>
              </w:rPr>
            </w:pPr>
            <w:r>
              <w:rPr>
                <w:sz w:val="4"/>
                <w:szCs w:val="4"/>
              </w:rPr>
            </w:r>
          </w:p>
        </w:tc>
        <w:tc>
          <w:tcPr>
            <w:tcW w:w="1814" w:type="dxa"/>
            <w:gridSpan w:val="4"/>
            <w:tcBorders/>
            <w:shd w:fill="E8F4FF" w:val="clear"/>
            <w:vAlign w:val="center"/>
          </w:tcPr>
          <w:p>
            <w:pPr>
              <w:pStyle w:val="TableContents"/>
              <w:bidi w:val="0"/>
              <w:spacing w:before="0" w:after="283"/>
              <w:jc w:val="left"/>
              <w:rPr>
                <w:sz w:val="4"/>
                <w:szCs w:val="4"/>
              </w:rPr>
            </w:pPr>
            <w:r>
              <w:rPr>
                <w:sz w:val="4"/>
                <w:szCs w:val="4"/>
              </w:rPr>
            </w:r>
          </w:p>
        </w:tc>
        <w:tc>
          <w:tcPr>
            <w:tcW w:w="1915" w:type="dxa"/>
            <w:gridSpan w:val="4"/>
            <w:tcBorders/>
            <w:shd w:fill="E8F4FF" w:val="clear"/>
            <w:vAlign w:val="center"/>
          </w:tcPr>
          <w:p>
            <w:pPr>
              <w:pStyle w:val="TableContents"/>
              <w:bidi w:val="0"/>
              <w:spacing w:before="0" w:after="283"/>
              <w:jc w:val="left"/>
              <w:rPr>
                <w:sz w:val="4"/>
                <w:szCs w:val="4"/>
              </w:rPr>
            </w:pPr>
            <w:r>
              <w:rPr>
                <w:sz w:val="4"/>
                <w:szCs w:val="4"/>
              </w:rPr>
            </w:r>
          </w:p>
        </w:tc>
        <w:tc>
          <w:tcPr>
            <w:tcW w:w="1871" w:type="dxa"/>
            <w:gridSpan w:val="4"/>
            <w:tcBorders/>
            <w:shd w:fill="E8F4FF" w:val="clear"/>
            <w:vAlign w:val="center"/>
          </w:tcPr>
          <w:p>
            <w:pPr>
              <w:pStyle w:val="TableContents"/>
              <w:bidi w:val="0"/>
              <w:spacing w:before="0" w:after="283"/>
              <w:jc w:val="left"/>
              <w:rPr>
                <w:sz w:val="4"/>
                <w:szCs w:val="4"/>
              </w:rPr>
            </w:pPr>
            <w:r>
              <w:rPr>
                <w:sz w:val="4"/>
                <w:szCs w:val="4"/>
              </w:rPr>
            </w:r>
          </w:p>
        </w:tc>
        <w:tc>
          <w:tcPr>
            <w:tcW w:w="1520" w:type="dxa"/>
            <w:gridSpan w:val="4"/>
            <w:tcBorders/>
            <w:shd w:fill="E8F4FF" w:val="clear"/>
            <w:vAlign w:val="center"/>
          </w:tcPr>
          <w:p>
            <w:pPr>
              <w:pStyle w:val="TableContents"/>
              <w:bidi w:val="0"/>
              <w:spacing w:before="0" w:after="283"/>
              <w:jc w:val="left"/>
              <w:rPr>
                <w:sz w:val="4"/>
                <w:szCs w:val="4"/>
              </w:rPr>
            </w:pPr>
            <w:r>
              <w:rPr>
                <w:sz w:val="4"/>
                <w:szCs w:val="4"/>
              </w:rPr>
            </w:r>
          </w:p>
        </w:tc>
        <w:tc>
          <w:tcPr>
            <w:tcW w:w="207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875"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David King</w:t>
            </w:r>
          </w:p>
        </w:tc>
        <w:tc>
          <w:tcPr>
            <w:tcW w:w="120" w:type="dxa"/>
            <w:tcBorders/>
            <w:shd w:fill="E8F4FF" w:val="clear"/>
            <w:vAlign w:val="center"/>
          </w:tcPr>
          <w:p>
            <w:pPr>
              <w:pStyle w:val="TableContents"/>
              <w:bidi w:val="0"/>
              <w:spacing w:before="0" w:after="283"/>
              <w:jc w:val="left"/>
              <w:rPr/>
            </w:pPr>
            <w:r>
              <w:rPr/>
              <w:t>  </w:t>
            </w:r>
          </w:p>
        </w:tc>
        <w:tc>
          <w:tcPr>
            <w:tcW w:w="177" w:type="dxa"/>
            <w:tcBorders/>
            <w:shd w:fill="E8F4FF" w:val="clear"/>
            <w:vAlign w:val="center"/>
          </w:tcPr>
          <w:p>
            <w:pPr>
              <w:pStyle w:val="TableContents"/>
              <w:bidi w:val="0"/>
              <w:spacing w:before="0" w:after="283"/>
              <w:jc w:val="left"/>
              <w:rPr/>
            </w:pPr>
            <w:r>
              <w:rPr/>
              <w:t> </w:t>
            </w:r>
          </w:p>
        </w:tc>
        <w:tc>
          <w:tcPr>
            <w:tcW w:w="1478" w:type="dxa"/>
            <w:tcBorders/>
            <w:shd w:fill="E8F4FF" w:val="clear"/>
            <w:vAlign w:val="center"/>
          </w:tcPr>
          <w:p>
            <w:pPr>
              <w:pStyle w:val="TableContents"/>
              <w:bidi w:val="0"/>
              <w:spacing w:before="0" w:after="283"/>
              <w:jc w:val="right"/>
              <w:rPr/>
            </w:pPr>
            <w:r>
              <w:rPr/>
              <w:t>N/A</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pPr>
            <w:r>
              <w:rPr/>
              <w:t> </w:t>
            </w:r>
          </w:p>
        </w:tc>
        <w:tc>
          <w:tcPr>
            <w:tcW w:w="1474" w:type="dxa"/>
            <w:tcBorders/>
            <w:shd w:fill="E8F4FF" w:val="clear"/>
            <w:vAlign w:val="center"/>
          </w:tcPr>
          <w:p>
            <w:pPr>
              <w:pStyle w:val="TableContents"/>
              <w:bidi w:val="0"/>
              <w:spacing w:before="0" w:after="283"/>
              <w:jc w:val="right"/>
              <w:rPr/>
            </w:pPr>
            <w:r>
              <w:rPr/>
              <w:t>75,000</w:t>
            </w:r>
          </w:p>
        </w:tc>
        <w:tc>
          <w:tcPr>
            <w:tcW w:w="110" w:type="dxa"/>
            <w:tcBorders/>
            <w:shd w:fill="E8F4FF" w:val="clear"/>
            <w:vAlign w:val="center"/>
          </w:tcPr>
          <w:p>
            <w:pPr>
              <w:pStyle w:val="TableContents"/>
              <w:bidi w:val="0"/>
              <w:spacing w:before="0" w:after="283"/>
              <w:jc w:val="left"/>
              <w:rPr/>
            </w:pPr>
            <w:r>
              <w:rPr/>
              <w:t> </w:t>
            </w:r>
          </w:p>
        </w:tc>
        <w:tc>
          <w:tcPr>
            <w:tcW w:w="221"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pPr>
            <w:r>
              <w:rPr/>
              <w:t> </w:t>
            </w:r>
          </w:p>
        </w:tc>
        <w:tc>
          <w:tcPr>
            <w:tcW w:w="1474" w:type="dxa"/>
            <w:tcBorders/>
            <w:shd w:fill="E8F4FF" w:val="clear"/>
            <w:vAlign w:val="center"/>
          </w:tcPr>
          <w:p>
            <w:pPr>
              <w:pStyle w:val="TableContents"/>
              <w:bidi w:val="0"/>
              <w:spacing w:before="0" w:after="283"/>
              <w:jc w:val="right"/>
              <w:rPr/>
            </w:pPr>
            <w:r>
              <w:rPr/>
              <w:t>150,000</w:t>
            </w:r>
          </w:p>
        </w:tc>
        <w:tc>
          <w:tcPr>
            <w:tcW w:w="110" w:type="dxa"/>
            <w:tcBorders/>
            <w:shd w:fill="E8F4FF" w:val="clear"/>
            <w:vAlign w:val="center"/>
          </w:tcPr>
          <w:p>
            <w:pPr>
              <w:pStyle w:val="TableContents"/>
              <w:bidi w:val="0"/>
              <w:spacing w:before="0" w:after="283"/>
              <w:jc w:val="left"/>
              <w:rPr/>
            </w:pPr>
            <w:r>
              <w:rPr/>
              <w:t> </w:t>
            </w:r>
          </w:p>
        </w:tc>
        <w:tc>
          <w:tcPr>
            <w:tcW w:w="221"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pPr>
            <w:r>
              <w:rPr/>
              <w:t> </w:t>
            </w:r>
          </w:p>
        </w:tc>
        <w:tc>
          <w:tcPr>
            <w:tcW w:w="1480" w:type="dxa"/>
            <w:tcBorders/>
            <w:shd w:fill="E8F4FF" w:val="clear"/>
            <w:vAlign w:val="center"/>
          </w:tcPr>
          <w:p>
            <w:pPr>
              <w:pStyle w:val="TableContents"/>
              <w:bidi w:val="0"/>
              <w:spacing w:before="0" w:after="283"/>
              <w:jc w:val="right"/>
              <w:rPr/>
            </w:pPr>
            <w:r>
              <w:rPr/>
              <w:t>225,000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8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820" w:type="dxa"/>
            <w:tcBorders/>
            <w:shd w:fill="E8F4FF" w:val="clear"/>
            <w:vAlign w:val="center"/>
          </w:tcPr>
          <w:p>
            <w:pPr>
              <w:pStyle w:val="TableContents"/>
              <w:bidi w:val="0"/>
              <w:spacing w:before="0" w:after="283"/>
              <w:jc w:val="left"/>
              <w:rPr>
                <w:sz w:val="4"/>
                <w:szCs w:val="4"/>
              </w:rPr>
            </w:pPr>
            <w:r>
              <w:rPr>
                <w:sz w:val="4"/>
                <w:szCs w:val="4"/>
              </w:rPr>
            </w:r>
          </w:p>
        </w:tc>
        <w:tc>
          <w:tcPr>
            <w:tcW w:w="75" w:type="dxa"/>
            <w:tcBorders/>
            <w:shd w:fill="E8F4FF" w:val="clear"/>
            <w:vAlign w:val="center"/>
          </w:tcPr>
          <w:p>
            <w:pPr>
              <w:pStyle w:val="TableContents"/>
              <w:bidi w:val="0"/>
              <w:spacing w:before="0" w:after="283"/>
              <w:jc w:val="left"/>
              <w:rPr>
                <w:sz w:val="4"/>
                <w:szCs w:val="4"/>
              </w:rPr>
            </w:pPr>
            <w:r>
              <w:rPr>
                <w:sz w:val="4"/>
                <w:szCs w:val="4"/>
              </w:rPr>
            </w:r>
          </w:p>
        </w:tc>
      </w:tr>
      <w:tr>
        <w:trPr/>
        <w:tc>
          <w:tcPr>
            <w:tcW w:w="875" w:type="dxa"/>
            <w:tcBorders/>
            <w:shd w:fill="E8F4FF" w:val="clear"/>
            <w:vAlign w:val="center"/>
          </w:tcPr>
          <w:p>
            <w:pPr>
              <w:pStyle w:val="TableContents"/>
              <w:bidi w:val="0"/>
              <w:spacing w:before="0" w:after="283"/>
              <w:jc w:val="left"/>
              <w:rPr>
                <w:sz w:val="4"/>
                <w:szCs w:val="4"/>
              </w:rPr>
            </w:pPr>
            <w:r>
              <w:rPr>
                <w:sz w:val="4"/>
                <w:szCs w:val="4"/>
              </w:rPr>
            </w:r>
          </w:p>
        </w:tc>
        <w:tc>
          <w:tcPr>
            <w:tcW w:w="1835" w:type="dxa"/>
            <w:gridSpan w:val="4"/>
            <w:tcBorders/>
            <w:shd w:fill="E8F4FF" w:val="clear"/>
            <w:vAlign w:val="center"/>
          </w:tcPr>
          <w:p>
            <w:pPr>
              <w:pStyle w:val="TableContents"/>
              <w:bidi w:val="0"/>
              <w:spacing w:before="0" w:after="283"/>
              <w:jc w:val="left"/>
              <w:rPr>
                <w:sz w:val="4"/>
                <w:szCs w:val="4"/>
              </w:rPr>
            </w:pPr>
            <w:r>
              <w:rPr>
                <w:sz w:val="4"/>
                <w:szCs w:val="4"/>
              </w:rPr>
            </w:r>
          </w:p>
        </w:tc>
        <w:tc>
          <w:tcPr>
            <w:tcW w:w="1814" w:type="dxa"/>
            <w:gridSpan w:val="4"/>
            <w:tcBorders/>
            <w:shd w:fill="E8F4FF" w:val="clear"/>
            <w:vAlign w:val="center"/>
          </w:tcPr>
          <w:p>
            <w:pPr>
              <w:pStyle w:val="TableContents"/>
              <w:bidi w:val="0"/>
              <w:spacing w:before="0" w:after="283"/>
              <w:jc w:val="left"/>
              <w:rPr>
                <w:sz w:val="4"/>
                <w:szCs w:val="4"/>
              </w:rPr>
            </w:pPr>
            <w:r>
              <w:rPr>
                <w:sz w:val="4"/>
                <w:szCs w:val="4"/>
              </w:rPr>
            </w:r>
          </w:p>
        </w:tc>
        <w:tc>
          <w:tcPr>
            <w:tcW w:w="1915" w:type="dxa"/>
            <w:gridSpan w:val="4"/>
            <w:tcBorders/>
            <w:shd w:fill="E8F4FF" w:val="clear"/>
            <w:vAlign w:val="center"/>
          </w:tcPr>
          <w:p>
            <w:pPr>
              <w:pStyle w:val="TableContents"/>
              <w:bidi w:val="0"/>
              <w:spacing w:before="0" w:after="283"/>
              <w:jc w:val="left"/>
              <w:rPr>
                <w:sz w:val="4"/>
                <w:szCs w:val="4"/>
              </w:rPr>
            </w:pPr>
            <w:r>
              <w:rPr>
                <w:sz w:val="4"/>
                <w:szCs w:val="4"/>
              </w:rPr>
            </w:r>
          </w:p>
        </w:tc>
        <w:tc>
          <w:tcPr>
            <w:tcW w:w="1871" w:type="dxa"/>
            <w:gridSpan w:val="4"/>
            <w:tcBorders/>
            <w:shd w:fill="E8F4FF" w:val="clear"/>
            <w:vAlign w:val="center"/>
          </w:tcPr>
          <w:p>
            <w:pPr>
              <w:pStyle w:val="TableContents"/>
              <w:bidi w:val="0"/>
              <w:spacing w:before="0" w:after="283"/>
              <w:jc w:val="left"/>
              <w:rPr>
                <w:sz w:val="4"/>
                <w:szCs w:val="4"/>
              </w:rPr>
            </w:pPr>
            <w:r>
              <w:rPr>
                <w:sz w:val="4"/>
                <w:szCs w:val="4"/>
              </w:rPr>
            </w:r>
          </w:p>
        </w:tc>
        <w:tc>
          <w:tcPr>
            <w:tcW w:w="1520" w:type="dxa"/>
            <w:gridSpan w:val="4"/>
            <w:tcBorders/>
            <w:shd w:fill="E8F4FF" w:val="clear"/>
            <w:vAlign w:val="center"/>
          </w:tcPr>
          <w:p>
            <w:pPr>
              <w:pStyle w:val="TableContents"/>
              <w:bidi w:val="0"/>
              <w:spacing w:before="0" w:after="283"/>
              <w:jc w:val="left"/>
              <w:rPr>
                <w:sz w:val="4"/>
                <w:szCs w:val="4"/>
              </w:rPr>
            </w:pPr>
            <w:r>
              <w:rPr>
                <w:sz w:val="4"/>
                <w:szCs w:val="4"/>
              </w:rPr>
            </w:r>
          </w:p>
        </w:tc>
        <w:tc>
          <w:tcPr>
            <w:tcW w:w="207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875"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77"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1478" w:type="dxa"/>
            <w:tcBorders>
              <w:bottom w:val="single" w:sz="6" w:space="0" w:color="2393FF"/>
            </w:tcBorders>
            <w:shd w:fill="E8F4FF" w:val="clear"/>
            <w:tcMar>
              <w:bottom w:w="120" w:type="dxa"/>
            </w:tcMar>
            <w:vAlign w:val="center"/>
          </w:tcPr>
          <w:p>
            <w:pPr>
              <w:pStyle w:val="TableContents"/>
              <w:bidi w:val="0"/>
              <w:spacing w:before="0" w:after="283"/>
              <w:jc w:val="right"/>
              <w:rPr/>
            </w:pPr>
            <w:r>
              <w:rPr/>
              <w:t>3/2/2024</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1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474"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1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221"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1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474"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1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221"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1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48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1280" w:type="dxa"/>
            <w:tcBorders>
              <w:bottom w:val="single" w:sz="6" w:space="0" w:color="2393FF"/>
            </w:tcBorders>
            <w:shd w:fill="E8F4FF" w:val="clear"/>
            <w:tcMar>
              <w:bottom w:w="120" w:type="dxa"/>
            </w:tcMar>
            <w:vAlign w:val="center"/>
          </w:tcPr>
          <w:p>
            <w:pPr>
              <w:pStyle w:val="TableContents"/>
              <w:bidi w:val="0"/>
              <w:spacing w:before="0" w:after="283"/>
              <w:jc w:val="right"/>
              <w:rPr/>
            </w:pPr>
            <w:r>
              <w:rPr/>
              <w:t>140,608</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1820" w:type="dxa"/>
            <w:tcBorders>
              <w:bottom w:val="single" w:sz="6" w:space="0" w:color="2393FF"/>
            </w:tcBorders>
            <w:shd w:fill="E8F4FF" w:val="clear"/>
            <w:tcMar>
              <w:bottom w:w="120" w:type="dxa"/>
            </w:tcMar>
            <w:vAlign w:val="center"/>
          </w:tcPr>
          <w:p>
            <w:pPr>
              <w:pStyle w:val="TableContents"/>
              <w:bidi w:val="0"/>
              <w:spacing w:before="0" w:after="283"/>
              <w:jc w:val="right"/>
              <w:rPr/>
            </w:pPr>
            <w:r>
              <w:rPr/>
              <w:t>$3,834,380</w:t>
            </w:r>
          </w:p>
        </w:tc>
        <w:tc>
          <w:tcPr>
            <w:tcW w:w="75"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color w:val="333333"/>
              </w:rPr>
            </w:pPr>
            <w:r>
              <w:rPr>
                <w:color w:val="333333"/>
              </w:rPr>
              <w:t>(1)</w:t>
            </w:r>
          </w:p>
        </w:tc>
        <w:tc>
          <w:tcPr>
            <w:tcW w:w="9932"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Amounts shown in these columns represent the range of possible cash payouts for each NEO under the 2024 cash incentive bonus program. Please see the discussion of the 2024 cash incentive bonus program in the Compensation Discussion and Analysis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color w:val="333333"/>
              </w:rPr>
            </w:pPr>
            <w:r>
              <w:rPr>
                <w:color w:val="333333"/>
              </w:rPr>
              <w:t>(2)</w:t>
            </w:r>
          </w:p>
        </w:tc>
        <w:tc>
          <w:tcPr>
            <w:tcW w:w="9961"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This amount reflects the number of shares of common stock underlying time-vesting RSUs granted, which for Messrs. Massaro, Orgel, Butterfield and King vested with respect to 25% of the shares on March 1, 2025, with the remainder of the shares vesting in equal quarterly installments over the following three years, provided the NEO provides continuous service to us through such vesting dates. Mr. Pitigoi’s RSUs vest with respect to 35% of the shares after 12 months of continuous service, with the balance vesting in quarterly installments over the next 12 quarters of continuous service such that 28% of the shares vest in the second year, 22% of the shares vest in the third year and the remaining 15% of the shares vest in the fourth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color w:val="333333"/>
              </w:rPr>
            </w:pPr>
            <w:r>
              <w:rPr>
                <w:color w:val="333333"/>
              </w:rPr>
              <w:t>(3)</w:t>
            </w:r>
          </w:p>
        </w:tc>
        <w:tc>
          <w:tcPr>
            <w:tcW w:w="9926"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Reflects the grant date fair value of the stock award calculated in accordance with FASB ASC Topic 718. For a discussion of valuation assumptions, see Note 13 to our audited financial statements included in our 2024 Annual Report.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  37  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bookmarkStart w:id="42" w:name="toc917810_40"/>
      <w:bookmarkEnd w:id="42"/>
      <w:r>
        <w:rPr>
          <w:rFonts w:ascii="ARIAL" w:hAnsi="ARIAL"/>
          <w:sz w:val="18"/>
        </w:rPr>
        <w:t xml:space="preserve">OUTSTANDING EQUITY AWARDS AT FISCAL 2024 YEAR-END </w:t>
      </w:r>
    </w:p>
    <w:p>
      <w:pPr>
        <w:pStyle w:val="TextBody"/>
        <w:bidi w:val="0"/>
        <w:spacing w:before="200" w:after="0"/>
        <w:jc w:val="left"/>
        <w:rPr>
          <w:rFonts w:ascii="ARIAL" w:hAnsi="ARIAL"/>
          <w:sz w:val="18"/>
        </w:rPr>
      </w:pPr>
      <w:r>
        <w:rPr>
          <w:rFonts w:ascii="ARIAL" w:hAnsi="ARIAL"/>
          <w:sz w:val="18"/>
        </w:rPr>
        <w:t xml:space="preserve">The following table sets forth information regarding outstanding equity awards held by each of our NEOs as of December 31, 2024. </w:t>
      </w:r>
    </w:p>
    <w:p>
      <w:pPr>
        <w:pStyle w:val="TextBody"/>
        <w:bidi w:val="0"/>
        <w:spacing w:before="0" w:after="0"/>
        <w:jc w:val="left"/>
        <w:rPr/>
      </w:pPr>
      <w:r>
        <w:rPr/>
        <w:t> </w:t>
      </w:r>
    </w:p>
    <w:tbl>
      <w:tblPr>
        <w:tblW w:w="9409" w:type="dxa"/>
        <w:jc w:val="left"/>
        <w:tblInd w:w="0" w:type="dxa"/>
        <w:tblLayout w:type="fixed"/>
        <w:tblCellMar>
          <w:top w:w="0" w:type="dxa"/>
          <w:left w:w="0" w:type="dxa"/>
          <w:bottom w:w="0" w:type="dxa"/>
          <w:right w:w="0" w:type="dxa"/>
        </w:tblCellMar>
      </w:tblPr>
      <w:tblGrid>
        <w:gridCol w:w="1340"/>
        <w:gridCol w:w="120"/>
        <w:gridCol w:w="67"/>
        <w:gridCol w:w="898"/>
        <w:gridCol w:w="350"/>
        <w:gridCol w:w="60"/>
        <w:gridCol w:w="91"/>
        <w:gridCol w:w="1039"/>
        <w:gridCol w:w="60"/>
        <w:gridCol w:w="120"/>
        <w:gridCol w:w="83"/>
        <w:gridCol w:w="612"/>
        <w:gridCol w:w="60"/>
        <w:gridCol w:w="120"/>
        <w:gridCol w:w="60"/>
        <w:gridCol w:w="860"/>
        <w:gridCol w:w="60"/>
        <w:gridCol w:w="60"/>
        <w:gridCol w:w="212"/>
        <w:gridCol w:w="212"/>
        <w:gridCol w:w="60"/>
        <w:gridCol w:w="120"/>
        <w:gridCol w:w="78"/>
        <w:gridCol w:w="1052"/>
        <w:gridCol w:w="350"/>
        <w:gridCol w:w="60"/>
        <w:gridCol w:w="65"/>
        <w:gridCol w:w="1065"/>
        <w:gridCol w:w="7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4480" w:type="dxa"/>
            <w:gridSpan w:val="14"/>
            <w:tcBorders>
              <w:bottom w:val="single" w:sz="6" w:space="0" w:color="2393FF"/>
            </w:tcBorders>
            <w:tcMar>
              <w:bottom w:w="60" w:type="dxa"/>
            </w:tcMar>
            <w:vAlign w:val="center"/>
          </w:tcPr>
          <w:p>
            <w:pPr>
              <w:pStyle w:val="TableContents"/>
              <w:bidi w:val="0"/>
              <w:spacing w:before="0" w:after="283"/>
              <w:jc w:val="center"/>
              <w:rPr>
                <w:b/>
              </w:rPr>
            </w:pPr>
            <w:r>
              <w:rPr>
                <w:b/>
              </w:rPr>
              <w:t>OPTION AWARDS</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2670" w:type="dxa"/>
            <w:gridSpan w:val="6"/>
            <w:tcBorders>
              <w:bottom w:val="single" w:sz="6" w:space="0" w:color="2393FF"/>
            </w:tcBorders>
            <w:tcMar>
              <w:bottom w:w="60" w:type="dxa"/>
            </w:tcMar>
            <w:vAlign w:val="center"/>
          </w:tcPr>
          <w:p>
            <w:pPr>
              <w:pStyle w:val="TableContents"/>
              <w:bidi w:val="0"/>
              <w:spacing w:before="0" w:after="283"/>
              <w:jc w:val="center"/>
              <w:rPr>
                <w:b/>
              </w:rPr>
            </w:pPr>
            <w:r>
              <w:rPr>
                <w:b/>
              </w:rPr>
              <w:t>STOCK AWARDS</w:t>
            </w:r>
          </w:p>
        </w:tc>
        <w:tc>
          <w:tcPr>
            <w:tcW w:w="75" w:type="dxa"/>
            <w:tcBorders>
              <w:bottom w:val="single" w:sz="6" w:space="0" w:color="2393FF"/>
            </w:tcBorders>
            <w:tcMar>
              <w:bottom w:w="28" w:type="dxa"/>
            </w:tcM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r>
              <w:rPr>
                <w:b/>
              </w:rPr>
              <w:t>NAME</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rFonts w:ascii="ARIAL" w:hAnsi="ARIAL"/>
                <w:b/>
                <w:sz w:val="14"/>
              </w:rPr>
            </w:pPr>
            <w:r>
              <w:rPr>
                <w:rFonts w:ascii="ARIAL" w:hAnsi="ARIAL"/>
                <w:b/>
                <w:sz w:val="14"/>
              </w:rPr>
              <w:t>NUMBER OF</w:t>
            </w:r>
          </w:p>
          <w:p>
            <w:pPr>
              <w:pStyle w:val="TableContents"/>
              <w:bidi w:val="0"/>
              <w:spacing w:before="0" w:after="0"/>
              <w:jc w:val="center"/>
              <w:rPr>
                <w:rFonts w:ascii="ARIAL" w:hAnsi="ARIAL"/>
                <w:b/>
                <w:sz w:val="14"/>
              </w:rPr>
            </w:pPr>
            <w:r>
              <w:rPr>
                <w:rFonts w:ascii="ARIAL" w:hAnsi="ARIAL"/>
                <w:b/>
                <w:sz w:val="14"/>
              </w:rPr>
              <w:t>SECURITIES</w:t>
            </w:r>
          </w:p>
          <w:p>
            <w:pPr>
              <w:pStyle w:val="TableContents"/>
              <w:bidi w:val="0"/>
              <w:spacing w:before="0" w:after="0"/>
              <w:jc w:val="center"/>
              <w:rPr>
                <w:rFonts w:ascii="ARIAL" w:hAnsi="ARIAL"/>
                <w:b/>
                <w:sz w:val="14"/>
              </w:rPr>
            </w:pPr>
            <w:r>
              <w:rPr>
                <w:rFonts w:ascii="ARIAL" w:hAnsi="ARIAL"/>
                <w:b/>
                <w:sz w:val="14"/>
              </w:rPr>
              <w:t>UNDERLYING</w:t>
            </w:r>
          </w:p>
          <w:p>
            <w:pPr>
              <w:pStyle w:val="TableContents"/>
              <w:bidi w:val="0"/>
              <w:spacing w:before="0" w:after="0"/>
              <w:jc w:val="center"/>
              <w:rPr>
                <w:rFonts w:ascii="ARIAL" w:hAnsi="ARIAL"/>
                <w:b/>
                <w:sz w:val="14"/>
              </w:rPr>
            </w:pPr>
            <w:r>
              <w:rPr>
                <w:rFonts w:ascii="ARIAL" w:hAnsi="ARIAL"/>
                <w:b/>
                <w:sz w:val="14"/>
              </w:rPr>
              <w:t>UNEXERCISED</w:t>
            </w:r>
          </w:p>
          <w:p>
            <w:pPr>
              <w:pStyle w:val="TableContents"/>
              <w:bidi w:val="0"/>
              <w:spacing w:before="0" w:after="0"/>
              <w:jc w:val="center"/>
              <w:rPr>
                <w:rFonts w:ascii="ARIAL" w:hAnsi="ARIAL"/>
                <w:b/>
                <w:sz w:val="14"/>
              </w:rPr>
            </w:pPr>
            <w:r>
              <w:rPr>
                <w:rFonts w:ascii="ARIAL" w:hAnsi="ARIAL"/>
                <w:b/>
                <w:sz w:val="14"/>
              </w:rPr>
              <w:t>OPTIONS</w:t>
            </w:r>
          </w:p>
          <w:p>
            <w:pPr>
              <w:pStyle w:val="TableContents"/>
              <w:bidi w:val="0"/>
              <w:spacing w:before="0" w:after="0"/>
              <w:jc w:val="center"/>
              <w:rPr>
                <w:rFonts w:ascii="ARIAL" w:hAnsi="ARIAL"/>
                <w:b/>
                <w:sz w:val="14"/>
              </w:rPr>
            </w:pPr>
            <w:r>
              <w:rPr>
                <w:rFonts w:ascii="ARIAL" w:hAnsi="ARIAL"/>
                <w:b/>
                <w:sz w:val="14"/>
              </w:rPr>
              <w:t>(#)</w:t>
            </w:r>
          </w:p>
          <w:p>
            <w:pPr>
              <w:pStyle w:val="TableContents"/>
              <w:bidi w:val="0"/>
              <w:spacing w:before="0" w:after="20"/>
              <w:jc w:val="center"/>
              <w:rPr>
                <w:rFonts w:ascii="ARIAL" w:hAnsi="ARIAL"/>
                <w:b/>
                <w:sz w:val="14"/>
              </w:rPr>
            </w:pPr>
            <w:r>
              <w:rPr>
                <w:rFonts w:ascii="ARIAL" w:hAnsi="ARIAL"/>
                <w:b/>
                <w:sz w:val="14"/>
              </w:rPr>
              <w:t>EXERCISABLE</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rFonts w:ascii="ARIAL" w:hAnsi="ARIAL"/>
                <w:b/>
                <w:sz w:val="14"/>
              </w:rPr>
            </w:pPr>
            <w:r>
              <w:rPr>
                <w:rFonts w:ascii="ARIAL" w:hAnsi="ARIAL"/>
                <w:b/>
                <w:sz w:val="14"/>
              </w:rPr>
              <w:t>NUMBER OF</w:t>
            </w:r>
          </w:p>
          <w:p>
            <w:pPr>
              <w:pStyle w:val="TableContents"/>
              <w:bidi w:val="0"/>
              <w:spacing w:before="0" w:after="0"/>
              <w:jc w:val="center"/>
              <w:rPr>
                <w:rFonts w:ascii="ARIAL" w:hAnsi="ARIAL"/>
                <w:b/>
                <w:sz w:val="14"/>
              </w:rPr>
            </w:pPr>
            <w:r>
              <w:rPr>
                <w:rFonts w:ascii="ARIAL" w:hAnsi="ARIAL"/>
                <w:b/>
                <w:sz w:val="14"/>
              </w:rPr>
              <w:t>SECURITIES</w:t>
            </w:r>
          </w:p>
          <w:p>
            <w:pPr>
              <w:pStyle w:val="TableContents"/>
              <w:bidi w:val="0"/>
              <w:spacing w:before="0" w:after="0"/>
              <w:jc w:val="center"/>
              <w:rPr>
                <w:rFonts w:ascii="ARIAL" w:hAnsi="ARIAL"/>
                <w:b/>
                <w:sz w:val="14"/>
              </w:rPr>
            </w:pPr>
            <w:r>
              <w:rPr>
                <w:rFonts w:ascii="ARIAL" w:hAnsi="ARIAL"/>
                <w:b/>
                <w:sz w:val="14"/>
              </w:rPr>
              <w:t>UNDERLYING</w:t>
            </w:r>
          </w:p>
          <w:p>
            <w:pPr>
              <w:pStyle w:val="TableContents"/>
              <w:bidi w:val="0"/>
              <w:spacing w:before="0" w:after="0"/>
              <w:jc w:val="center"/>
              <w:rPr>
                <w:rFonts w:ascii="ARIAL" w:hAnsi="ARIAL"/>
                <w:b/>
                <w:sz w:val="14"/>
              </w:rPr>
            </w:pPr>
            <w:r>
              <w:rPr>
                <w:rFonts w:ascii="ARIAL" w:hAnsi="ARIAL"/>
                <w:b/>
                <w:sz w:val="14"/>
              </w:rPr>
              <w:t>UNEXERCISED</w:t>
            </w:r>
          </w:p>
          <w:p>
            <w:pPr>
              <w:pStyle w:val="TableContents"/>
              <w:bidi w:val="0"/>
              <w:spacing w:before="0" w:after="0"/>
              <w:jc w:val="center"/>
              <w:rPr>
                <w:rFonts w:ascii="ARIAL" w:hAnsi="ARIAL"/>
                <w:b/>
                <w:sz w:val="14"/>
              </w:rPr>
            </w:pPr>
            <w:r>
              <w:rPr>
                <w:rFonts w:ascii="ARIAL" w:hAnsi="ARIAL"/>
                <w:b/>
                <w:sz w:val="14"/>
              </w:rPr>
              <w:t>OPTIONS</w:t>
            </w:r>
          </w:p>
          <w:p>
            <w:pPr>
              <w:pStyle w:val="TableContents"/>
              <w:bidi w:val="0"/>
              <w:spacing w:before="0" w:after="0"/>
              <w:jc w:val="center"/>
              <w:rPr>
                <w:rFonts w:ascii="ARIAL" w:hAnsi="ARIAL"/>
                <w:b/>
                <w:sz w:val="14"/>
              </w:rPr>
            </w:pPr>
            <w:r>
              <w:rPr>
                <w:rFonts w:ascii="ARIAL" w:hAnsi="ARIAL"/>
                <w:b/>
                <w:sz w:val="14"/>
              </w:rPr>
              <w:t>(#)</w:t>
            </w:r>
          </w:p>
          <w:p>
            <w:pPr>
              <w:pStyle w:val="TableContents"/>
              <w:bidi w:val="0"/>
              <w:spacing w:before="0" w:after="20"/>
              <w:jc w:val="center"/>
              <w:rPr>
                <w:rFonts w:ascii="ARIAL" w:hAnsi="ARIAL"/>
                <w:b/>
                <w:sz w:val="14"/>
              </w:rPr>
            </w:pPr>
            <w:r>
              <w:rPr>
                <w:rFonts w:ascii="ARIAL" w:hAnsi="ARIAL"/>
                <w:b/>
                <w:sz w:val="14"/>
              </w:rP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0"/>
              <w:jc w:val="right"/>
              <w:rPr>
                <w:rFonts w:ascii="ARIAL" w:hAnsi="ARIAL"/>
                <w:b/>
                <w:sz w:val="14"/>
              </w:rPr>
            </w:pPr>
            <w:r>
              <w:rPr>
                <w:rFonts w:ascii="ARIAL" w:hAnsi="ARIAL"/>
                <w:b/>
                <w:sz w:val="14"/>
              </w:rPr>
              <w:t>OPTION</w:t>
            </w:r>
          </w:p>
          <w:p>
            <w:pPr>
              <w:pStyle w:val="TableContents"/>
              <w:bidi w:val="0"/>
              <w:spacing w:before="0" w:after="0"/>
              <w:jc w:val="right"/>
              <w:rPr>
                <w:rFonts w:ascii="ARIAL" w:hAnsi="ARIAL"/>
                <w:b/>
                <w:sz w:val="14"/>
              </w:rPr>
            </w:pPr>
            <w:r>
              <w:rPr>
                <w:rFonts w:ascii="ARIAL" w:hAnsi="ARIAL"/>
                <w:b/>
                <w:sz w:val="14"/>
              </w:rPr>
              <w:t>EXERCISE</w:t>
            </w:r>
          </w:p>
          <w:p>
            <w:pPr>
              <w:pStyle w:val="TableContents"/>
              <w:bidi w:val="0"/>
              <w:spacing w:before="0" w:after="0"/>
              <w:jc w:val="right"/>
              <w:rPr>
                <w:rFonts w:ascii="ARIAL" w:hAnsi="ARIAL"/>
                <w:b/>
                <w:sz w:val="14"/>
              </w:rPr>
            </w:pPr>
            <w:r>
              <w:rPr>
                <w:rFonts w:ascii="ARIAL" w:hAnsi="ARIAL"/>
                <w:b/>
                <w:sz w:val="14"/>
              </w:rPr>
              <w:t xml:space="preserve">PRICE </w:t>
            </w:r>
          </w:p>
          <w:p>
            <w:pPr>
              <w:pStyle w:val="TableContents"/>
              <w:bidi w:val="0"/>
              <w:spacing w:before="0" w:after="20"/>
              <w:jc w:val="right"/>
              <w:rPr>
                <w:rFonts w:ascii="ARIAL" w:hAnsi="ARIAL"/>
                <w:b/>
                <w:sz w:val="14"/>
              </w:rPr>
            </w:pPr>
            <w:r>
              <w:rPr>
                <w:rFonts w:ascii="ARIAL" w:hAnsi="ARIAL"/>
                <w:b/>
                <w:sz w:val="14"/>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0"/>
              <w:jc w:val="center"/>
              <w:rPr>
                <w:rFonts w:ascii="ARIAL" w:hAnsi="ARIAL"/>
                <w:b/>
                <w:sz w:val="14"/>
              </w:rPr>
            </w:pPr>
            <w:r>
              <w:rPr>
                <w:rFonts w:ascii="ARIAL" w:hAnsi="ARIAL"/>
                <w:b/>
                <w:sz w:val="14"/>
              </w:rPr>
              <w:t>OPTION</w:t>
            </w:r>
          </w:p>
          <w:p>
            <w:pPr>
              <w:pStyle w:val="TableContents"/>
              <w:bidi w:val="0"/>
              <w:spacing w:before="0" w:after="0"/>
              <w:jc w:val="center"/>
              <w:rPr>
                <w:rFonts w:ascii="ARIAL" w:hAnsi="ARIAL"/>
                <w:b/>
                <w:sz w:val="14"/>
              </w:rPr>
            </w:pPr>
            <w:r>
              <w:rPr>
                <w:rFonts w:ascii="ARIAL" w:hAnsi="ARIAL"/>
                <w:b/>
                <w:sz w:val="14"/>
              </w:rPr>
              <w:t>EXPIRATION</w:t>
            </w:r>
          </w:p>
          <w:p>
            <w:pPr>
              <w:pStyle w:val="TableContents"/>
              <w:bidi w:val="0"/>
              <w:spacing w:before="0" w:after="20"/>
              <w:jc w:val="center"/>
              <w:rPr>
                <w:rFonts w:ascii="ARIAL" w:hAnsi="ARIAL"/>
                <w:b/>
                <w:sz w:val="14"/>
              </w:rPr>
            </w:pPr>
            <w:r>
              <w:rPr>
                <w:rFonts w:ascii="ARIAL" w:hAnsi="ARIAL"/>
                <w:b/>
                <w:sz w:val="14"/>
              </w:rP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rFonts w:ascii="ARIAL" w:hAnsi="ARIAL"/>
                <w:b/>
                <w:sz w:val="14"/>
              </w:rPr>
            </w:pPr>
            <w:r>
              <w:rPr>
                <w:rFonts w:ascii="ARIAL" w:hAnsi="ARIAL"/>
                <w:b/>
                <w:sz w:val="14"/>
              </w:rPr>
              <w:t>NUMBER OF</w:t>
            </w:r>
          </w:p>
          <w:p>
            <w:pPr>
              <w:pStyle w:val="TableContents"/>
              <w:bidi w:val="0"/>
              <w:spacing w:before="0" w:after="0"/>
              <w:jc w:val="center"/>
              <w:rPr>
                <w:rFonts w:ascii="ARIAL" w:hAnsi="ARIAL"/>
                <w:b/>
                <w:sz w:val="14"/>
              </w:rPr>
            </w:pPr>
            <w:r>
              <w:rPr>
                <w:rFonts w:ascii="ARIAL" w:hAnsi="ARIAL"/>
                <w:b/>
                <w:sz w:val="14"/>
              </w:rPr>
              <w:t>SHARES OR</w:t>
            </w:r>
          </w:p>
          <w:p>
            <w:pPr>
              <w:pStyle w:val="TableContents"/>
              <w:bidi w:val="0"/>
              <w:spacing w:before="0" w:after="0"/>
              <w:jc w:val="center"/>
              <w:rPr>
                <w:rFonts w:ascii="ARIAL" w:hAnsi="ARIAL"/>
                <w:b/>
                <w:sz w:val="14"/>
              </w:rPr>
            </w:pPr>
            <w:r>
              <w:rPr>
                <w:rFonts w:ascii="ARIAL" w:hAnsi="ARIAL"/>
                <w:b/>
                <w:sz w:val="14"/>
              </w:rPr>
              <w:t>UNITS OF STOCK</w:t>
            </w:r>
          </w:p>
          <w:p>
            <w:pPr>
              <w:pStyle w:val="TableContents"/>
              <w:bidi w:val="0"/>
              <w:spacing w:before="0" w:after="0"/>
              <w:jc w:val="center"/>
              <w:rPr>
                <w:rFonts w:ascii="ARIAL" w:hAnsi="ARIAL"/>
                <w:b/>
                <w:sz w:val="14"/>
              </w:rPr>
            </w:pPr>
            <w:r>
              <w:rPr>
                <w:rFonts w:ascii="ARIAL" w:hAnsi="ARIAL"/>
                <w:b/>
                <w:sz w:val="14"/>
              </w:rPr>
              <w:t>THAT HAVE NOT</w:t>
            </w:r>
          </w:p>
          <w:p>
            <w:pPr>
              <w:pStyle w:val="TableContents"/>
              <w:bidi w:val="0"/>
              <w:spacing w:before="0" w:after="0"/>
              <w:jc w:val="center"/>
              <w:rPr>
                <w:rFonts w:ascii="ARIAL" w:hAnsi="ARIAL"/>
                <w:b/>
                <w:sz w:val="14"/>
              </w:rPr>
            </w:pPr>
            <w:r>
              <w:rPr>
                <w:rFonts w:ascii="ARIAL" w:hAnsi="ARIAL"/>
                <w:b/>
                <w:sz w:val="14"/>
              </w:rPr>
              <w:t xml:space="preserve">VESTED </w:t>
            </w:r>
          </w:p>
          <w:p>
            <w:pPr>
              <w:pStyle w:val="TableContents"/>
              <w:bidi w:val="0"/>
              <w:spacing w:before="0" w:after="20"/>
              <w:jc w:val="center"/>
              <w:rPr>
                <w:rFonts w:ascii="ARIAL" w:hAnsi="ARIAL"/>
                <w:b/>
                <w:sz w:val="14"/>
              </w:rPr>
            </w:pPr>
            <w:r>
              <w:rPr>
                <w:rFonts w:ascii="ARIAL" w:hAnsi="ARIAL"/>
                <w:b/>
                <w:sz w:val="14"/>
              </w:rP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right"/>
              <w:rPr>
                <w:rFonts w:ascii="ARIAL" w:hAnsi="ARIAL"/>
                <w:b/>
                <w:sz w:val="14"/>
              </w:rPr>
            </w:pPr>
            <w:r>
              <w:rPr>
                <w:rFonts w:ascii="ARIAL" w:hAnsi="ARIAL"/>
                <w:b/>
                <w:sz w:val="14"/>
              </w:rPr>
              <w:t>MARKET VALUE</w:t>
            </w:r>
          </w:p>
          <w:p>
            <w:pPr>
              <w:pStyle w:val="TableContents"/>
              <w:bidi w:val="0"/>
              <w:spacing w:before="0" w:after="0"/>
              <w:jc w:val="right"/>
              <w:rPr>
                <w:rFonts w:ascii="ARIAL" w:hAnsi="ARIAL"/>
                <w:b/>
                <w:sz w:val="14"/>
              </w:rPr>
            </w:pPr>
            <w:r>
              <w:rPr>
                <w:rFonts w:ascii="ARIAL" w:hAnsi="ARIAL"/>
                <w:b/>
                <w:sz w:val="14"/>
              </w:rPr>
              <w:t>OF SHARES OR</w:t>
            </w:r>
          </w:p>
          <w:p>
            <w:pPr>
              <w:pStyle w:val="TableContents"/>
              <w:bidi w:val="0"/>
              <w:spacing w:before="0" w:after="0"/>
              <w:jc w:val="right"/>
              <w:rPr>
                <w:rFonts w:ascii="ARIAL" w:hAnsi="ARIAL"/>
                <w:b/>
                <w:sz w:val="14"/>
              </w:rPr>
            </w:pPr>
            <w:r>
              <w:rPr>
                <w:rFonts w:ascii="ARIAL" w:hAnsi="ARIAL"/>
                <w:b/>
                <w:sz w:val="14"/>
              </w:rPr>
              <w:t>UNITS OF STOCK</w:t>
            </w:r>
          </w:p>
          <w:p>
            <w:pPr>
              <w:pStyle w:val="TableContents"/>
              <w:bidi w:val="0"/>
              <w:spacing w:before="0" w:after="0"/>
              <w:jc w:val="right"/>
              <w:rPr>
                <w:rFonts w:ascii="ARIAL" w:hAnsi="ARIAL"/>
                <w:b/>
                <w:sz w:val="14"/>
              </w:rPr>
            </w:pPr>
            <w:r>
              <w:rPr>
                <w:rFonts w:ascii="ARIAL" w:hAnsi="ARIAL"/>
                <w:b/>
                <w:sz w:val="14"/>
              </w:rPr>
              <w:t>THAT HAVE NOT</w:t>
            </w:r>
          </w:p>
          <w:p>
            <w:pPr>
              <w:pStyle w:val="TableContents"/>
              <w:bidi w:val="0"/>
              <w:spacing w:before="0" w:after="0"/>
              <w:jc w:val="right"/>
              <w:rPr>
                <w:rFonts w:ascii="ARIAL" w:hAnsi="ARIAL"/>
                <w:b/>
                <w:sz w:val="14"/>
              </w:rPr>
            </w:pPr>
            <w:r>
              <w:rPr>
                <w:rFonts w:ascii="ARIAL" w:hAnsi="ARIAL"/>
                <w:b/>
                <w:sz w:val="14"/>
              </w:rPr>
              <w:t xml:space="preserve">VESTED </w:t>
            </w:r>
          </w:p>
          <w:p>
            <w:pPr>
              <w:pStyle w:val="TableContents"/>
              <w:bidi w:val="0"/>
              <w:spacing w:before="0" w:after="20"/>
              <w:jc w:val="right"/>
              <w:rPr>
                <w:rFonts w:ascii="ARIAL" w:hAnsi="ARIAL"/>
                <w:b/>
                <w:sz w:val="14"/>
              </w:rPr>
            </w:pPr>
            <w:r>
              <w:rPr>
                <w:rFonts w:ascii="ARIAL" w:hAnsi="ARIAL"/>
                <w:b/>
                <w:sz w:val="14"/>
              </w:rPr>
              <w:t xml:space="preserve">($)(1) </w:t>
            </w:r>
          </w:p>
        </w:tc>
        <w:tc>
          <w:tcPr>
            <w:tcW w:w="7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Michael Massaro</w:t>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pPr>
            <w:r>
              <w:rPr/>
              <w:t> </w:t>
            </w:r>
          </w:p>
        </w:tc>
        <w:tc>
          <w:tcPr>
            <w:tcW w:w="898" w:type="dxa"/>
            <w:tcBorders/>
            <w:shd w:fill="E8F4FF" w:val="clear"/>
            <w:vAlign w:val="center"/>
          </w:tcPr>
          <w:p>
            <w:pPr>
              <w:pStyle w:val="TableContents"/>
              <w:bidi w:val="0"/>
              <w:spacing w:before="0" w:after="283"/>
              <w:jc w:val="right"/>
              <w:rPr/>
            </w:pPr>
            <w:r>
              <w:rPr/>
              <w:t>88,731</w:t>
            </w:r>
          </w:p>
        </w:tc>
        <w:tc>
          <w:tcPr>
            <w:tcW w:w="35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pPr>
            <w:r>
              <w:rPr/>
              <w:t> </w:t>
            </w:r>
          </w:p>
        </w:tc>
        <w:tc>
          <w:tcPr>
            <w:tcW w:w="1039" w:type="dxa"/>
            <w:tcBorders/>
            <w:shd w:fill="E8F4FF" w:val="clear"/>
            <w:vAlign w:val="center"/>
          </w:tcPr>
          <w:p>
            <w:pPr>
              <w:pStyle w:val="TableContents"/>
              <w:bidi w:val="0"/>
              <w:spacing w:before="0" w:after="283"/>
              <w:jc w:val="right"/>
              <w:rPr/>
            </w:pPr>
            <w:r>
              <w:rPr/>
              <w:t>—</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pPr>
            <w:r>
              <w:rPr/>
              <w:t> </w:t>
            </w:r>
          </w:p>
        </w:tc>
        <w:tc>
          <w:tcPr>
            <w:tcW w:w="612" w:type="dxa"/>
            <w:tcBorders/>
            <w:shd w:fill="E8F4FF" w:val="clear"/>
            <w:vAlign w:val="center"/>
          </w:tcPr>
          <w:p>
            <w:pPr>
              <w:pStyle w:val="TableContents"/>
              <w:bidi w:val="0"/>
              <w:spacing w:before="0" w:after="283"/>
              <w:jc w:val="right"/>
              <w:rPr/>
            </w:pPr>
            <w:r>
              <w:rPr/>
              <w:t>0.59</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860" w:type="dxa"/>
            <w:tcBorders/>
            <w:shd w:fill="E8F4FF" w:val="clear"/>
            <w:vAlign w:val="center"/>
          </w:tcPr>
          <w:p>
            <w:pPr>
              <w:pStyle w:val="TableContents"/>
              <w:bidi w:val="0"/>
              <w:spacing w:before="0" w:after="283"/>
              <w:jc w:val="right"/>
              <w:rPr/>
            </w:pPr>
            <w:r>
              <w:rPr/>
              <w:t>7/25/26</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sz w:val="4"/>
                <w:szCs w:val="4"/>
              </w:rPr>
            </w:pPr>
            <w:r>
              <w:rPr>
                <w:sz w:val="4"/>
                <w:szCs w:val="4"/>
              </w:rPr>
            </w:r>
          </w:p>
        </w:tc>
        <w:tc>
          <w:tcPr>
            <w:tcW w:w="1052"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sz w:val="4"/>
                <w:szCs w:val="4"/>
              </w:rPr>
            </w:pPr>
            <w:r>
              <w:rPr>
                <w:sz w:val="4"/>
                <w:szCs w:val="4"/>
              </w:rPr>
            </w:r>
          </w:p>
        </w:tc>
        <w:tc>
          <w:tcPr>
            <w:tcW w:w="1065" w:type="dxa"/>
            <w:tcBorders/>
            <w:shd w:fill="E8F4FF" w:val="clear"/>
            <w:vAlign w:val="center"/>
          </w:tcPr>
          <w:p>
            <w:pPr>
              <w:pStyle w:val="TableContents"/>
              <w:bidi w:val="0"/>
              <w:spacing w:before="0" w:after="283"/>
              <w:jc w:val="left"/>
              <w:rPr>
                <w:sz w:val="4"/>
                <w:szCs w:val="4"/>
              </w:rPr>
            </w:pPr>
            <w:r>
              <w:rPr>
                <w:sz w:val="4"/>
                <w:szCs w:val="4"/>
              </w:rPr>
            </w:r>
          </w:p>
        </w:tc>
        <w:tc>
          <w:tcPr>
            <w:tcW w:w="75" w:type="dxa"/>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pPr>
            <w:r>
              <w:rPr/>
              <w:t> </w:t>
            </w:r>
          </w:p>
        </w:tc>
        <w:tc>
          <w:tcPr>
            <w:tcW w:w="898" w:type="dxa"/>
            <w:tcBorders/>
            <w:shd w:fill="E8F4FF" w:val="clear"/>
            <w:vAlign w:val="center"/>
          </w:tcPr>
          <w:p>
            <w:pPr>
              <w:pStyle w:val="TableContents"/>
              <w:bidi w:val="0"/>
              <w:spacing w:before="0" w:after="283"/>
              <w:jc w:val="right"/>
              <w:rPr/>
            </w:pPr>
            <w:r>
              <w:rPr/>
              <w:t>23,598</w:t>
            </w:r>
          </w:p>
        </w:tc>
        <w:tc>
          <w:tcPr>
            <w:tcW w:w="35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pPr>
            <w:r>
              <w:rPr/>
              <w:t> </w:t>
            </w:r>
          </w:p>
        </w:tc>
        <w:tc>
          <w:tcPr>
            <w:tcW w:w="1039" w:type="dxa"/>
            <w:tcBorders/>
            <w:shd w:fill="E8F4FF" w:val="clear"/>
            <w:vAlign w:val="center"/>
          </w:tcPr>
          <w:p>
            <w:pPr>
              <w:pStyle w:val="TableContents"/>
              <w:bidi w:val="0"/>
              <w:spacing w:before="0" w:after="283"/>
              <w:jc w:val="right"/>
              <w:rPr/>
            </w:pPr>
            <w:r>
              <w:rPr/>
              <w:t>—</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pPr>
            <w:r>
              <w:rPr/>
              <w:t> </w:t>
            </w:r>
          </w:p>
        </w:tc>
        <w:tc>
          <w:tcPr>
            <w:tcW w:w="612" w:type="dxa"/>
            <w:tcBorders/>
            <w:shd w:fill="E8F4FF" w:val="clear"/>
            <w:vAlign w:val="center"/>
          </w:tcPr>
          <w:p>
            <w:pPr>
              <w:pStyle w:val="TableContents"/>
              <w:bidi w:val="0"/>
              <w:spacing w:before="0" w:after="283"/>
              <w:jc w:val="right"/>
              <w:rPr/>
            </w:pPr>
            <w:r>
              <w:rPr/>
              <w:t>0.59</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860" w:type="dxa"/>
            <w:tcBorders/>
            <w:shd w:fill="E8F4FF" w:val="clear"/>
            <w:vAlign w:val="center"/>
          </w:tcPr>
          <w:p>
            <w:pPr>
              <w:pStyle w:val="TableContents"/>
              <w:bidi w:val="0"/>
              <w:spacing w:before="0" w:after="283"/>
              <w:jc w:val="right"/>
              <w:rPr/>
            </w:pPr>
            <w:r>
              <w:rPr/>
              <w:t>7/25/26</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sz w:val="4"/>
                <w:szCs w:val="4"/>
              </w:rPr>
            </w:pPr>
            <w:r>
              <w:rPr>
                <w:sz w:val="4"/>
                <w:szCs w:val="4"/>
              </w:rPr>
            </w:r>
          </w:p>
        </w:tc>
        <w:tc>
          <w:tcPr>
            <w:tcW w:w="1052"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sz w:val="4"/>
                <w:szCs w:val="4"/>
              </w:rPr>
            </w:pPr>
            <w:r>
              <w:rPr>
                <w:sz w:val="4"/>
                <w:szCs w:val="4"/>
              </w:rPr>
            </w:r>
          </w:p>
        </w:tc>
        <w:tc>
          <w:tcPr>
            <w:tcW w:w="1065" w:type="dxa"/>
            <w:tcBorders/>
            <w:shd w:fill="E8F4FF" w:val="clear"/>
            <w:vAlign w:val="center"/>
          </w:tcPr>
          <w:p>
            <w:pPr>
              <w:pStyle w:val="TableContents"/>
              <w:bidi w:val="0"/>
              <w:spacing w:before="0" w:after="283"/>
              <w:jc w:val="left"/>
              <w:rPr>
                <w:sz w:val="4"/>
                <w:szCs w:val="4"/>
              </w:rPr>
            </w:pPr>
            <w:r>
              <w:rPr>
                <w:sz w:val="4"/>
                <w:szCs w:val="4"/>
              </w:rPr>
            </w:r>
          </w:p>
        </w:tc>
        <w:tc>
          <w:tcPr>
            <w:tcW w:w="75" w:type="dxa"/>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pPr>
            <w:r>
              <w:rPr/>
              <w:t> </w:t>
            </w:r>
          </w:p>
        </w:tc>
        <w:tc>
          <w:tcPr>
            <w:tcW w:w="898" w:type="dxa"/>
            <w:tcBorders/>
            <w:shd w:fill="E8F4FF" w:val="clear"/>
            <w:vAlign w:val="center"/>
          </w:tcPr>
          <w:p>
            <w:pPr>
              <w:pStyle w:val="TableContents"/>
              <w:bidi w:val="0"/>
              <w:spacing w:before="0" w:after="283"/>
              <w:jc w:val="right"/>
              <w:rPr/>
            </w:pPr>
            <w:r>
              <w:rPr/>
              <w:t>18,435</w:t>
            </w:r>
          </w:p>
        </w:tc>
        <w:tc>
          <w:tcPr>
            <w:tcW w:w="35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pPr>
            <w:r>
              <w:rPr/>
              <w:t> </w:t>
            </w:r>
          </w:p>
        </w:tc>
        <w:tc>
          <w:tcPr>
            <w:tcW w:w="1039" w:type="dxa"/>
            <w:tcBorders/>
            <w:shd w:fill="E8F4FF" w:val="clear"/>
            <w:vAlign w:val="center"/>
          </w:tcPr>
          <w:p>
            <w:pPr>
              <w:pStyle w:val="TableContents"/>
              <w:bidi w:val="0"/>
              <w:spacing w:before="0" w:after="283"/>
              <w:jc w:val="right"/>
              <w:rPr/>
            </w:pPr>
            <w:r>
              <w:rPr/>
              <w:t>—</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pPr>
            <w:r>
              <w:rPr/>
              <w:t> </w:t>
            </w:r>
          </w:p>
        </w:tc>
        <w:tc>
          <w:tcPr>
            <w:tcW w:w="612" w:type="dxa"/>
            <w:tcBorders/>
            <w:shd w:fill="E8F4FF" w:val="clear"/>
            <w:vAlign w:val="center"/>
          </w:tcPr>
          <w:p>
            <w:pPr>
              <w:pStyle w:val="TableContents"/>
              <w:bidi w:val="0"/>
              <w:spacing w:before="0" w:after="283"/>
              <w:jc w:val="right"/>
              <w:rPr/>
            </w:pPr>
            <w:r>
              <w:rPr/>
              <w:t>3.28</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860" w:type="dxa"/>
            <w:tcBorders/>
            <w:shd w:fill="E8F4FF" w:val="clear"/>
            <w:vAlign w:val="center"/>
          </w:tcPr>
          <w:p>
            <w:pPr>
              <w:pStyle w:val="TableContents"/>
              <w:bidi w:val="0"/>
              <w:spacing w:before="0" w:after="283"/>
              <w:jc w:val="right"/>
              <w:rPr/>
            </w:pPr>
            <w:r>
              <w:rPr/>
              <w:t>2/27/29</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sz w:val="4"/>
                <w:szCs w:val="4"/>
              </w:rPr>
            </w:pPr>
            <w:r>
              <w:rPr>
                <w:sz w:val="4"/>
                <w:szCs w:val="4"/>
              </w:rPr>
            </w:r>
          </w:p>
        </w:tc>
        <w:tc>
          <w:tcPr>
            <w:tcW w:w="1052"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sz w:val="4"/>
                <w:szCs w:val="4"/>
              </w:rPr>
            </w:pPr>
            <w:r>
              <w:rPr>
                <w:sz w:val="4"/>
                <w:szCs w:val="4"/>
              </w:rPr>
            </w:r>
          </w:p>
        </w:tc>
        <w:tc>
          <w:tcPr>
            <w:tcW w:w="1065" w:type="dxa"/>
            <w:tcBorders/>
            <w:shd w:fill="E8F4FF" w:val="clear"/>
            <w:vAlign w:val="center"/>
          </w:tcPr>
          <w:p>
            <w:pPr>
              <w:pStyle w:val="TableContents"/>
              <w:bidi w:val="0"/>
              <w:spacing w:before="0" w:after="283"/>
              <w:jc w:val="left"/>
              <w:rPr>
                <w:sz w:val="4"/>
                <w:szCs w:val="4"/>
              </w:rPr>
            </w:pPr>
            <w:r>
              <w:rPr>
                <w:sz w:val="4"/>
                <w:szCs w:val="4"/>
              </w:rPr>
            </w:r>
          </w:p>
        </w:tc>
        <w:tc>
          <w:tcPr>
            <w:tcW w:w="75" w:type="dxa"/>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pPr>
            <w:r>
              <w:rPr/>
              <w:t> </w:t>
            </w:r>
          </w:p>
        </w:tc>
        <w:tc>
          <w:tcPr>
            <w:tcW w:w="898" w:type="dxa"/>
            <w:tcBorders/>
            <w:shd w:fill="E8F4FF" w:val="clear"/>
            <w:vAlign w:val="center"/>
          </w:tcPr>
          <w:p>
            <w:pPr>
              <w:pStyle w:val="TableContents"/>
              <w:bidi w:val="0"/>
              <w:spacing w:before="0" w:after="283"/>
              <w:jc w:val="right"/>
              <w:rPr/>
            </w:pPr>
            <w:r>
              <w:rPr/>
              <w:t>302,724</w:t>
            </w:r>
          </w:p>
        </w:tc>
        <w:tc>
          <w:tcPr>
            <w:tcW w:w="35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pPr>
            <w:r>
              <w:rPr/>
              <w:t> </w:t>
            </w:r>
          </w:p>
        </w:tc>
        <w:tc>
          <w:tcPr>
            <w:tcW w:w="1039" w:type="dxa"/>
            <w:tcBorders/>
            <w:shd w:fill="E8F4FF" w:val="clear"/>
            <w:vAlign w:val="center"/>
          </w:tcPr>
          <w:p>
            <w:pPr>
              <w:pStyle w:val="TableContents"/>
              <w:bidi w:val="0"/>
              <w:spacing w:before="0" w:after="283"/>
              <w:jc w:val="right"/>
              <w:rPr/>
            </w:pPr>
            <w:r>
              <w:rPr/>
              <w:t>—</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pPr>
            <w:r>
              <w:rPr/>
              <w:t> </w:t>
            </w:r>
          </w:p>
        </w:tc>
        <w:tc>
          <w:tcPr>
            <w:tcW w:w="612" w:type="dxa"/>
            <w:tcBorders/>
            <w:shd w:fill="E8F4FF" w:val="clear"/>
            <w:vAlign w:val="center"/>
          </w:tcPr>
          <w:p>
            <w:pPr>
              <w:pStyle w:val="TableContents"/>
              <w:bidi w:val="0"/>
              <w:spacing w:before="0" w:after="283"/>
              <w:jc w:val="right"/>
              <w:rPr/>
            </w:pPr>
            <w:r>
              <w:rPr/>
              <w:t>3.30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860" w:type="dxa"/>
            <w:tcBorders/>
            <w:shd w:fill="E8F4FF" w:val="clear"/>
            <w:vAlign w:val="center"/>
          </w:tcPr>
          <w:p>
            <w:pPr>
              <w:pStyle w:val="TableContents"/>
              <w:bidi w:val="0"/>
              <w:spacing w:before="0" w:after="283"/>
              <w:jc w:val="right"/>
              <w:rPr/>
            </w:pPr>
            <w:r>
              <w:rPr/>
              <w:t>10/31/29</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sz w:val="4"/>
                <w:szCs w:val="4"/>
              </w:rPr>
            </w:pPr>
            <w:r>
              <w:rPr>
                <w:sz w:val="4"/>
                <w:szCs w:val="4"/>
              </w:rPr>
            </w:r>
          </w:p>
        </w:tc>
        <w:tc>
          <w:tcPr>
            <w:tcW w:w="1052"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sz w:val="4"/>
                <w:szCs w:val="4"/>
              </w:rPr>
            </w:pPr>
            <w:r>
              <w:rPr>
                <w:sz w:val="4"/>
                <w:szCs w:val="4"/>
              </w:rPr>
            </w:r>
          </w:p>
        </w:tc>
        <w:tc>
          <w:tcPr>
            <w:tcW w:w="1065" w:type="dxa"/>
            <w:tcBorders/>
            <w:shd w:fill="E8F4FF" w:val="clear"/>
            <w:vAlign w:val="center"/>
          </w:tcPr>
          <w:p>
            <w:pPr>
              <w:pStyle w:val="TableContents"/>
              <w:bidi w:val="0"/>
              <w:spacing w:before="0" w:after="283"/>
              <w:jc w:val="left"/>
              <w:rPr>
                <w:sz w:val="4"/>
                <w:szCs w:val="4"/>
              </w:rPr>
            </w:pPr>
            <w:r>
              <w:rPr>
                <w:sz w:val="4"/>
                <w:szCs w:val="4"/>
              </w:rPr>
            </w:r>
          </w:p>
        </w:tc>
        <w:tc>
          <w:tcPr>
            <w:tcW w:w="75" w:type="dxa"/>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pPr>
            <w:r>
              <w:rPr/>
              <w:t> </w:t>
            </w:r>
          </w:p>
        </w:tc>
        <w:tc>
          <w:tcPr>
            <w:tcW w:w="898" w:type="dxa"/>
            <w:tcBorders/>
            <w:shd w:fill="E8F4FF" w:val="clear"/>
            <w:vAlign w:val="center"/>
          </w:tcPr>
          <w:p>
            <w:pPr>
              <w:pStyle w:val="TableContents"/>
              <w:bidi w:val="0"/>
              <w:spacing w:before="0" w:after="283"/>
              <w:jc w:val="right"/>
              <w:rPr/>
            </w:pPr>
            <w:r>
              <w:rPr/>
              <w:t>293,750</w:t>
            </w:r>
          </w:p>
        </w:tc>
        <w:tc>
          <w:tcPr>
            <w:tcW w:w="350" w:type="dxa"/>
            <w:tcBorders/>
            <w:shd w:fill="E8F4FF" w:val="clear"/>
            <w:vAlign w:val="center"/>
          </w:tcPr>
          <w:p>
            <w:pPr>
              <w:pStyle w:val="TableContents"/>
              <w:bidi w:val="0"/>
              <w:spacing w:before="0" w:after="283"/>
              <w:jc w:val="left"/>
              <w:rPr/>
            </w:pPr>
            <w:r>
              <w:rPr/>
              <w:t>(2) </w:t>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pPr>
            <w:r>
              <w:rPr/>
              <w:t> </w:t>
            </w:r>
          </w:p>
        </w:tc>
        <w:tc>
          <w:tcPr>
            <w:tcW w:w="1039" w:type="dxa"/>
            <w:tcBorders/>
            <w:shd w:fill="E8F4FF" w:val="clear"/>
            <w:vAlign w:val="center"/>
          </w:tcPr>
          <w:p>
            <w:pPr>
              <w:pStyle w:val="TableContents"/>
              <w:bidi w:val="0"/>
              <w:spacing w:before="0" w:after="283"/>
              <w:jc w:val="right"/>
              <w:rPr/>
            </w:pPr>
            <w:r>
              <w:rPr/>
              <w:t>6,250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pPr>
            <w:r>
              <w:rPr/>
              <w:t> </w:t>
            </w:r>
          </w:p>
        </w:tc>
        <w:tc>
          <w:tcPr>
            <w:tcW w:w="612" w:type="dxa"/>
            <w:tcBorders/>
            <w:shd w:fill="E8F4FF" w:val="clear"/>
            <w:vAlign w:val="center"/>
          </w:tcPr>
          <w:p>
            <w:pPr>
              <w:pStyle w:val="TableContents"/>
              <w:bidi w:val="0"/>
              <w:spacing w:before="0" w:after="283"/>
              <w:jc w:val="right"/>
              <w:rPr/>
            </w:pPr>
            <w:r>
              <w:rPr/>
              <w:t>3.95</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860" w:type="dxa"/>
            <w:tcBorders/>
            <w:shd w:fill="E8F4FF" w:val="clear"/>
            <w:vAlign w:val="center"/>
          </w:tcPr>
          <w:p>
            <w:pPr>
              <w:pStyle w:val="TableContents"/>
              <w:bidi w:val="0"/>
              <w:spacing w:before="0" w:after="283"/>
              <w:jc w:val="right"/>
              <w:rPr/>
            </w:pPr>
            <w:r>
              <w:rPr/>
              <w:t>1/20/31</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sz w:val="4"/>
                <w:szCs w:val="4"/>
              </w:rPr>
            </w:pPr>
            <w:r>
              <w:rPr>
                <w:sz w:val="4"/>
                <w:szCs w:val="4"/>
              </w:rPr>
            </w:r>
          </w:p>
        </w:tc>
        <w:tc>
          <w:tcPr>
            <w:tcW w:w="1052"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sz w:val="4"/>
                <w:szCs w:val="4"/>
              </w:rPr>
            </w:pPr>
            <w:r>
              <w:rPr>
                <w:sz w:val="4"/>
                <w:szCs w:val="4"/>
              </w:rPr>
            </w:r>
          </w:p>
        </w:tc>
        <w:tc>
          <w:tcPr>
            <w:tcW w:w="1065" w:type="dxa"/>
            <w:tcBorders/>
            <w:shd w:fill="E8F4FF" w:val="clear"/>
            <w:vAlign w:val="center"/>
          </w:tcPr>
          <w:p>
            <w:pPr>
              <w:pStyle w:val="TableContents"/>
              <w:bidi w:val="0"/>
              <w:spacing w:before="0" w:after="283"/>
              <w:jc w:val="left"/>
              <w:rPr>
                <w:sz w:val="4"/>
                <w:szCs w:val="4"/>
              </w:rPr>
            </w:pPr>
            <w:r>
              <w:rPr>
                <w:sz w:val="4"/>
                <w:szCs w:val="4"/>
              </w:rPr>
            </w:r>
          </w:p>
        </w:tc>
        <w:tc>
          <w:tcPr>
            <w:tcW w:w="75" w:type="dxa"/>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pPr>
            <w:r>
              <w:rPr/>
              <w:t> </w:t>
            </w:r>
          </w:p>
        </w:tc>
        <w:tc>
          <w:tcPr>
            <w:tcW w:w="898" w:type="dxa"/>
            <w:tcBorders/>
            <w:shd w:fill="E8F4FF" w:val="clear"/>
            <w:vAlign w:val="center"/>
          </w:tcPr>
          <w:p>
            <w:pPr>
              <w:pStyle w:val="TableContents"/>
              <w:bidi w:val="0"/>
              <w:spacing w:before="0" w:after="283"/>
              <w:jc w:val="right"/>
              <w:rPr/>
            </w:pPr>
            <w:r>
              <w:rPr/>
              <w:t>235,000</w:t>
            </w:r>
          </w:p>
        </w:tc>
        <w:tc>
          <w:tcPr>
            <w:tcW w:w="350" w:type="dxa"/>
            <w:tcBorders/>
            <w:shd w:fill="E8F4FF" w:val="clear"/>
            <w:vAlign w:val="center"/>
          </w:tcPr>
          <w:p>
            <w:pPr>
              <w:pStyle w:val="TableContents"/>
              <w:bidi w:val="0"/>
              <w:spacing w:before="0" w:after="283"/>
              <w:jc w:val="left"/>
              <w:rPr/>
            </w:pPr>
            <w:r>
              <w:rPr/>
              <w:t>(3) </w:t>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pPr>
            <w:r>
              <w:rPr/>
              <w:t> </w:t>
            </w:r>
          </w:p>
        </w:tc>
        <w:tc>
          <w:tcPr>
            <w:tcW w:w="1039" w:type="dxa"/>
            <w:tcBorders/>
            <w:shd w:fill="E8F4FF" w:val="clear"/>
            <w:vAlign w:val="center"/>
          </w:tcPr>
          <w:p>
            <w:pPr>
              <w:pStyle w:val="TableContents"/>
              <w:bidi w:val="0"/>
              <w:spacing w:before="0" w:after="283"/>
              <w:jc w:val="right"/>
              <w:rPr/>
            </w:pPr>
            <w:r>
              <w:rPr/>
              <w:t>65,000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pPr>
            <w:r>
              <w:rPr/>
              <w:t> </w:t>
            </w:r>
          </w:p>
        </w:tc>
        <w:tc>
          <w:tcPr>
            <w:tcW w:w="612" w:type="dxa"/>
            <w:tcBorders/>
            <w:shd w:fill="E8F4FF" w:val="clear"/>
            <w:vAlign w:val="center"/>
          </w:tcPr>
          <w:p>
            <w:pPr>
              <w:pStyle w:val="TableContents"/>
              <w:bidi w:val="0"/>
              <w:spacing w:before="0" w:after="283"/>
              <w:jc w:val="right"/>
              <w:rPr/>
            </w:pPr>
            <w:r>
              <w:rPr/>
              <w:t>3.95</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860" w:type="dxa"/>
            <w:tcBorders/>
            <w:shd w:fill="E8F4FF" w:val="clear"/>
            <w:vAlign w:val="center"/>
          </w:tcPr>
          <w:p>
            <w:pPr>
              <w:pStyle w:val="TableContents"/>
              <w:bidi w:val="0"/>
              <w:spacing w:before="0" w:after="283"/>
              <w:jc w:val="right"/>
              <w:rPr/>
            </w:pPr>
            <w:r>
              <w:rPr/>
              <w:t>1/20/31</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sz w:val="4"/>
                <w:szCs w:val="4"/>
              </w:rPr>
            </w:pPr>
            <w:r>
              <w:rPr>
                <w:sz w:val="4"/>
                <w:szCs w:val="4"/>
              </w:rPr>
            </w:r>
          </w:p>
        </w:tc>
        <w:tc>
          <w:tcPr>
            <w:tcW w:w="1052"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sz w:val="4"/>
                <w:szCs w:val="4"/>
              </w:rPr>
            </w:pPr>
            <w:r>
              <w:rPr>
                <w:sz w:val="4"/>
                <w:szCs w:val="4"/>
              </w:rPr>
            </w:r>
          </w:p>
        </w:tc>
        <w:tc>
          <w:tcPr>
            <w:tcW w:w="1065" w:type="dxa"/>
            <w:tcBorders/>
            <w:shd w:fill="E8F4FF" w:val="clear"/>
            <w:vAlign w:val="center"/>
          </w:tcPr>
          <w:p>
            <w:pPr>
              <w:pStyle w:val="TableContents"/>
              <w:bidi w:val="0"/>
              <w:spacing w:before="0" w:after="283"/>
              <w:jc w:val="left"/>
              <w:rPr>
                <w:sz w:val="4"/>
                <w:szCs w:val="4"/>
              </w:rPr>
            </w:pPr>
            <w:r>
              <w:rPr>
                <w:sz w:val="4"/>
                <w:szCs w:val="4"/>
              </w:rPr>
            </w:r>
          </w:p>
        </w:tc>
        <w:tc>
          <w:tcPr>
            <w:tcW w:w="75" w:type="dxa"/>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sz w:val="4"/>
                <w:szCs w:val="4"/>
              </w:rPr>
            </w:pPr>
            <w:r>
              <w:rPr>
                <w:sz w:val="4"/>
                <w:szCs w:val="4"/>
              </w:rPr>
            </w:r>
          </w:p>
        </w:tc>
        <w:tc>
          <w:tcPr>
            <w:tcW w:w="898"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sz w:val="4"/>
                <w:szCs w:val="4"/>
              </w:rPr>
            </w:pPr>
            <w:r>
              <w:rPr>
                <w:sz w:val="4"/>
                <w:szCs w:val="4"/>
              </w:rPr>
            </w:r>
          </w:p>
        </w:tc>
        <w:tc>
          <w:tcPr>
            <w:tcW w:w="1039"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sz w:val="4"/>
                <w:szCs w:val="4"/>
              </w:rPr>
            </w:pPr>
            <w:r>
              <w:rPr>
                <w:sz w:val="4"/>
                <w:szCs w:val="4"/>
              </w:rPr>
            </w:r>
          </w:p>
        </w:tc>
        <w:tc>
          <w:tcPr>
            <w:tcW w:w="6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8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pPr>
            <w:r>
              <w:rPr/>
              <w:t> </w:t>
            </w:r>
          </w:p>
        </w:tc>
        <w:tc>
          <w:tcPr>
            <w:tcW w:w="1052" w:type="dxa"/>
            <w:tcBorders/>
            <w:shd w:fill="E8F4FF" w:val="clear"/>
            <w:vAlign w:val="center"/>
          </w:tcPr>
          <w:p>
            <w:pPr>
              <w:pStyle w:val="TableContents"/>
              <w:bidi w:val="0"/>
              <w:spacing w:before="0" w:after="283"/>
              <w:jc w:val="right"/>
              <w:rPr/>
            </w:pPr>
            <w:r>
              <w:rPr/>
              <w:t>77,763</w:t>
            </w:r>
          </w:p>
        </w:tc>
        <w:tc>
          <w:tcPr>
            <w:tcW w:w="350" w:type="dxa"/>
            <w:tcBorders/>
            <w:shd w:fill="E8F4FF" w:val="clear"/>
            <w:vAlign w:val="center"/>
          </w:tcPr>
          <w:p>
            <w:pPr>
              <w:pStyle w:val="TableContents"/>
              <w:bidi w:val="0"/>
              <w:spacing w:before="0" w:after="283"/>
              <w:jc w:val="left"/>
              <w:rPr/>
            </w:pPr>
            <w:r>
              <w:rPr/>
              <w:t>(4) </w:t>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pPr>
            <w:r>
              <w:rPr/>
              <w:t> </w:t>
            </w:r>
          </w:p>
        </w:tc>
        <w:tc>
          <w:tcPr>
            <w:tcW w:w="1065" w:type="dxa"/>
            <w:tcBorders/>
            <w:shd w:fill="E8F4FF" w:val="clear"/>
            <w:vAlign w:val="center"/>
          </w:tcPr>
          <w:p>
            <w:pPr>
              <w:pStyle w:val="TableContents"/>
              <w:bidi w:val="0"/>
              <w:spacing w:before="0" w:after="283"/>
              <w:jc w:val="right"/>
              <w:rPr/>
            </w:pPr>
            <w:r>
              <w:rPr/>
              <w:t>1,603,473</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sz w:val="4"/>
                <w:szCs w:val="4"/>
              </w:rPr>
            </w:pPr>
            <w:r>
              <w:rPr>
                <w:sz w:val="4"/>
                <w:szCs w:val="4"/>
              </w:rPr>
            </w:r>
          </w:p>
        </w:tc>
        <w:tc>
          <w:tcPr>
            <w:tcW w:w="898"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sz w:val="4"/>
                <w:szCs w:val="4"/>
              </w:rPr>
            </w:pPr>
            <w:r>
              <w:rPr>
                <w:sz w:val="4"/>
                <w:szCs w:val="4"/>
              </w:rPr>
            </w:r>
          </w:p>
        </w:tc>
        <w:tc>
          <w:tcPr>
            <w:tcW w:w="1039"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sz w:val="4"/>
                <w:szCs w:val="4"/>
              </w:rPr>
            </w:pPr>
            <w:r>
              <w:rPr>
                <w:sz w:val="4"/>
                <w:szCs w:val="4"/>
              </w:rPr>
            </w:r>
          </w:p>
        </w:tc>
        <w:tc>
          <w:tcPr>
            <w:tcW w:w="6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8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pPr>
            <w:r>
              <w:rPr/>
              <w:t> </w:t>
            </w:r>
          </w:p>
        </w:tc>
        <w:tc>
          <w:tcPr>
            <w:tcW w:w="1052" w:type="dxa"/>
            <w:tcBorders/>
            <w:shd w:fill="E8F4FF" w:val="clear"/>
            <w:vAlign w:val="center"/>
          </w:tcPr>
          <w:p>
            <w:pPr>
              <w:pStyle w:val="TableContents"/>
              <w:bidi w:val="0"/>
              <w:spacing w:before="0" w:after="283"/>
              <w:jc w:val="right"/>
              <w:rPr/>
            </w:pPr>
            <w:r>
              <w:rPr/>
              <w:t>159,996</w:t>
            </w:r>
          </w:p>
        </w:tc>
        <w:tc>
          <w:tcPr>
            <w:tcW w:w="350" w:type="dxa"/>
            <w:tcBorders/>
            <w:shd w:fill="E8F4FF" w:val="clear"/>
            <w:vAlign w:val="center"/>
          </w:tcPr>
          <w:p>
            <w:pPr>
              <w:pStyle w:val="TableContents"/>
              <w:bidi w:val="0"/>
              <w:spacing w:before="0" w:after="283"/>
              <w:jc w:val="left"/>
              <w:rPr/>
            </w:pPr>
            <w:r>
              <w:rPr/>
              <w:t>(5) </w:t>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pPr>
            <w:r>
              <w:rPr/>
              <w:t> </w:t>
            </w:r>
          </w:p>
        </w:tc>
        <w:tc>
          <w:tcPr>
            <w:tcW w:w="1065" w:type="dxa"/>
            <w:tcBorders/>
            <w:shd w:fill="E8F4FF" w:val="clear"/>
            <w:vAlign w:val="center"/>
          </w:tcPr>
          <w:p>
            <w:pPr>
              <w:pStyle w:val="TableContents"/>
              <w:bidi w:val="0"/>
              <w:spacing w:before="0" w:after="283"/>
              <w:jc w:val="right"/>
              <w:rPr/>
            </w:pPr>
            <w:r>
              <w:rPr/>
              <w:t>3,299,118</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sz w:val="4"/>
                <w:szCs w:val="4"/>
              </w:rPr>
            </w:pPr>
            <w:r>
              <w:rPr>
                <w:sz w:val="4"/>
                <w:szCs w:val="4"/>
              </w:rPr>
            </w:r>
          </w:p>
        </w:tc>
        <w:tc>
          <w:tcPr>
            <w:tcW w:w="898"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sz w:val="4"/>
                <w:szCs w:val="4"/>
              </w:rPr>
            </w:pPr>
            <w:r>
              <w:rPr>
                <w:sz w:val="4"/>
                <w:szCs w:val="4"/>
              </w:rPr>
            </w:r>
          </w:p>
        </w:tc>
        <w:tc>
          <w:tcPr>
            <w:tcW w:w="1039"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sz w:val="4"/>
                <w:szCs w:val="4"/>
              </w:rPr>
            </w:pPr>
            <w:r>
              <w:rPr>
                <w:sz w:val="4"/>
                <w:szCs w:val="4"/>
              </w:rPr>
            </w:r>
          </w:p>
        </w:tc>
        <w:tc>
          <w:tcPr>
            <w:tcW w:w="6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8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pPr>
            <w:r>
              <w:rPr/>
              <w:t> </w:t>
            </w:r>
          </w:p>
        </w:tc>
        <w:tc>
          <w:tcPr>
            <w:tcW w:w="1052" w:type="dxa"/>
            <w:tcBorders/>
            <w:shd w:fill="E8F4FF" w:val="clear"/>
            <w:vAlign w:val="center"/>
          </w:tcPr>
          <w:p>
            <w:pPr>
              <w:pStyle w:val="TableContents"/>
              <w:bidi w:val="0"/>
              <w:spacing w:before="0" w:after="283"/>
              <w:jc w:val="right"/>
              <w:rPr/>
            </w:pPr>
            <w:r>
              <w:rPr/>
              <w:t>340,867</w:t>
            </w:r>
          </w:p>
        </w:tc>
        <w:tc>
          <w:tcPr>
            <w:tcW w:w="350" w:type="dxa"/>
            <w:tcBorders/>
            <w:shd w:fill="E8F4FF" w:val="clear"/>
            <w:vAlign w:val="center"/>
          </w:tcPr>
          <w:p>
            <w:pPr>
              <w:pStyle w:val="TableContents"/>
              <w:bidi w:val="0"/>
              <w:spacing w:before="0" w:after="283"/>
              <w:jc w:val="left"/>
              <w:rPr/>
            </w:pPr>
            <w:r>
              <w:rPr/>
              <w:t>(6) </w:t>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pPr>
            <w:r>
              <w:rPr/>
              <w:t> </w:t>
            </w:r>
          </w:p>
        </w:tc>
        <w:tc>
          <w:tcPr>
            <w:tcW w:w="1065" w:type="dxa"/>
            <w:tcBorders/>
            <w:shd w:fill="E8F4FF" w:val="clear"/>
            <w:vAlign w:val="center"/>
          </w:tcPr>
          <w:p>
            <w:pPr>
              <w:pStyle w:val="TableContents"/>
              <w:bidi w:val="0"/>
              <w:spacing w:before="0" w:after="283"/>
              <w:jc w:val="right"/>
              <w:rPr/>
            </w:pPr>
            <w:r>
              <w:rPr/>
              <w:t>7,028,678</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Robert Orgel</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384,452</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10/31/29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225,288</w:t>
            </w:r>
          </w:p>
        </w:tc>
        <w:tc>
          <w:tcPr>
            <w:tcW w:w="35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9,375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3.95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39,382</w:t>
            </w:r>
          </w:p>
        </w:tc>
        <w:tc>
          <w:tcPr>
            <w:tcW w:w="35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1,603,473</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84,411</w:t>
            </w:r>
          </w:p>
        </w:tc>
        <w:tc>
          <w:tcPr>
            <w:tcW w:w="350"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3,299,118</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198,129</w:t>
            </w:r>
          </w:p>
        </w:tc>
        <w:tc>
          <w:tcPr>
            <w:tcW w:w="35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7,028,678</w:t>
            </w:r>
          </w:p>
        </w:tc>
        <w:tc>
          <w:tcPr>
            <w:tcW w:w="7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Cosmin Pitigoi</w:t>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sz w:val="4"/>
                <w:szCs w:val="4"/>
              </w:rPr>
            </w:pPr>
            <w:r>
              <w:rPr>
                <w:sz w:val="4"/>
                <w:szCs w:val="4"/>
              </w:rPr>
            </w:r>
          </w:p>
        </w:tc>
        <w:tc>
          <w:tcPr>
            <w:tcW w:w="898"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sz w:val="4"/>
                <w:szCs w:val="4"/>
              </w:rPr>
            </w:pPr>
            <w:r>
              <w:rPr>
                <w:sz w:val="4"/>
                <w:szCs w:val="4"/>
              </w:rPr>
            </w:r>
          </w:p>
        </w:tc>
        <w:tc>
          <w:tcPr>
            <w:tcW w:w="1039"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sz w:val="4"/>
                <w:szCs w:val="4"/>
              </w:rPr>
            </w:pPr>
            <w:r>
              <w:rPr>
                <w:sz w:val="4"/>
                <w:szCs w:val="4"/>
              </w:rPr>
            </w:r>
          </w:p>
        </w:tc>
        <w:tc>
          <w:tcPr>
            <w:tcW w:w="6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8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pPr>
            <w:r>
              <w:rPr/>
              <w:t> </w:t>
            </w:r>
          </w:p>
        </w:tc>
        <w:tc>
          <w:tcPr>
            <w:tcW w:w="1052" w:type="dxa"/>
            <w:tcBorders/>
            <w:shd w:fill="E8F4FF" w:val="clear"/>
            <w:vAlign w:val="center"/>
          </w:tcPr>
          <w:p>
            <w:pPr>
              <w:pStyle w:val="TableContents"/>
              <w:bidi w:val="0"/>
              <w:spacing w:before="0" w:after="283"/>
              <w:jc w:val="right"/>
              <w:rPr/>
            </w:pPr>
            <w:r>
              <w:rPr/>
              <w:t>394,128</w:t>
            </w:r>
          </w:p>
        </w:tc>
        <w:tc>
          <w:tcPr>
            <w:tcW w:w="350" w:type="dxa"/>
            <w:tcBorders/>
            <w:shd w:fill="E8F4FF" w:val="clear"/>
            <w:vAlign w:val="center"/>
          </w:tcPr>
          <w:p>
            <w:pPr>
              <w:pStyle w:val="TableContents"/>
              <w:bidi w:val="0"/>
              <w:spacing w:before="0" w:after="283"/>
              <w:jc w:val="left"/>
              <w:rPr/>
            </w:pPr>
            <w:r>
              <w:rPr/>
              <w:t>(8) </w:t>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pPr>
            <w:r>
              <w:rPr/>
              <w:t> </w:t>
            </w:r>
          </w:p>
        </w:tc>
        <w:tc>
          <w:tcPr>
            <w:tcW w:w="1065" w:type="dxa"/>
            <w:tcBorders/>
            <w:shd w:fill="E8F4FF" w:val="clear"/>
            <w:vAlign w:val="center"/>
          </w:tcPr>
          <w:p>
            <w:pPr>
              <w:pStyle w:val="TableContents"/>
              <w:bidi w:val="0"/>
              <w:spacing w:before="0" w:after="283"/>
              <w:jc w:val="right"/>
              <w:rPr/>
            </w:pPr>
            <w:r>
              <w:rPr/>
              <w:t>8,126,919</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Peter Butterfield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90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0.35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3/10/25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145,950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0.59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7/25/26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90,066</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3.28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11/27/28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67,107</w:t>
            </w:r>
          </w:p>
        </w:tc>
        <w:tc>
          <w:tcPr>
            <w:tcW w:w="35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3.95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16,878</w:t>
            </w:r>
          </w:p>
        </w:tc>
        <w:tc>
          <w:tcPr>
            <w:tcW w:w="35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348,024</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40,276</w:t>
            </w:r>
          </w:p>
        </w:tc>
        <w:tc>
          <w:tcPr>
            <w:tcW w:w="350"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830,491</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76,695</w:t>
            </w:r>
          </w:p>
        </w:tc>
        <w:tc>
          <w:tcPr>
            <w:tcW w:w="35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1,581,451</w:t>
            </w:r>
          </w:p>
        </w:tc>
        <w:tc>
          <w:tcPr>
            <w:tcW w:w="7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David King</w:t>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pPr>
            <w:r>
              <w:rPr/>
              <w:t> </w:t>
            </w:r>
          </w:p>
        </w:tc>
        <w:tc>
          <w:tcPr>
            <w:tcW w:w="898" w:type="dxa"/>
            <w:tcBorders/>
            <w:shd w:fill="E8F4FF" w:val="clear"/>
            <w:vAlign w:val="center"/>
          </w:tcPr>
          <w:p>
            <w:pPr>
              <w:pStyle w:val="TableContents"/>
              <w:bidi w:val="0"/>
              <w:spacing w:before="0" w:after="283"/>
              <w:jc w:val="right"/>
              <w:rPr/>
            </w:pPr>
            <w:r>
              <w:rPr/>
              <w:t>11,250</w:t>
            </w:r>
          </w:p>
        </w:tc>
        <w:tc>
          <w:tcPr>
            <w:tcW w:w="350" w:type="dxa"/>
            <w:tcBorders/>
            <w:shd w:fill="E8F4FF" w:val="clear"/>
            <w:vAlign w:val="center"/>
          </w:tcPr>
          <w:p>
            <w:pPr>
              <w:pStyle w:val="TableContents"/>
              <w:bidi w:val="0"/>
              <w:spacing w:before="0" w:after="283"/>
              <w:jc w:val="left"/>
              <w:rPr/>
            </w:pPr>
            <w:r>
              <w:rPr/>
              <w:t>(7) </w:t>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pPr>
            <w:r>
              <w:rPr/>
              <w:t> </w:t>
            </w:r>
          </w:p>
        </w:tc>
        <w:tc>
          <w:tcPr>
            <w:tcW w:w="1039" w:type="dxa"/>
            <w:tcBorders/>
            <w:shd w:fill="E8F4FF" w:val="clear"/>
            <w:vAlign w:val="center"/>
          </w:tcPr>
          <w:p>
            <w:pPr>
              <w:pStyle w:val="TableContents"/>
              <w:bidi w:val="0"/>
              <w:spacing w:before="0" w:after="283"/>
              <w:jc w:val="right"/>
              <w:rPr/>
            </w:pPr>
            <w:r>
              <w:rPr/>
              <w:t>1,875</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pPr>
            <w:r>
              <w:rPr/>
              <w:t> </w:t>
            </w:r>
          </w:p>
        </w:tc>
        <w:tc>
          <w:tcPr>
            <w:tcW w:w="612" w:type="dxa"/>
            <w:tcBorders/>
            <w:shd w:fill="E8F4FF" w:val="clear"/>
            <w:vAlign w:val="center"/>
          </w:tcPr>
          <w:p>
            <w:pPr>
              <w:pStyle w:val="TableContents"/>
              <w:bidi w:val="0"/>
              <w:spacing w:before="0" w:after="283"/>
              <w:jc w:val="right"/>
              <w:rPr/>
            </w:pPr>
            <w:r>
              <w:rPr/>
              <w:t>3.95</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860" w:type="dxa"/>
            <w:tcBorders/>
            <w:shd w:fill="E8F4FF" w:val="clear"/>
            <w:vAlign w:val="center"/>
          </w:tcPr>
          <w:p>
            <w:pPr>
              <w:pStyle w:val="TableContents"/>
              <w:bidi w:val="0"/>
              <w:spacing w:before="0" w:after="283"/>
              <w:jc w:val="right"/>
              <w:rPr/>
            </w:pPr>
            <w:r>
              <w:rPr/>
              <w:t>1/20/31</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sz w:val="4"/>
                <w:szCs w:val="4"/>
              </w:rPr>
            </w:pPr>
            <w:r>
              <w:rPr>
                <w:sz w:val="4"/>
                <w:szCs w:val="4"/>
              </w:rPr>
            </w:r>
          </w:p>
        </w:tc>
        <w:tc>
          <w:tcPr>
            <w:tcW w:w="1052"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sz w:val="4"/>
                <w:szCs w:val="4"/>
              </w:rPr>
            </w:pPr>
            <w:r>
              <w:rPr>
                <w:sz w:val="4"/>
                <w:szCs w:val="4"/>
              </w:rPr>
            </w:r>
          </w:p>
        </w:tc>
        <w:tc>
          <w:tcPr>
            <w:tcW w:w="1065" w:type="dxa"/>
            <w:tcBorders/>
            <w:shd w:fill="E8F4FF" w:val="clear"/>
            <w:vAlign w:val="center"/>
          </w:tcPr>
          <w:p>
            <w:pPr>
              <w:pStyle w:val="TableContents"/>
              <w:bidi w:val="0"/>
              <w:spacing w:before="0" w:after="283"/>
              <w:jc w:val="left"/>
              <w:rPr>
                <w:sz w:val="4"/>
                <w:szCs w:val="4"/>
              </w:rPr>
            </w:pPr>
            <w:r>
              <w:rPr>
                <w:sz w:val="4"/>
                <w:szCs w:val="4"/>
              </w:rPr>
            </w:r>
          </w:p>
        </w:tc>
        <w:tc>
          <w:tcPr>
            <w:tcW w:w="75" w:type="dxa"/>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sz w:val="4"/>
                <w:szCs w:val="4"/>
              </w:rPr>
            </w:pPr>
            <w:r>
              <w:rPr>
                <w:sz w:val="4"/>
                <w:szCs w:val="4"/>
              </w:rPr>
            </w:r>
          </w:p>
        </w:tc>
        <w:tc>
          <w:tcPr>
            <w:tcW w:w="898"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sz w:val="4"/>
                <w:szCs w:val="4"/>
              </w:rPr>
            </w:pPr>
            <w:r>
              <w:rPr>
                <w:sz w:val="4"/>
                <w:szCs w:val="4"/>
              </w:rPr>
            </w:r>
          </w:p>
        </w:tc>
        <w:tc>
          <w:tcPr>
            <w:tcW w:w="1039"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sz w:val="4"/>
                <w:szCs w:val="4"/>
              </w:rPr>
            </w:pPr>
            <w:r>
              <w:rPr>
                <w:sz w:val="4"/>
                <w:szCs w:val="4"/>
              </w:rPr>
            </w:r>
          </w:p>
        </w:tc>
        <w:tc>
          <w:tcPr>
            <w:tcW w:w="6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8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pPr>
            <w:r>
              <w:rPr/>
              <w:t> </w:t>
            </w:r>
          </w:p>
        </w:tc>
        <w:tc>
          <w:tcPr>
            <w:tcW w:w="1052" w:type="dxa"/>
            <w:tcBorders/>
            <w:shd w:fill="E8F4FF" w:val="clear"/>
            <w:vAlign w:val="center"/>
          </w:tcPr>
          <w:p>
            <w:pPr>
              <w:pStyle w:val="TableContents"/>
              <w:bidi w:val="0"/>
              <w:spacing w:before="0" w:after="283"/>
              <w:jc w:val="right"/>
              <w:rPr/>
            </w:pPr>
            <w:r>
              <w:rPr/>
              <w:t>39,383</w:t>
            </w:r>
          </w:p>
        </w:tc>
        <w:tc>
          <w:tcPr>
            <w:tcW w:w="350" w:type="dxa"/>
            <w:tcBorders/>
            <w:shd w:fill="E8F4FF" w:val="clear"/>
            <w:vAlign w:val="center"/>
          </w:tcPr>
          <w:p>
            <w:pPr>
              <w:pStyle w:val="TableContents"/>
              <w:bidi w:val="0"/>
              <w:spacing w:before="0" w:after="283"/>
              <w:jc w:val="left"/>
              <w:rPr/>
            </w:pPr>
            <w:r>
              <w:rPr/>
              <w:t>(4) </w:t>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pPr>
            <w:r>
              <w:rPr/>
              <w:t> </w:t>
            </w:r>
          </w:p>
        </w:tc>
        <w:tc>
          <w:tcPr>
            <w:tcW w:w="1065" w:type="dxa"/>
            <w:tcBorders/>
            <w:shd w:fill="E8F4FF" w:val="clear"/>
            <w:vAlign w:val="center"/>
          </w:tcPr>
          <w:p>
            <w:pPr>
              <w:pStyle w:val="TableContents"/>
              <w:bidi w:val="0"/>
              <w:spacing w:before="0" w:after="283"/>
              <w:jc w:val="right"/>
              <w:rPr/>
            </w:pPr>
            <w:r>
              <w:rPr/>
              <w:t>812,077</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sz w:val="4"/>
                <w:szCs w:val="4"/>
              </w:rPr>
            </w:pPr>
            <w:r>
              <w:rPr>
                <w:sz w:val="4"/>
                <w:szCs w:val="4"/>
              </w:rPr>
            </w:r>
          </w:p>
        </w:tc>
        <w:tc>
          <w:tcPr>
            <w:tcW w:w="898"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sz w:val="4"/>
                <w:szCs w:val="4"/>
              </w:rPr>
            </w:pPr>
            <w:r>
              <w:rPr>
                <w:sz w:val="4"/>
                <w:szCs w:val="4"/>
              </w:rPr>
            </w:r>
          </w:p>
        </w:tc>
        <w:tc>
          <w:tcPr>
            <w:tcW w:w="1039"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sz w:val="4"/>
                <w:szCs w:val="4"/>
              </w:rPr>
            </w:pPr>
            <w:r>
              <w:rPr>
                <w:sz w:val="4"/>
                <w:szCs w:val="4"/>
              </w:rPr>
            </w:r>
          </w:p>
        </w:tc>
        <w:tc>
          <w:tcPr>
            <w:tcW w:w="6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8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pPr>
            <w:r>
              <w:rPr/>
              <w:t> </w:t>
            </w:r>
          </w:p>
        </w:tc>
        <w:tc>
          <w:tcPr>
            <w:tcW w:w="1052" w:type="dxa"/>
            <w:tcBorders/>
            <w:shd w:fill="E8F4FF" w:val="clear"/>
            <w:vAlign w:val="center"/>
          </w:tcPr>
          <w:p>
            <w:pPr>
              <w:pStyle w:val="TableContents"/>
              <w:bidi w:val="0"/>
              <w:spacing w:before="0" w:after="283"/>
              <w:jc w:val="right"/>
              <w:rPr/>
            </w:pPr>
            <w:r>
              <w:rPr/>
              <w:t>67,860</w:t>
            </w:r>
          </w:p>
        </w:tc>
        <w:tc>
          <w:tcPr>
            <w:tcW w:w="350" w:type="dxa"/>
            <w:tcBorders/>
            <w:shd w:fill="E8F4FF" w:val="clear"/>
            <w:vAlign w:val="center"/>
          </w:tcPr>
          <w:p>
            <w:pPr>
              <w:pStyle w:val="TableContents"/>
              <w:bidi w:val="0"/>
              <w:spacing w:before="0" w:after="283"/>
              <w:jc w:val="left"/>
              <w:rPr/>
            </w:pPr>
            <w:r>
              <w:rPr/>
              <w:t>(5) </w:t>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pPr>
            <w:r>
              <w:rPr/>
              <w:t> </w:t>
            </w:r>
          </w:p>
        </w:tc>
        <w:tc>
          <w:tcPr>
            <w:tcW w:w="1065" w:type="dxa"/>
            <w:tcBorders/>
            <w:shd w:fill="E8F4FF" w:val="clear"/>
            <w:vAlign w:val="center"/>
          </w:tcPr>
          <w:p>
            <w:pPr>
              <w:pStyle w:val="TableContents"/>
              <w:bidi w:val="0"/>
              <w:spacing w:before="0" w:after="283"/>
              <w:jc w:val="right"/>
              <w:rPr/>
            </w:pPr>
            <w:r>
              <w:rPr/>
              <w:t>1,399,273</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435"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875" w:type="dxa"/>
            <w:gridSpan w:val="4"/>
            <w:tcBorders/>
            <w:shd w:fill="E8F4FF" w:val="clear"/>
            <w:vAlign w:val="center"/>
          </w:tcPr>
          <w:p>
            <w:pPr>
              <w:pStyle w:val="TableContents"/>
              <w:bidi w:val="0"/>
              <w:spacing w:before="0" w:after="283"/>
              <w:jc w:val="left"/>
              <w:rPr>
                <w:sz w:val="4"/>
                <w:szCs w:val="4"/>
              </w:rPr>
            </w:pPr>
            <w:r>
              <w:rPr>
                <w:sz w:val="4"/>
                <w:szCs w:val="4"/>
              </w:rPr>
            </w:r>
          </w:p>
        </w:tc>
        <w:tc>
          <w:tcPr>
            <w:tcW w:w="1100" w:type="dxa"/>
            <w:gridSpan w:val="4"/>
            <w:tcBorders/>
            <w:shd w:fill="E8F4FF" w:val="clear"/>
            <w:vAlign w:val="center"/>
          </w:tcPr>
          <w:p>
            <w:pPr>
              <w:pStyle w:val="TableContents"/>
              <w:bidi w:val="0"/>
              <w:spacing w:before="0" w:after="283"/>
              <w:jc w:val="left"/>
              <w:rPr>
                <w:sz w:val="4"/>
                <w:szCs w:val="4"/>
              </w:rPr>
            </w:pPr>
            <w:r>
              <w:rPr>
                <w:sz w:val="4"/>
                <w:szCs w:val="4"/>
              </w:rPr>
            </w:r>
          </w:p>
        </w:tc>
        <w:tc>
          <w:tcPr>
            <w:tcW w:w="544" w:type="dxa"/>
            <w:gridSpan w:val="4"/>
            <w:tcBorders/>
            <w:shd w:fill="E8F4FF" w:val="clear"/>
            <w:vAlign w:val="center"/>
          </w:tcPr>
          <w:p>
            <w:pPr>
              <w:pStyle w:val="TableContents"/>
              <w:bidi w:val="0"/>
              <w:spacing w:before="0" w:after="283"/>
              <w:jc w:val="left"/>
              <w:rPr>
                <w:sz w:val="4"/>
                <w:szCs w:val="4"/>
              </w:rPr>
            </w:pPr>
            <w:r>
              <w:rPr>
                <w:sz w:val="4"/>
                <w:szCs w:val="4"/>
              </w:rPr>
            </w:r>
          </w:p>
        </w:tc>
        <w:tc>
          <w:tcPr>
            <w:tcW w:w="1600" w:type="dxa"/>
            <w:gridSpan w:val="4"/>
            <w:tcBorders/>
            <w:shd w:fill="E8F4FF" w:val="clear"/>
            <w:vAlign w:val="center"/>
          </w:tcPr>
          <w:p>
            <w:pPr>
              <w:pStyle w:val="TableContents"/>
              <w:bidi w:val="0"/>
              <w:spacing w:before="0" w:after="283"/>
              <w:jc w:val="left"/>
              <w:rPr>
                <w:sz w:val="4"/>
                <w:szCs w:val="4"/>
              </w:rPr>
            </w:pPr>
            <w:r>
              <w:rPr>
                <w:sz w:val="4"/>
                <w:szCs w:val="4"/>
              </w:rPr>
            </w:r>
          </w:p>
        </w:tc>
        <w:tc>
          <w:tcPr>
            <w:tcW w:w="126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7" w:type="dxa"/>
            <w:tcBorders/>
            <w:shd w:fill="E8F4FF" w:val="clear"/>
            <w:vAlign w:val="center"/>
          </w:tcPr>
          <w:p>
            <w:pPr>
              <w:pStyle w:val="TableContents"/>
              <w:bidi w:val="0"/>
              <w:spacing w:before="0" w:after="283"/>
              <w:jc w:val="left"/>
              <w:rPr>
                <w:sz w:val="4"/>
                <w:szCs w:val="4"/>
              </w:rPr>
            </w:pPr>
            <w:r>
              <w:rPr>
                <w:sz w:val="4"/>
                <w:szCs w:val="4"/>
              </w:rPr>
            </w:r>
          </w:p>
        </w:tc>
        <w:tc>
          <w:tcPr>
            <w:tcW w:w="898" w:type="dxa"/>
            <w:tcBorders/>
            <w:shd w:fill="E8F4FF" w:val="clear"/>
            <w:vAlign w:val="center"/>
          </w:tcPr>
          <w:p>
            <w:pPr>
              <w:pStyle w:val="TableContents"/>
              <w:bidi w:val="0"/>
              <w:spacing w:before="0" w:after="283"/>
              <w:jc w:val="left"/>
              <w:rPr>
                <w:sz w:val="4"/>
                <w:szCs w:val="4"/>
              </w:rPr>
            </w:pPr>
            <w:r>
              <w:rPr>
                <w:sz w:val="4"/>
                <w:szCs w:val="4"/>
              </w:rPr>
            </w:r>
          </w:p>
        </w:tc>
        <w:tc>
          <w:tcPr>
            <w:tcW w:w="35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91" w:type="dxa"/>
            <w:tcBorders/>
            <w:shd w:fill="E8F4FF" w:val="clear"/>
            <w:vAlign w:val="center"/>
          </w:tcPr>
          <w:p>
            <w:pPr>
              <w:pStyle w:val="TableContents"/>
              <w:bidi w:val="0"/>
              <w:spacing w:before="0" w:after="283"/>
              <w:jc w:val="left"/>
              <w:rPr>
                <w:sz w:val="4"/>
                <w:szCs w:val="4"/>
              </w:rPr>
            </w:pPr>
            <w:r>
              <w:rPr>
                <w:sz w:val="4"/>
                <w:szCs w:val="4"/>
              </w:rPr>
            </w:r>
          </w:p>
        </w:tc>
        <w:tc>
          <w:tcPr>
            <w:tcW w:w="1039"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83" w:type="dxa"/>
            <w:tcBorders/>
            <w:shd w:fill="E8F4FF" w:val="clear"/>
            <w:vAlign w:val="center"/>
          </w:tcPr>
          <w:p>
            <w:pPr>
              <w:pStyle w:val="TableContents"/>
              <w:bidi w:val="0"/>
              <w:spacing w:before="0" w:after="283"/>
              <w:jc w:val="left"/>
              <w:rPr>
                <w:sz w:val="4"/>
                <w:szCs w:val="4"/>
              </w:rPr>
            </w:pPr>
            <w:r>
              <w:rPr>
                <w:sz w:val="4"/>
                <w:szCs w:val="4"/>
              </w:rPr>
            </w:r>
          </w:p>
        </w:tc>
        <w:tc>
          <w:tcPr>
            <w:tcW w:w="6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8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pPr>
            <w:r>
              <w:rPr/>
              <w:t> </w:t>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212"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78" w:type="dxa"/>
            <w:tcBorders/>
            <w:shd w:fill="E8F4FF" w:val="clear"/>
            <w:vAlign w:val="center"/>
          </w:tcPr>
          <w:p>
            <w:pPr>
              <w:pStyle w:val="TableContents"/>
              <w:bidi w:val="0"/>
              <w:spacing w:before="0" w:after="283"/>
              <w:jc w:val="left"/>
              <w:rPr/>
            </w:pPr>
            <w:r>
              <w:rPr/>
              <w:t> </w:t>
            </w:r>
          </w:p>
        </w:tc>
        <w:tc>
          <w:tcPr>
            <w:tcW w:w="1052" w:type="dxa"/>
            <w:tcBorders/>
            <w:shd w:fill="E8F4FF" w:val="clear"/>
            <w:vAlign w:val="center"/>
          </w:tcPr>
          <w:p>
            <w:pPr>
              <w:pStyle w:val="TableContents"/>
              <w:bidi w:val="0"/>
              <w:spacing w:before="0" w:after="283"/>
              <w:jc w:val="right"/>
              <w:rPr/>
            </w:pPr>
            <w:r>
              <w:rPr/>
              <w:t>140,608</w:t>
            </w:r>
          </w:p>
        </w:tc>
        <w:tc>
          <w:tcPr>
            <w:tcW w:w="350" w:type="dxa"/>
            <w:tcBorders/>
            <w:shd w:fill="E8F4FF" w:val="clear"/>
            <w:vAlign w:val="center"/>
          </w:tcPr>
          <w:p>
            <w:pPr>
              <w:pStyle w:val="TableContents"/>
              <w:bidi w:val="0"/>
              <w:spacing w:before="0" w:after="283"/>
              <w:jc w:val="left"/>
              <w:rPr/>
            </w:pPr>
            <w:r>
              <w:rPr/>
              <w:t>(5) </w:t>
            </w:r>
          </w:p>
        </w:tc>
        <w:tc>
          <w:tcPr>
            <w:tcW w:w="60" w:type="dxa"/>
            <w:tcBorders/>
            <w:shd w:fill="E8F4FF" w:val="clear"/>
            <w:vAlign w:val="center"/>
          </w:tcPr>
          <w:p>
            <w:pPr>
              <w:pStyle w:val="TableContents"/>
              <w:bidi w:val="0"/>
              <w:spacing w:before="0" w:after="283"/>
              <w:jc w:val="left"/>
              <w:rPr/>
            </w:pPr>
            <w:r>
              <w:rPr/>
              <w:t> </w:t>
            </w:r>
          </w:p>
        </w:tc>
        <w:tc>
          <w:tcPr>
            <w:tcW w:w="65" w:type="dxa"/>
            <w:tcBorders/>
            <w:shd w:fill="E8F4FF" w:val="clear"/>
            <w:vAlign w:val="center"/>
          </w:tcPr>
          <w:p>
            <w:pPr>
              <w:pStyle w:val="TableContents"/>
              <w:bidi w:val="0"/>
              <w:spacing w:before="0" w:after="283"/>
              <w:jc w:val="left"/>
              <w:rPr/>
            </w:pPr>
            <w:r>
              <w:rPr/>
              <w:t> </w:t>
            </w:r>
          </w:p>
        </w:tc>
        <w:tc>
          <w:tcPr>
            <w:tcW w:w="1065" w:type="dxa"/>
            <w:tcBorders/>
            <w:shd w:fill="E8F4FF" w:val="clear"/>
            <w:vAlign w:val="center"/>
          </w:tcPr>
          <w:p>
            <w:pPr>
              <w:pStyle w:val="TableContents"/>
              <w:bidi w:val="0"/>
              <w:spacing w:before="0" w:after="283"/>
              <w:jc w:val="right"/>
              <w:rPr/>
            </w:pPr>
            <w:r>
              <w:rPr/>
              <w:t>2,899,337</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6" w:space="0" w:color="2393FF"/>
            </w:tcBorders>
            <w:tcMar>
              <w:bottom w:w="120" w:type="dxa"/>
            </w:tcMar>
            <w:vAlign w:val="center"/>
          </w:tcPr>
          <w:p>
            <w:pPr>
              <w:pStyle w:val="TableContents"/>
              <w:bidi w:val="0"/>
              <w:spacing w:before="0" w:after="0"/>
              <w:jc w:val="left"/>
              <w:rPr>
                <w:rFonts w:ascii="ARIAL" w:hAnsi="ARIAL"/>
                <w:b/>
                <w:color w:val="2393FF"/>
                <w:sz w:val="16"/>
              </w:rPr>
            </w:pPr>
            <w:r>
              <w:rPr>
                <w:rFonts w:ascii="ARIAL" w:hAnsi="ARIAL"/>
                <w:b/>
                <w:color w:val="2393FF"/>
                <w:sz w:val="16"/>
              </w:rPr>
              <w:t>Michael Ellis</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67" w:type="dxa"/>
            <w:tcBorders>
              <w:bottom w:val="single" w:sz="6" w:space="0" w:color="2393FF"/>
            </w:tcBorders>
            <w:tcMar>
              <w:bottom w:w="120" w:type="dxa"/>
            </w:tcMar>
            <w:vAlign w:val="center"/>
          </w:tcPr>
          <w:p>
            <w:pPr>
              <w:pStyle w:val="TableContents"/>
              <w:bidi w:val="0"/>
              <w:spacing w:before="0" w:after="283"/>
              <w:jc w:val="left"/>
              <w:rPr/>
            </w:pPr>
            <w:r>
              <w:rPr/>
              <w:t> </w:t>
            </w:r>
          </w:p>
        </w:tc>
        <w:tc>
          <w:tcPr>
            <w:tcW w:w="898" w:type="dxa"/>
            <w:tcBorders>
              <w:bottom w:val="single" w:sz="6" w:space="0" w:color="2393FF"/>
            </w:tcBorders>
            <w:tcMar>
              <w:bottom w:w="120" w:type="dxa"/>
            </w:tcMar>
            <w:vAlign w:val="center"/>
          </w:tcPr>
          <w:p>
            <w:pPr>
              <w:pStyle w:val="TableContents"/>
              <w:bidi w:val="0"/>
              <w:spacing w:before="0" w:after="283"/>
              <w:jc w:val="right"/>
              <w:rPr/>
            </w:pPr>
            <w:r>
              <w:rPr/>
              <w:t>319,628</w:t>
            </w:r>
          </w:p>
        </w:tc>
        <w:tc>
          <w:tcPr>
            <w:tcW w:w="350" w:type="dxa"/>
            <w:tcBorders>
              <w:bottom w:val="single" w:sz="6" w:space="0" w:color="2393FF"/>
            </w:tcBorders>
            <w:tcMar>
              <w:bottom w:w="120" w:type="dxa"/>
            </w:tcMar>
            <w:vAlign w:val="center"/>
          </w:tcPr>
          <w:p>
            <w:pPr>
              <w:pStyle w:val="TableContents"/>
              <w:bidi w:val="0"/>
              <w:spacing w:before="0" w:after="283"/>
              <w:jc w:val="left"/>
              <w:rPr/>
            </w:pPr>
            <w:r>
              <w:rPr/>
              <w:t>(7)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91" w:type="dxa"/>
            <w:tcBorders>
              <w:bottom w:val="single" w:sz="6" w:space="0" w:color="2393FF"/>
            </w:tcBorders>
            <w:tcMar>
              <w:bottom w:w="120" w:type="dxa"/>
            </w:tcMar>
            <w:vAlign w:val="center"/>
          </w:tcPr>
          <w:p>
            <w:pPr>
              <w:pStyle w:val="TableContents"/>
              <w:bidi w:val="0"/>
              <w:spacing w:before="0" w:after="283"/>
              <w:jc w:val="left"/>
              <w:rPr/>
            </w:pPr>
            <w:r>
              <w:rPr/>
              <w:t> </w:t>
            </w:r>
          </w:p>
        </w:tc>
        <w:tc>
          <w:tcPr>
            <w:tcW w:w="1039" w:type="dxa"/>
            <w:tcBorders>
              <w:bottom w:val="single" w:sz="6" w:space="0" w:color="2393FF"/>
            </w:tcBorders>
            <w:tcMar>
              <w:bottom w:w="120" w:type="dxa"/>
            </w:tcMar>
            <w:vAlign w:val="center"/>
          </w:tcPr>
          <w:p>
            <w:pPr>
              <w:pStyle w:val="TableContents"/>
              <w:bidi w:val="0"/>
              <w:spacing w:before="0" w:after="283"/>
              <w:jc w:val="right"/>
              <w:rPr/>
            </w:pPr>
            <w:r>
              <w:rPr/>
              <w:t>—</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83" w:type="dxa"/>
            <w:tcBorders>
              <w:bottom w:val="single" w:sz="6" w:space="0" w:color="2393FF"/>
            </w:tcBorders>
            <w:tcMar>
              <w:bottom w:w="120" w:type="dxa"/>
            </w:tcMar>
            <w:vAlign w:val="center"/>
          </w:tcPr>
          <w:p>
            <w:pPr>
              <w:pStyle w:val="TableContents"/>
              <w:bidi w:val="0"/>
              <w:spacing w:before="0" w:after="283"/>
              <w:jc w:val="left"/>
              <w:rPr/>
            </w:pPr>
            <w:r>
              <w:rPr/>
              <w:t> </w:t>
            </w:r>
          </w:p>
        </w:tc>
        <w:tc>
          <w:tcPr>
            <w:tcW w:w="612" w:type="dxa"/>
            <w:tcBorders>
              <w:bottom w:val="single" w:sz="6" w:space="0" w:color="2393FF"/>
            </w:tcBorders>
            <w:tcMar>
              <w:bottom w:w="120" w:type="dxa"/>
            </w:tcMar>
            <w:vAlign w:val="center"/>
          </w:tcPr>
          <w:p>
            <w:pPr>
              <w:pStyle w:val="TableContents"/>
              <w:bidi w:val="0"/>
              <w:spacing w:before="0" w:after="283"/>
              <w:jc w:val="right"/>
              <w:rPr/>
            </w:pPr>
            <w:r>
              <w:rPr/>
              <w:t>3.95</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860" w:type="dxa"/>
            <w:tcBorders>
              <w:bottom w:val="single" w:sz="6" w:space="0" w:color="2393FF"/>
            </w:tcBorders>
            <w:tcMar>
              <w:bottom w:w="120" w:type="dxa"/>
            </w:tcMar>
            <w:vAlign w:val="center"/>
          </w:tcPr>
          <w:p>
            <w:pPr>
              <w:pStyle w:val="TableContents"/>
              <w:bidi w:val="0"/>
              <w:spacing w:before="0" w:after="283"/>
              <w:jc w:val="right"/>
              <w:rPr/>
            </w:pPr>
            <w:r>
              <w:rPr/>
              <w:t>4/5/25</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212" w:type="dxa"/>
            <w:tcBorders>
              <w:bottom w:val="single" w:sz="6" w:space="0" w:color="2393FF"/>
            </w:tcBorders>
            <w:tcMar>
              <w:bottom w:w="28" w:type="dxa"/>
            </w:tcMar>
            <w:vAlign w:val="center"/>
          </w:tcPr>
          <w:p>
            <w:pPr>
              <w:pStyle w:val="TableContents"/>
              <w:bidi w:val="0"/>
              <w:spacing w:before="0" w:after="283"/>
              <w:jc w:val="left"/>
              <w:rPr/>
            </w:pPr>
            <w:r>
              <w:rPr/>
              <w:t> </w:t>
            </w:r>
          </w:p>
        </w:tc>
        <w:tc>
          <w:tcPr>
            <w:tcW w:w="212" w:type="dxa"/>
            <w:tcBorders>
              <w:bottom w:val="single" w:sz="6" w:space="0" w:color="2393FF"/>
            </w:tcBorders>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78" w:type="dxa"/>
            <w:tcBorders>
              <w:bottom w:val="single" w:sz="6" w:space="0" w:color="2393FF"/>
            </w:tcBorders>
            <w:tcMar>
              <w:bottom w:w="120" w:type="dxa"/>
            </w:tcMar>
            <w:vAlign w:val="center"/>
          </w:tcPr>
          <w:p>
            <w:pPr>
              <w:pStyle w:val="TableContents"/>
              <w:bidi w:val="0"/>
              <w:spacing w:before="0" w:after="283"/>
              <w:jc w:val="left"/>
              <w:rPr/>
            </w:pPr>
            <w:r>
              <w:rPr/>
              <w:t> </w:t>
            </w:r>
          </w:p>
        </w:tc>
        <w:tc>
          <w:tcPr>
            <w:tcW w:w="1052" w:type="dxa"/>
            <w:tcBorders>
              <w:bottom w:val="single" w:sz="6" w:space="0" w:color="2393FF"/>
            </w:tcBorders>
            <w:tcMar>
              <w:bottom w:w="120" w:type="dxa"/>
            </w:tcMar>
            <w:vAlign w:val="center"/>
          </w:tcPr>
          <w:p>
            <w:pPr>
              <w:pStyle w:val="TableContents"/>
              <w:bidi w:val="0"/>
              <w:spacing w:before="0" w:after="283"/>
              <w:jc w:val="right"/>
              <w:rPr/>
            </w:pPr>
            <w:r>
              <w:rPr/>
              <w:t>—</w:t>
            </w:r>
          </w:p>
        </w:tc>
        <w:tc>
          <w:tcPr>
            <w:tcW w:w="350" w:type="dxa"/>
            <w:tcBorders>
              <w:bottom w:val="single" w:sz="6" w:space="0" w:color="2393FF"/>
            </w:tcBorders>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65" w:type="dxa"/>
            <w:tcBorders>
              <w:bottom w:val="single" w:sz="6" w:space="0" w:color="2393FF"/>
            </w:tcBorders>
            <w:tcMar>
              <w:bottom w:w="120" w:type="dxa"/>
            </w:tcMar>
            <w:vAlign w:val="center"/>
          </w:tcPr>
          <w:p>
            <w:pPr>
              <w:pStyle w:val="TableContents"/>
              <w:bidi w:val="0"/>
              <w:spacing w:before="0" w:after="283"/>
              <w:jc w:val="left"/>
              <w:rPr/>
            </w:pPr>
            <w:r>
              <w:rPr/>
              <w:t> </w:t>
            </w:r>
          </w:p>
        </w:tc>
        <w:tc>
          <w:tcPr>
            <w:tcW w:w="1065" w:type="dxa"/>
            <w:tcBorders>
              <w:bottom w:val="single" w:sz="6" w:space="0" w:color="2393FF"/>
            </w:tcBorders>
            <w:tcMar>
              <w:bottom w:w="120" w:type="dxa"/>
            </w:tcMar>
            <w:vAlign w:val="center"/>
          </w:tcPr>
          <w:p>
            <w:pPr>
              <w:pStyle w:val="TableContents"/>
              <w:bidi w:val="0"/>
              <w:spacing w:before="0" w:after="283"/>
              <w:jc w:val="right"/>
              <w:rPr/>
            </w:pPr>
            <w:r>
              <w:rPr/>
              <w:t>—</w:t>
            </w:r>
          </w:p>
        </w:tc>
        <w:tc>
          <w:tcPr>
            <w:tcW w:w="75" w:type="dxa"/>
            <w:tcBorders>
              <w:bottom w:val="single" w:sz="6" w:space="0" w:color="2393FF"/>
            </w:tcBorders>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333333"/>
              </w:rPr>
            </w:pPr>
            <w:r>
              <w:rPr>
                <w:color w:val="333333"/>
              </w:rPr>
              <w:t>(1)</w:t>
            </w:r>
          </w:p>
        </w:tc>
        <w:tc>
          <w:tcPr>
            <w:tcW w:w="996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Computed in accordance with SEC rules as the number of shares of common stock underlying unvested RSUs multiplied by the closing market price per share of our common stock on December 31, 2024, which was the last trading day of 2024, which was $20.62 per share. The actual value (if any) to be realized by the NEO depends on whether the RSUs vest and the future performance of our common stock. Each of the RSUs vest if we are acquired and the NEO is either terminated without cause or voluntarily resigns for good reason under certain circumstances following our change of control, as discussed in more detail below under Fiscal 2023 Potential Payments Upon Termination or Change in Control.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  38  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color w:val="333333"/>
              </w:rPr>
            </w:pPr>
            <w:r>
              <w:rPr>
                <w:color w:val="333333"/>
              </w:rPr>
              <w:t>(2)</w:t>
            </w:r>
          </w:p>
        </w:tc>
        <w:tc>
          <w:tcPr>
            <w:tcW w:w="9907"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The shares originally subject to this option vest in substantially equal monthly installments over the next 48 months of continuous service to Flywire after January 21, 2021.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color w:val="333333"/>
              </w:rPr>
            </w:pPr>
            <w:r>
              <w:rPr>
                <w:color w:val="333333"/>
              </w:rPr>
              <w:t>(3)</w:t>
            </w:r>
          </w:p>
        </w:tc>
        <w:tc>
          <w:tcPr>
            <w:tcW w:w="9903"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The shares subject to this option vest in substantially equal monthly installments over the next 60 months of continuous service to Flywire after January 21, 2021.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color w:val="333333"/>
              </w:rPr>
            </w:pPr>
            <w:r>
              <w:rPr>
                <w:color w:val="333333"/>
              </w:rPr>
              <w:t>(4)</w:t>
            </w:r>
          </w:p>
        </w:tc>
        <w:tc>
          <w:tcPr>
            <w:tcW w:w="9916"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Time-based restricted stock units vest 25% on March 4, 2023 and the remaining 75% in substantially equal quarterly installments over the next 36 months of continuous service to Flywire thereafter.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color w:val="333333"/>
              </w:rPr>
            </w:pPr>
            <w:r>
              <w:rPr>
                <w:color w:val="333333"/>
              </w:rPr>
              <w:t>(5)</w:t>
            </w:r>
          </w:p>
        </w:tc>
        <w:tc>
          <w:tcPr>
            <w:tcW w:w="9916"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Time-based restricted stock units vest 25% on March 1, 2024 and the remaining 75% in substantially equal quarterly installments over the next 36 months of continuous service to Flywire thereafter.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color w:val="333333"/>
              </w:rPr>
            </w:pPr>
            <w:r>
              <w:rPr>
                <w:color w:val="333333"/>
              </w:rPr>
              <w:t>(6)</w:t>
            </w:r>
          </w:p>
        </w:tc>
        <w:tc>
          <w:tcPr>
            <w:tcW w:w="9916"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Time-based restricted stock units vest 25% on March 1, 2025 and the remaining 75% in substantially equal quarterly installments over the next 36 months of continuous service to Flywire thereafter.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color w:val="333333"/>
              </w:rPr>
            </w:pPr>
            <w:r>
              <w:rPr>
                <w:color w:val="333333"/>
              </w:rPr>
              <w:t>(7)</w:t>
            </w:r>
          </w:p>
        </w:tc>
        <w:tc>
          <w:tcPr>
            <w:tcW w:w="9916"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The share subject to this option vest 25% on January 21, 2022 and the remaining 75% in substantially equal monthly installments over the next 36 months of continuous service to Flywire thereafter.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color w:val="333333"/>
              </w:rPr>
            </w:pPr>
            <w:r>
              <w:rPr>
                <w:color w:val="333333"/>
              </w:rPr>
              <w:t>(8)</w:t>
            </w:r>
          </w:p>
        </w:tc>
        <w:tc>
          <w:tcPr>
            <w:tcW w:w="994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Time-based restricted stock units vest 35% on March 4, 2025, with the balance vesting in quarterly installments over the next 12 months of continuous service to Flywire such that 28% of the shares vest in the second year, 22% of the shares vest in the third year and the remaining 15% of the shares vest in the fourth year. </w:t>
            </w:r>
          </w:p>
        </w:tc>
      </w:tr>
    </w:tbl>
    <w:p>
      <w:pPr>
        <w:pStyle w:val="TextBody"/>
        <w:bidi w:val="0"/>
        <w:spacing w:before="120" w:after="0"/>
        <w:jc w:val="left"/>
        <w:rPr>
          <w:rFonts w:ascii="ARIAL" w:hAnsi="ARIAL"/>
          <w:sz w:val="18"/>
        </w:rPr>
      </w:pPr>
      <w:bookmarkStart w:id="43" w:name="toc917810_41"/>
      <w:bookmarkEnd w:id="43"/>
      <w:r>
        <w:rPr>
          <w:rFonts w:ascii="ARIAL" w:hAnsi="ARIAL"/>
          <w:sz w:val="18"/>
        </w:rPr>
        <w:t xml:space="preserve">FISCAL 2024 OPTION EXERCISES AND STOCK VESTED TABLE </w:t>
      </w:r>
    </w:p>
    <w:p>
      <w:pPr>
        <w:pStyle w:val="TextBody"/>
        <w:bidi w:val="0"/>
        <w:spacing w:before="120" w:after="0"/>
        <w:jc w:val="left"/>
        <w:rPr>
          <w:rFonts w:ascii="ARIAL" w:hAnsi="ARIAL"/>
          <w:sz w:val="18"/>
        </w:rPr>
      </w:pPr>
      <w:r>
        <w:rPr>
          <w:rFonts w:ascii="ARIAL" w:hAnsi="ARIAL"/>
          <w:sz w:val="18"/>
        </w:rPr>
        <w:t xml:space="preserve">The following table presents certain information regarding options exercised and common stock received upon vesting of restricted stock unit awards by our NEOs during Fiscal 2024. </w:t>
      </w:r>
    </w:p>
    <w:p>
      <w:pPr>
        <w:pStyle w:val="TextBody"/>
        <w:bidi w:val="0"/>
        <w:spacing w:before="0" w:after="0"/>
        <w:jc w:val="left"/>
        <w:rPr/>
      </w:pPr>
      <w:r>
        <w:rPr/>
        <w:t> </w:t>
      </w:r>
    </w:p>
    <w:tbl>
      <w:tblPr>
        <w:tblW w:w="8058" w:type="dxa"/>
        <w:jc w:val="left"/>
        <w:tblInd w:w="0" w:type="dxa"/>
        <w:tblLayout w:type="fixed"/>
        <w:tblCellMar>
          <w:top w:w="0" w:type="dxa"/>
          <w:left w:w="0" w:type="dxa"/>
          <w:bottom w:w="0" w:type="dxa"/>
          <w:right w:w="0" w:type="dxa"/>
        </w:tblCellMar>
      </w:tblPr>
      <w:tblGrid>
        <w:gridCol w:w="1340"/>
        <w:gridCol w:w="120"/>
        <w:gridCol w:w="116"/>
        <w:gridCol w:w="1554"/>
        <w:gridCol w:w="61"/>
        <w:gridCol w:w="122"/>
        <w:gridCol w:w="66"/>
        <w:gridCol w:w="1079"/>
        <w:gridCol w:w="60"/>
        <w:gridCol w:w="120"/>
        <w:gridCol w:w="130"/>
        <w:gridCol w:w="130"/>
        <w:gridCol w:w="60"/>
        <w:gridCol w:w="120"/>
        <w:gridCol w:w="110"/>
        <w:gridCol w:w="1470"/>
        <w:gridCol w:w="60"/>
        <w:gridCol w:w="120"/>
        <w:gridCol w:w="66"/>
        <w:gridCol w:w="1079"/>
        <w:gridCol w:w="7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2998" w:type="dxa"/>
            <w:gridSpan w:val="6"/>
            <w:tcBorders>
              <w:bottom w:val="single" w:sz="6" w:space="0" w:color="2393FF"/>
            </w:tcBorders>
            <w:tcMar>
              <w:bottom w:w="60" w:type="dxa"/>
            </w:tcMar>
            <w:vAlign w:val="center"/>
          </w:tcPr>
          <w:p>
            <w:pPr>
              <w:pStyle w:val="TableContents"/>
              <w:bidi w:val="0"/>
              <w:spacing w:before="0" w:after="283"/>
              <w:jc w:val="center"/>
              <w:rPr>
                <w:b/>
              </w:rPr>
            </w:pPr>
            <w:r>
              <w:rPr>
                <w:b/>
              </w:rPr>
              <w:t>OPTION AWARDS</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2905" w:type="dxa"/>
            <w:gridSpan w:val="6"/>
            <w:tcBorders>
              <w:bottom w:val="single" w:sz="6" w:space="0" w:color="2393FF"/>
            </w:tcBorders>
            <w:tcMar>
              <w:bottom w:w="60" w:type="dxa"/>
            </w:tcMar>
            <w:vAlign w:val="center"/>
          </w:tcPr>
          <w:p>
            <w:pPr>
              <w:pStyle w:val="TableContents"/>
              <w:bidi w:val="0"/>
              <w:spacing w:before="0" w:after="283"/>
              <w:jc w:val="center"/>
              <w:rPr>
                <w:b/>
              </w:rPr>
            </w:pPr>
            <w:r>
              <w:rPr>
                <w:b/>
              </w:rPr>
              <w:t xml:space="preserve">STOCK AWARDS </w:t>
            </w:r>
          </w:p>
        </w:tc>
        <w:tc>
          <w:tcPr>
            <w:tcW w:w="75" w:type="dxa"/>
            <w:tcBorders>
              <w:bottom w:val="single" w:sz="6" w:space="0" w:color="2393FF"/>
            </w:tcBorders>
            <w:tcMar>
              <w:bottom w:w="28" w:type="dxa"/>
            </w:tcM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851" w:type="dxa"/>
            <w:gridSpan w:val="4"/>
            <w:tcBorders/>
            <w:vAlign w:val="center"/>
          </w:tcPr>
          <w:p>
            <w:pPr>
              <w:pStyle w:val="TableContents"/>
              <w:bidi w:val="0"/>
              <w:spacing w:before="0" w:after="283"/>
              <w:jc w:val="left"/>
              <w:rPr>
                <w:sz w:val="4"/>
                <w:szCs w:val="4"/>
              </w:rPr>
            </w:pPr>
            <w:r>
              <w:rPr>
                <w:sz w:val="4"/>
                <w:szCs w:val="4"/>
              </w:rPr>
            </w:r>
          </w:p>
        </w:tc>
        <w:tc>
          <w:tcPr>
            <w:tcW w:w="1327" w:type="dxa"/>
            <w:gridSpan w:val="4"/>
            <w:tcBorders/>
            <w:vAlign w:val="center"/>
          </w:tcPr>
          <w:p>
            <w:pPr>
              <w:pStyle w:val="TableContents"/>
              <w:bidi w:val="0"/>
              <w:spacing w:before="0" w:after="283"/>
              <w:jc w:val="left"/>
              <w:rPr>
                <w:sz w:val="4"/>
                <w:szCs w:val="4"/>
              </w:rPr>
            </w:pPr>
            <w:r>
              <w:rPr>
                <w:sz w:val="4"/>
                <w:szCs w:val="4"/>
              </w:rPr>
            </w:r>
          </w:p>
        </w:tc>
        <w:tc>
          <w:tcPr>
            <w:tcW w:w="44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r>
              <w:rPr>
                <w:b/>
              </w:rPr>
              <w:t>NAME</w:t>
            </w:r>
          </w:p>
        </w:tc>
        <w:tc>
          <w:tcPr>
            <w:tcW w:w="12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0"/>
              <w:jc w:val="center"/>
              <w:rPr>
                <w:rFonts w:ascii="ARIAL" w:hAnsi="ARIAL"/>
                <w:b/>
                <w:sz w:val="14"/>
              </w:rPr>
            </w:pPr>
            <w:r>
              <w:rPr>
                <w:rFonts w:ascii="ARIAL" w:hAnsi="ARIAL"/>
                <w:b/>
                <w:sz w:val="14"/>
              </w:rPr>
              <w:t>NUMBER OF SHARES</w:t>
            </w:r>
          </w:p>
          <w:p>
            <w:pPr>
              <w:pStyle w:val="TableContents"/>
              <w:bidi w:val="0"/>
              <w:spacing w:before="0" w:after="0"/>
              <w:jc w:val="center"/>
              <w:rPr>
                <w:rFonts w:ascii="ARIAL" w:hAnsi="ARIAL"/>
                <w:b/>
                <w:sz w:val="14"/>
              </w:rPr>
            </w:pPr>
            <w:r>
              <w:rPr>
                <w:rFonts w:ascii="ARIAL" w:hAnsi="ARIAL"/>
                <w:b/>
                <w:sz w:val="14"/>
              </w:rPr>
              <w:t>ACQUIRED ON EXERCISE</w:t>
            </w:r>
          </w:p>
          <w:p>
            <w:pPr>
              <w:pStyle w:val="TableContents"/>
              <w:bidi w:val="0"/>
              <w:spacing w:before="0" w:after="20"/>
              <w:jc w:val="center"/>
              <w:rPr>
                <w:rFonts w:ascii="ARIAL" w:hAnsi="ARIAL"/>
                <w:b/>
                <w:sz w:val="14"/>
              </w:rPr>
            </w:pPr>
            <w:r>
              <w:rPr>
                <w:rFonts w:ascii="ARIAL" w:hAnsi="ARIAL"/>
                <w:b/>
                <w:sz w:val="14"/>
              </w:rPr>
              <w:t>(#)</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0"/>
              <w:jc w:val="right"/>
              <w:rPr>
                <w:rFonts w:ascii="ARIAL" w:hAnsi="ARIAL"/>
                <w:b/>
                <w:sz w:val="14"/>
              </w:rPr>
            </w:pPr>
            <w:r>
              <w:rPr>
                <w:rFonts w:ascii="ARIAL" w:hAnsi="ARIAL"/>
                <w:b/>
                <w:sz w:val="14"/>
              </w:rPr>
              <w:t>VALUE REALIZED</w:t>
            </w:r>
          </w:p>
          <w:p>
            <w:pPr>
              <w:pStyle w:val="TableContents"/>
              <w:bidi w:val="0"/>
              <w:spacing w:before="0" w:after="0"/>
              <w:jc w:val="right"/>
              <w:rPr>
                <w:rFonts w:ascii="ARIAL" w:hAnsi="ARIAL"/>
                <w:b/>
                <w:sz w:val="14"/>
              </w:rPr>
            </w:pPr>
            <w:r>
              <w:rPr>
                <w:rFonts w:ascii="ARIAL" w:hAnsi="ARIAL"/>
                <w:b/>
                <w:sz w:val="14"/>
              </w:rPr>
              <w:t>ON EXERCISE </w:t>
            </w:r>
          </w:p>
          <w:p>
            <w:pPr>
              <w:pStyle w:val="TableContents"/>
              <w:bidi w:val="0"/>
              <w:spacing w:before="0" w:after="20"/>
              <w:jc w:val="right"/>
              <w:rPr>
                <w:rFonts w:ascii="ARIAL" w:hAnsi="ARIAL"/>
                <w:b/>
                <w:sz w:val="14"/>
              </w:rPr>
            </w:pPr>
            <w:r>
              <w:rPr>
                <w:rFonts w:ascii="ARIAL" w:hAnsi="ARIAL"/>
                <w:b/>
                <w:sz w:val="14"/>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0"/>
              <w:jc w:val="center"/>
              <w:rPr>
                <w:rFonts w:ascii="ARIAL" w:hAnsi="ARIAL"/>
                <w:b/>
                <w:sz w:val="14"/>
              </w:rPr>
            </w:pPr>
            <w:r>
              <w:rPr>
                <w:rFonts w:ascii="ARIAL" w:hAnsi="ARIAL"/>
                <w:b/>
                <w:sz w:val="14"/>
              </w:rPr>
              <w:t>NUMBER OF SHARES</w:t>
            </w:r>
          </w:p>
          <w:p>
            <w:pPr>
              <w:pStyle w:val="TableContents"/>
              <w:bidi w:val="0"/>
              <w:spacing w:before="0" w:after="0"/>
              <w:jc w:val="center"/>
              <w:rPr>
                <w:rFonts w:ascii="ARIAL" w:hAnsi="ARIAL"/>
                <w:b/>
                <w:sz w:val="14"/>
              </w:rPr>
            </w:pPr>
            <w:r>
              <w:rPr>
                <w:rFonts w:ascii="ARIAL" w:hAnsi="ARIAL"/>
                <w:b/>
                <w:sz w:val="14"/>
              </w:rPr>
              <w:t>ACQUIRED ON VESTING</w:t>
            </w:r>
          </w:p>
          <w:p>
            <w:pPr>
              <w:pStyle w:val="TableContents"/>
              <w:bidi w:val="0"/>
              <w:spacing w:before="0" w:after="20"/>
              <w:jc w:val="center"/>
              <w:rPr>
                <w:rFonts w:ascii="ARIAL" w:hAnsi="ARIAL"/>
                <w:b/>
                <w:sz w:val="14"/>
              </w:rPr>
            </w:pPr>
            <w:r>
              <w:rPr>
                <w:rFonts w:ascii="ARIAL" w:hAnsi="ARIAL"/>
                <w:b/>
                <w:sz w:val="14"/>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0"/>
              <w:jc w:val="right"/>
              <w:rPr>
                <w:rFonts w:ascii="ARIAL" w:hAnsi="ARIAL"/>
                <w:b/>
                <w:sz w:val="14"/>
              </w:rPr>
            </w:pPr>
            <w:r>
              <w:rPr>
                <w:rFonts w:ascii="ARIAL" w:hAnsi="ARIAL"/>
                <w:b/>
                <w:sz w:val="14"/>
              </w:rPr>
              <w:t>VALUE REALIZED</w:t>
            </w:r>
          </w:p>
          <w:p>
            <w:pPr>
              <w:pStyle w:val="TableContents"/>
              <w:bidi w:val="0"/>
              <w:spacing w:before="0" w:after="0"/>
              <w:jc w:val="right"/>
              <w:rPr>
                <w:rFonts w:ascii="ARIAL" w:hAnsi="ARIAL"/>
                <w:b/>
                <w:sz w:val="14"/>
              </w:rPr>
            </w:pPr>
            <w:r>
              <w:rPr>
                <w:rFonts w:ascii="ARIAL" w:hAnsi="ARIAL"/>
                <w:b/>
                <w:sz w:val="14"/>
              </w:rPr>
              <w:t xml:space="preserve">ON VESTING </w:t>
            </w:r>
          </w:p>
          <w:p>
            <w:pPr>
              <w:pStyle w:val="TableContents"/>
              <w:bidi w:val="0"/>
              <w:spacing w:before="0" w:after="20"/>
              <w:jc w:val="right"/>
              <w:rPr>
                <w:rFonts w:ascii="ARIAL" w:hAnsi="ARIAL"/>
                <w:b/>
                <w:sz w:val="14"/>
              </w:rPr>
            </w:pPr>
            <w:r>
              <w:rPr>
                <w:rFonts w:ascii="ARIAL" w:hAnsi="ARIAL"/>
                <w:b/>
                <w:sz w:val="14"/>
              </w:rPr>
              <w:t xml:space="preserve">($)(1) </w:t>
            </w:r>
          </w:p>
        </w:tc>
        <w:tc>
          <w:tcPr>
            <w:tcW w:w="7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851" w:type="dxa"/>
            <w:gridSpan w:val="4"/>
            <w:tcBorders/>
            <w:shd w:fill="E8F4FF" w:val="clear"/>
            <w:vAlign w:val="center"/>
          </w:tcPr>
          <w:p>
            <w:pPr>
              <w:pStyle w:val="TableContents"/>
              <w:bidi w:val="0"/>
              <w:spacing w:before="0" w:after="283"/>
              <w:jc w:val="left"/>
              <w:rPr>
                <w:sz w:val="4"/>
                <w:szCs w:val="4"/>
              </w:rPr>
            </w:pPr>
            <w:r>
              <w:rPr>
                <w:sz w:val="4"/>
                <w:szCs w:val="4"/>
              </w:rPr>
            </w:r>
          </w:p>
        </w:tc>
        <w:tc>
          <w:tcPr>
            <w:tcW w:w="1327" w:type="dxa"/>
            <w:gridSpan w:val="4"/>
            <w:tcBorders/>
            <w:shd w:fill="E8F4FF" w:val="clear"/>
            <w:vAlign w:val="center"/>
          </w:tcPr>
          <w:p>
            <w:pPr>
              <w:pStyle w:val="TableContents"/>
              <w:bidi w:val="0"/>
              <w:spacing w:before="0" w:after="283"/>
              <w:jc w:val="left"/>
              <w:rPr>
                <w:sz w:val="4"/>
                <w:szCs w:val="4"/>
              </w:rPr>
            </w:pPr>
            <w:r>
              <w:rPr>
                <w:sz w:val="4"/>
                <w:szCs w:val="4"/>
              </w:rPr>
            </w:r>
          </w:p>
        </w:tc>
        <w:tc>
          <w:tcPr>
            <w:tcW w:w="440" w:type="dxa"/>
            <w:gridSpan w:val="4"/>
            <w:tcBorders/>
            <w:shd w:fill="E8F4FF" w:val="clear"/>
            <w:vAlign w:val="center"/>
          </w:tcPr>
          <w:p>
            <w:pPr>
              <w:pStyle w:val="TableContents"/>
              <w:bidi w:val="0"/>
              <w:spacing w:before="0" w:after="283"/>
              <w:jc w:val="left"/>
              <w:rPr>
                <w:sz w:val="4"/>
                <w:szCs w:val="4"/>
              </w:rPr>
            </w:pPr>
            <w:r>
              <w:rPr>
                <w:sz w:val="4"/>
                <w:szCs w:val="4"/>
              </w:rPr>
            </w:r>
          </w:p>
        </w:tc>
        <w:tc>
          <w:tcPr>
            <w:tcW w:w="1760" w:type="dxa"/>
            <w:gridSpan w:val="4"/>
            <w:tcBorders/>
            <w:shd w:fill="E8F4FF" w:val="clear"/>
            <w:vAlign w:val="center"/>
          </w:tcPr>
          <w:p>
            <w:pPr>
              <w:pStyle w:val="TableContents"/>
              <w:bidi w:val="0"/>
              <w:spacing w:before="0" w:after="283"/>
              <w:jc w:val="left"/>
              <w:rPr>
                <w:sz w:val="4"/>
                <w:szCs w:val="4"/>
              </w:rPr>
            </w:pPr>
            <w:r>
              <w:rPr>
                <w:sz w:val="4"/>
                <w:szCs w:val="4"/>
              </w:rPr>
            </w:r>
          </w:p>
        </w:tc>
        <w:tc>
          <w:tcPr>
            <w:tcW w:w="1340"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Michael Massaro</w:t>
            </w:r>
          </w:p>
        </w:tc>
        <w:tc>
          <w:tcPr>
            <w:tcW w:w="120" w:type="dxa"/>
            <w:tcBorders/>
            <w:shd w:fill="E8F4FF" w:val="clear"/>
            <w:vAlign w:val="center"/>
          </w:tcPr>
          <w:p>
            <w:pPr>
              <w:pStyle w:val="TableContents"/>
              <w:bidi w:val="0"/>
              <w:spacing w:before="0" w:after="283"/>
              <w:jc w:val="left"/>
              <w:rPr/>
            </w:pPr>
            <w:r>
              <w:rPr/>
              <w:t>  </w:t>
            </w:r>
          </w:p>
        </w:tc>
        <w:tc>
          <w:tcPr>
            <w:tcW w:w="116" w:type="dxa"/>
            <w:tcBorders/>
            <w:shd w:fill="E8F4FF" w:val="clear"/>
            <w:vAlign w:val="center"/>
          </w:tcPr>
          <w:p>
            <w:pPr>
              <w:pStyle w:val="TableContents"/>
              <w:bidi w:val="0"/>
              <w:spacing w:before="0" w:after="283"/>
              <w:jc w:val="left"/>
              <w:rPr/>
            </w:pPr>
            <w:r>
              <w:rPr/>
              <w:t> </w:t>
            </w:r>
          </w:p>
        </w:tc>
        <w:tc>
          <w:tcPr>
            <w:tcW w:w="1554" w:type="dxa"/>
            <w:tcBorders/>
            <w:shd w:fill="E8F4FF" w:val="clear"/>
            <w:vAlign w:val="center"/>
          </w:tcPr>
          <w:p>
            <w:pPr>
              <w:pStyle w:val="TableContents"/>
              <w:bidi w:val="0"/>
              <w:spacing w:before="0" w:after="283"/>
              <w:jc w:val="right"/>
              <w:rPr/>
            </w:pPr>
            <w:r>
              <w:rPr/>
              <w:t>107,538</w:t>
            </w:r>
          </w:p>
        </w:tc>
        <w:tc>
          <w:tcPr>
            <w:tcW w:w="61" w:type="dxa"/>
            <w:tcBorders/>
            <w:shd w:fill="E8F4FF" w:val="clear"/>
            <w:vAlign w:val="center"/>
          </w:tcPr>
          <w:p>
            <w:pPr>
              <w:pStyle w:val="TableContents"/>
              <w:bidi w:val="0"/>
              <w:spacing w:before="0" w:after="283"/>
              <w:jc w:val="left"/>
              <w:rPr/>
            </w:pPr>
            <w:r>
              <w:rPr/>
              <w:t> </w:t>
            </w:r>
          </w:p>
        </w:tc>
        <w:tc>
          <w:tcPr>
            <w:tcW w:w="122" w:type="dxa"/>
            <w:tcBorders/>
            <w:shd w:fill="E8F4FF" w:val="clear"/>
            <w:vAlign w:val="center"/>
          </w:tcPr>
          <w:p>
            <w:pPr>
              <w:pStyle w:val="TableContents"/>
              <w:bidi w:val="0"/>
              <w:spacing w:before="0" w:after="283"/>
              <w:jc w:val="left"/>
              <w:rPr/>
            </w:pPr>
            <w:r>
              <w:rPr/>
              <w:t>  </w:t>
            </w:r>
          </w:p>
        </w:tc>
        <w:tc>
          <w:tcPr>
            <w:tcW w:w="66" w:type="dxa"/>
            <w:tcBorders/>
            <w:shd w:fill="E8F4FF" w:val="clear"/>
            <w:vAlign w:val="center"/>
          </w:tcPr>
          <w:p>
            <w:pPr>
              <w:pStyle w:val="TableContents"/>
              <w:bidi w:val="0"/>
              <w:spacing w:before="0" w:after="283"/>
              <w:jc w:val="left"/>
              <w:rPr/>
            </w:pPr>
            <w:r>
              <w:rPr/>
              <w:t> </w:t>
            </w:r>
          </w:p>
        </w:tc>
        <w:tc>
          <w:tcPr>
            <w:tcW w:w="1079" w:type="dxa"/>
            <w:tcBorders/>
            <w:shd w:fill="E8F4FF" w:val="clear"/>
            <w:vAlign w:val="center"/>
          </w:tcPr>
          <w:p>
            <w:pPr>
              <w:pStyle w:val="TableContents"/>
              <w:bidi w:val="0"/>
              <w:spacing w:before="0" w:after="283"/>
              <w:jc w:val="right"/>
              <w:rPr/>
            </w:pPr>
            <w:r>
              <w:rPr/>
              <w:t>2,092,367</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30" w:type="dxa"/>
            <w:tcBorders/>
            <w:shd w:fill="E8F4FF" w:val="clear"/>
            <w:vAlign w:val="center"/>
          </w:tcPr>
          <w:p>
            <w:pPr>
              <w:pStyle w:val="TableContents"/>
              <w:bidi w:val="0"/>
              <w:spacing w:before="0" w:after="283"/>
              <w:jc w:val="left"/>
              <w:rPr>
                <w:sz w:val="4"/>
                <w:szCs w:val="4"/>
              </w:rPr>
            </w:pPr>
            <w:r>
              <w:rPr>
                <w:sz w:val="4"/>
                <w:szCs w:val="4"/>
              </w:rPr>
            </w:r>
          </w:p>
        </w:tc>
        <w:tc>
          <w:tcPr>
            <w:tcW w:w="13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pPr>
            <w:r>
              <w:rPr/>
              <w:t> </w:t>
            </w:r>
          </w:p>
        </w:tc>
        <w:tc>
          <w:tcPr>
            <w:tcW w:w="1470" w:type="dxa"/>
            <w:tcBorders/>
            <w:shd w:fill="E8F4FF" w:val="clear"/>
            <w:vAlign w:val="center"/>
          </w:tcPr>
          <w:p>
            <w:pPr>
              <w:pStyle w:val="TableContents"/>
              <w:bidi w:val="0"/>
              <w:spacing w:before="0" w:after="283"/>
              <w:jc w:val="right"/>
              <w:rPr/>
            </w:pPr>
            <w:r>
              <w:rPr/>
              <w:t>187,450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6" w:type="dxa"/>
            <w:tcBorders/>
            <w:shd w:fill="E8F4FF" w:val="clear"/>
            <w:vAlign w:val="center"/>
          </w:tcPr>
          <w:p>
            <w:pPr>
              <w:pStyle w:val="TableContents"/>
              <w:bidi w:val="0"/>
              <w:spacing w:before="0" w:after="283"/>
              <w:jc w:val="left"/>
              <w:rPr/>
            </w:pPr>
            <w:r>
              <w:rPr/>
              <w:t> </w:t>
            </w:r>
          </w:p>
        </w:tc>
        <w:tc>
          <w:tcPr>
            <w:tcW w:w="1079" w:type="dxa"/>
            <w:tcBorders/>
            <w:shd w:fill="E8F4FF" w:val="clear"/>
            <w:vAlign w:val="center"/>
          </w:tcPr>
          <w:p>
            <w:pPr>
              <w:pStyle w:val="TableContents"/>
              <w:bidi w:val="0"/>
              <w:spacing w:before="0" w:after="283"/>
              <w:jc w:val="right"/>
              <w:rPr/>
            </w:pPr>
            <w:r>
              <w:rPr/>
              <w:t>4,363,830</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851" w:type="dxa"/>
            <w:gridSpan w:val="4"/>
            <w:tcBorders/>
            <w:vAlign w:val="center"/>
          </w:tcPr>
          <w:p>
            <w:pPr>
              <w:pStyle w:val="TableContents"/>
              <w:bidi w:val="0"/>
              <w:spacing w:before="0" w:after="283"/>
              <w:jc w:val="left"/>
              <w:rPr>
                <w:sz w:val="4"/>
                <w:szCs w:val="4"/>
              </w:rPr>
            </w:pPr>
            <w:r>
              <w:rPr>
                <w:sz w:val="4"/>
                <w:szCs w:val="4"/>
              </w:rPr>
            </w:r>
          </w:p>
        </w:tc>
        <w:tc>
          <w:tcPr>
            <w:tcW w:w="1327" w:type="dxa"/>
            <w:gridSpan w:val="4"/>
            <w:tcBorders/>
            <w:vAlign w:val="center"/>
          </w:tcPr>
          <w:p>
            <w:pPr>
              <w:pStyle w:val="TableContents"/>
              <w:bidi w:val="0"/>
              <w:spacing w:before="0" w:after="283"/>
              <w:jc w:val="left"/>
              <w:rPr>
                <w:sz w:val="4"/>
                <w:szCs w:val="4"/>
              </w:rPr>
            </w:pPr>
            <w:r>
              <w:rPr>
                <w:sz w:val="4"/>
                <w:szCs w:val="4"/>
              </w:rPr>
            </w:r>
          </w:p>
        </w:tc>
        <w:tc>
          <w:tcPr>
            <w:tcW w:w="44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Robert Orgel</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before="0" w:after="283"/>
              <w:jc w:val="right"/>
              <w:rPr/>
            </w:pPr>
            <w:r>
              <w:rPr/>
              <w:t>25,337</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320,513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97,158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2,265,759</w:t>
            </w:r>
          </w:p>
        </w:tc>
        <w:tc>
          <w:tcPr>
            <w:tcW w:w="7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851" w:type="dxa"/>
            <w:gridSpan w:val="4"/>
            <w:tcBorders/>
            <w:shd w:fill="E8F4FF" w:val="clear"/>
            <w:vAlign w:val="center"/>
          </w:tcPr>
          <w:p>
            <w:pPr>
              <w:pStyle w:val="TableContents"/>
              <w:bidi w:val="0"/>
              <w:spacing w:before="0" w:after="283"/>
              <w:jc w:val="left"/>
              <w:rPr>
                <w:sz w:val="4"/>
                <w:szCs w:val="4"/>
              </w:rPr>
            </w:pPr>
            <w:r>
              <w:rPr>
                <w:sz w:val="4"/>
                <w:szCs w:val="4"/>
              </w:rPr>
            </w:r>
          </w:p>
        </w:tc>
        <w:tc>
          <w:tcPr>
            <w:tcW w:w="1327" w:type="dxa"/>
            <w:gridSpan w:val="4"/>
            <w:tcBorders/>
            <w:shd w:fill="E8F4FF" w:val="clear"/>
            <w:vAlign w:val="center"/>
          </w:tcPr>
          <w:p>
            <w:pPr>
              <w:pStyle w:val="TableContents"/>
              <w:bidi w:val="0"/>
              <w:spacing w:before="0" w:after="283"/>
              <w:jc w:val="left"/>
              <w:rPr>
                <w:sz w:val="4"/>
                <w:szCs w:val="4"/>
              </w:rPr>
            </w:pPr>
            <w:r>
              <w:rPr>
                <w:sz w:val="4"/>
                <w:szCs w:val="4"/>
              </w:rPr>
            </w:r>
          </w:p>
        </w:tc>
        <w:tc>
          <w:tcPr>
            <w:tcW w:w="440" w:type="dxa"/>
            <w:gridSpan w:val="4"/>
            <w:tcBorders/>
            <w:shd w:fill="E8F4FF" w:val="clear"/>
            <w:vAlign w:val="center"/>
          </w:tcPr>
          <w:p>
            <w:pPr>
              <w:pStyle w:val="TableContents"/>
              <w:bidi w:val="0"/>
              <w:spacing w:before="0" w:after="283"/>
              <w:jc w:val="left"/>
              <w:rPr>
                <w:sz w:val="4"/>
                <w:szCs w:val="4"/>
              </w:rPr>
            </w:pPr>
            <w:r>
              <w:rPr>
                <w:sz w:val="4"/>
                <w:szCs w:val="4"/>
              </w:rPr>
            </w:r>
          </w:p>
        </w:tc>
        <w:tc>
          <w:tcPr>
            <w:tcW w:w="1760" w:type="dxa"/>
            <w:gridSpan w:val="4"/>
            <w:tcBorders/>
            <w:shd w:fill="E8F4FF" w:val="clear"/>
            <w:vAlign w:val="center"/>
          </w:tcPr>
          <w:p>
            <w:pPr>
              <w:pStyle w:val="TableContents"/>
              <w:bidi w:val="0"/>
              <w:spacing w:before="0" w:after="283"/>
              <w:jc w:val="left"/>
              <w:rPr>
                <w:sz w:val="4"/>
                <w:szCs w:val="4"/>
              </w:rPr>
            </w:pPr>
            <w:r>
              <w:rPr>
                <w:sz w:val="4"/>
                <w:szCs w:val="4"/>
              </w:rPr>
            </w:r>
          </w:p>
        </w:tc>
        <w:tc>
          <w:tcPr>
            <w:tcW w:w="1340"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Cosmin Pitigoi</w:t>
            </w:r>
          </w:p>
        </w:tc>
        <w:tc>
          <w:tcPr>
            <w:tcW w:w="120" w:type="dxa"/>
            <w:tcBorders/>
            <w:shd w:fill="E8F4FF" w:val="clear"/>
            <w:vAlign w:val="center"/>
          </w:tcPr>
          <w:p>
            <w:pPr>
              <w:pStyle w:val="TableContents"/>
              <w:bidi w:val="0"/>
              <w:spacing w:before="0" w:after="283"/>
              <w:jc w:val="left"/>
              <w:rPr/>
            </w:pPr>
            <w:r>
              <w:rPr/>
              <w:t>  </w:t>
            </w:r>
          </w:p>
        </w:tc>
        <w:tc>
          <w:tcPr>
            <w:tcW w:w="116" w:type="dxa"/>
            <w:tcBorders/>
            <w:shd w:fill="E8F4FF" w:val="clear"/>
            <w:vAlign w:val="center"/>
          </w:tcPr>
          <w:p>
            <w:pPr>
              <w:pStyle w:val="TableContents"/>
              <w:bidi w:val="0"/>
              <w:spacing w:before="0" w:after="283"/>
              <w:jc w:val="left"/>
              <w:rPr/>
            </w:pPr>
            <w:r>
              <w:rPr/>
              <w:t> </w:t>
            </w:r>
          </w:p>
        </w:tc>
        <w:tc>
          <w:tcPr>
            <w:tcW w:w="1554" w:type="dxa"/>
            <w:tcBorders/>
            <w:shd w:fill="E8F4FF" w:val="clear"/>
            <w:vAlign w:val="center"/>
          </w:tcPr>
          <w:p>
            <w:pPr>
              <w:pStyle w:val="TableContents"/>
              <w:bidi w:val="0"/>
              <w:spacing w:before="0" w:after="283"/>
              <w:jc w:val="right"/>
              <w:rPr/>
            </w:pPr>
            <w:r>
              <w:rPr/>
              <w:t>—</w:t>
            </w:r>
          </w:p>
        </w:tc>
        <w:tc>
          <w:tcPr>
            <w:tcW w:w="61" w:type="dxa"/>
            <w:tcBorders/>
            <w:shd w:fill="E8F4FF" w:val="clear"/>
            <w:vAlign w:val="center"/>
          </w:tcPr>
          <w:p>
            <w:pPr>
              <w:pStyle w:val="TableContents"/>
              <w:bidi w:val="0"/>
              <w:spacing w:before="0" w:after="283"/>
              <w:jc w:val="left"/>
              <w:rPr/>
            </w:pPr>
            <w:r>
              <w:rPr/>
              <w:t> </w:t>
            </w:r>
          </w:p>
        </w:tc>
        <w:tc>
          <w:tcPr>
            <w:tcW w:w="122" w:type="dxa"/>
            <w:tcBorders/>
            <w:shd w:fill="E8F4FF" w:val="clear"/>
            <w:vAlign w:val="center"/>
          </w:tcPr>
          <w:p>
            <w:pPr>
              <w:pStyle w:val="TableContents"/>
              <w:bidi w:val="0"/>
              <w:spacing w:before="0" w:after="283"/>
              <w:jc w:val="left"/>
              <w:rPr/>
            </w:pPr>
            <w:r>
              <w:rPr/>
              <w:t>  </w:t>
            </w:r>
          </w:p>
        </w:tc>
        <w:tc>
          <w:tcPr>
            <w:tcW w:w="66" w:type="dxa"/>
            <w:tcBorders/>
            <w:shd w:fill="E8F4FF" w:val="clear"/>
            <w:vAlign w:val="center"/>
          </w:tcPr>
          <w:p>
            <w:pPr>
              <w:pStyle w:val="TableContents"/>
              <w:bidi w:val="0"/>
              <w:spacing w:before="0" w:after="283"/>
              <w:jc w:val="left"/>
              <w:rPr/>
            </w:pPr>
            <w:r>
              <w:rPr/>
              <w:t> </w:t>
            </w:r>
          </w:p>
        </w:tc>
        <w:tc>
          <w:tcPr>
            <w:tcW w:w="1079" w:type="dxa"/>
            <w:tcBorders/>
            <w:shd w:fill="E8F4FF" w:val="clear"/>
            <w:vAlign w:val="center"/>
          </w:tcPr>
          <w:p>
            <w:pPr>
              <w:pStyle w:val="TableContents"/>
              <w:bidi w:val="0"/>
              <w:spacing w:before="0" w:after="283"/>
              <w:jc w:val="right"/>
              <w:rPr/>
            </w:pPr>
            <w:r>
              <w:rPr/>
              <w:t>—</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30" w:type="dxa"/>
            <w:tcBorders/>
            <w:shd w:fill="E8F4FF" w:val="clear"/>
            <w:vAlign w:val="center"/>
          </w:tcPr>
          <w:p>
            <w:pPr>
              <w:pStyle w:val="TableContents"/>
              <w:bidi w:val="0"/>
              <w:spacing w:before="0" w:after="283"/>
              <w:jc w:val="left"/>
              <w:rPr>
                <w:sz w:val="4"/>
                <w:szCs w:val="4"/>
              </w:rPr>
            </w:pPr>
            <w:r>
              <w:rPr>
                <w:sz w:val="4"/>
                <w:szCs w:val="4"/>
              </w:rPr>
            </w:r>
          </w:p>
        </w:tc>
        <w:tc>
          <w:tcPr>
            <w:tcW w:w="13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pPr>
            <w:r>
              <w:rPr/>
              <w:t> </w:t>
            </w:r>
          </w:p>
        </w:tc>
        <w:tc>
          <w:tcPr>
            <w:tcW w:w="1470" w:type="dxa"/>
            <w:tcBorders/>
            <w:shd w:fill="E8F4FF" w:val="clear"/>
            <w:vAlign w:val="center"/>
          </w:tcPr>
          <w:p>
            <w:pPr>
              <w:pStyle w:val="TableContents"/>
              <w:bidi w:val="0"/>
              <w:spacing w:before="0" w:after="283"/>
              <w:jc w:val="right"/>
              <w:rPr/>
            </w:pPr>
            <w:r>
              <w:rPr/>
              <w:t>—</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6" w:type="dxa"/>
            <w:tcBorders/>
            <w:shd w:fill="E8F4FF" w:val="clear"/>
            <w:vAlign w:val="center"/>
          </w:tcPr>
          <w:p>
            <w:pPr>
              <w:pStyle w:val="TableContents"/>
              <w:bidi w:val="0"/>
              <w:spacing w:before="0" w:after="283"/>
              <w:jc w:val="left"/>
              <w:rPr/>
            </w:pPr>
            <w:r>
              <w:rPr/>
              <w:t> </w:t>
            </w:r>
          </w:p>
        </w:tc>
        <w:tc>
          <w:tcPr>
            <w:tcW w:w="1079" w:type="dxa"/>
            <w:tcBorders/>
            <w:shd w:fill="E8F4FF" w:val="clear"/>
            <w:vAlign w:val="center"/>
          </w:tcPr>
          <w:p>
            <w:pPr>
              <w:pStyle w:val="TableContents"/>
              <w:bidi w:val="0"/>
              <w:spacing w:before="0" w:after="283"/>
              <w:jc w:val="right"/>
              <w:rPr/>
            </w:pPr>
            <w:r>
              <w:rPr/>
              <w:t>—</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851" w:type="dxa"/>
            <w:gridSpan w:val="4"/>
            <w:tcBorders/>
            <w:vAlign w:val="center"/>
          </w:tcPr>
          <w:p>
            <w:pPr>
              <w:pStyle w:val="TableContents"/>
              <w:bidi w:val="0"/>
              <w:spacing w:before="0" w:after="283"/>
              <w:jc w:val="left"/>
              <w:rPr>
                <w:sz w:val="4"/>
                <w:szCs w:val="4"/>
              </w:rPr>
            </w:pPr>
            <w:r>
              <w:rPr>
                <w:sz w:val="4"/>
                <w:szCs w:val="4"/>
              </w:rPr>
            </w:r>
          </w:p>
        </w:tc>
        <w:tc>
          <w:tcPr>
            <w:tcW w:w="1327" w:type="dxa"/>
            <w:gridSpan w:val="4"/>
            <w:tcBorders/>
            <w:vAlign w:val="center"/>
          </w:tcPr>
          <w:p>
            <w:pPr>
              <w:pStyle w:val="TableContents"/>
              <w:bidi w:val="0"/>
              <w:spacing w:before="0" w:after="283"/>
              <w:jc w:val="left"/>
              <w:rPr>
                <w:sz w:val="4"/>
                <w:szCs w:val="4"/>
              </w:rPr>
            </w:pPr>
            <w:r>
              <w:rPr>
                <w:sz w:val="4"/>
                <w:szCs w:val="4"/>
              </w:rPr>
            </w:r>
          </w:p>
        </w:tc>
        <w:tc>
          <w:tcPr>
            <w:tcW w:w="44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Peter Butterfield</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before="0" w:after="283"/>
              <w:jc w:val="right"/>
              <w:rPr/>
            </w:pPr>
            <w:r>
              <w:rPr/>
              <w:t>88,952</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1,567,749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44,825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1,048,860</w:t>
            </w:r>
          </w:p>
        </w:tc>
        <w:tc>
          <w:tcPr>
            <w:tcW w:w="75" w:type="dxa"/>
            <w:tcBorders/>
            <w:vAlign w:val="center"/>
          </w:tcPr>
          <w:p>
            <w:pPr>
              <w:pStyle w:val="TableContents"/>
              <w:bidi w:val="0"/>
              <w:spacing w:before="0" w:after="283"/>
              <w:jc w:val="left"/>
              <w:rPr/>
            </w:pPr>
            <w:r>
              <w:rPr/>
              <w:t> </w:t>
            </w:r>
          </w:p>
        </w:tc>
      </w:tr>
      <w:tr>
        <w:trPr/>
        <w:tc>
          <w:tcPr>
            <w:tcW w:w="1340" w:type="dxa"/>
            <w:tcBorders/>
            <w:shd w:fill="E8F4FF" w:val="clear"/>
            <w:vAlign w:val="center"/>
          </w:tcPr>
          <w:p>
            <w:pPr>
              <w:pStyle w:val="TableContents"/>
              <w:bidi w:val="0"/>
              <w:spacing w:before="0" w:after="283"/>
              <w:jc w:val="left"/>
              <w:rPr>
                <w:sz w:val="4"/>
                <w:szCs w:val="4"/>
              </w:rPr>
            </w:pPr>
            <w:r>
              <w:rPr>
                <w:sz w:val="4"/>
                <w:szCs w:val="4"/>
              </w:rPr>
            </w:r>
          </w:p>
        </w:tc>
        <w:tc>
          <w:tcPr>
            <w:tcW w:w="1851" w:type="dxa"/>
            <w:gridSpan w:val="4"/>
            <w:tcBorders/>
            <w:shd w:fill="E8F4FF" w:val="clear"/>
            <w:vAlign w:val="center"/>
          </w:tcPr>
          <w:p>
            <w:pPr>
              <w:pStyle w:val="TableContents"/>
              <w:bidi w:val="0"/>
              <w:spacing w:before="0" w:after="283"/>
              <w:jc w:val="left"/>
              <w:rPr>
                <w:sz w:val="4"/>
                <w:szCs w:val="4"/>
              </w:rPr>
            </w:pPr>
            <w:r>
              <w:rPr>
                <w:sz w:val="4"/>
                <w:szCs w:val="4"/>
              </w:rPr>
            </w:r>
          </w:p>
        </w:tc>
        <w:tc>
          <w:tcPr>
            <w:tcW w:w="1327" w:type="dxa"/>
            <w:gridSpan w:val="4"/>
            <w:tcBorders/>
            <w:shd w:fill="E8F4FF" w:val="clear"/>
            <w:vAlign w:val="center"/>
          </w:tcPr>
          <w:p>
            <w:pPr>
              <w:pStyle w:val="TableContents"/>
              <w:bidi w:val="0"/>
              <w:spacing w:before="0" w:after="283"/>
              <w:jc w:val="left"/>
              <w:rPr>
                <w:sz w:val="4"/>
                <w:szCs w:val="4"/>
              </w:rPr>
            </w:pPr>
            <w:r>
              <w:rPr>
                <w:sz w:val="4"/>
                <w:szCs w:val="4"/>
              </w:rPr>
            </w:r>
          </w:p>
        </w:tc>
        <w:tc>
          <w:tcPr>
            <w:tcW w:w="440" w:type="dxa"/>
            <w:gridSpan w:val="4"/>
            <w:tcBorders/>
            <w:shd w:fill="E8F4FF" w:val="clear"/>
            <w:vAlign w:val="center"/>
          </w:tcPr>
          <w:p>
            <w:pPr>
              <w:pStyle w:val="TableContents"/>
              <w:bidi w:val="0"/>
              <w:spacing w:before="0" w:after="283"/>
              <w:jc w:val="left"/>
              <w:rPr>
                <w:sz w:val="4"/>
                <w:szCs w:val="4"/>
              </w:rPr>
            </w:pPr>
            <w:r>
              <w:rPr>
                <w:sz w:val="4"/>
                <w:szCs w:val="4"/>
              </w:rPr>
            </w:r>
          </w:p>
        </w:tc>
        <w:tc>
          <w:tcPr>
            <w:tcW w:w="1760" w:type="dxa"/>
            <w:gridSpan w:val="4"/>
            <w:tcBorders/>
            <w:shd w:fill="E8F4FF" w:val="clear"/>
            <w:vAlign w:val="center"/>
          </w:tcPr>
          <w:p>
            <w:pPr>
              <w:pStyle w:val="TableContents"/>
              <w:bidi w:val="0"/>
              <w:spacing w:before="0" w:after="283"/>
              <w:jc w:val="left"/>
              <w:rPr>
                <w:sz w:val="4"/>
                <w:szCs w:val="4"/>
              </w:rPr>
            </w:pPr>
            <w:r>
              <w:rPr>
                <w:sz w:val="4"/>
                <w:szCs w:val="4"/>
              </w:rPr>
            </w:r>
          </w:p>
        </w:tc>
        <w:tc>
          <w:tcPr>
            <w:tcW w:w="1340"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134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David King</w:t>
            </w:r>
          </w:p>
        </w:tc>
        <w:tc>
          <w:tcPr>
            <w:tcW w:w="120" w:type="dxa"/>
            <w:tcBorders/>
            <w:shd w:fill="E8F4FF" w:val="clear"/>
            <w:vAlign w:val="center"/>
          </w:tcPr>
          <w:p>
            <w:pPr>
              <w:pStyle w:val="TableContents"/>
              <w:bidi w:val="0"/>
              <w:spacing w:before="0" w:after="283"/>
              <w:jc w:val="left"/>
              <w:rPr/>
            </w:pPr>
            <w:r>
              <w:rPr/>
              <w:t>  </w:t>
            </w:r>
          </w:p>
        </w:tc>
        <w:tc>
          <w:tcPr>
            <w:tcW w:w="116" w:type="dxa"/>
            <w:tcBorders/>
            <w:shd w:fill="E8F4FF" w:val="clear"/>
            <w:vAlign w:val="center"/>
          </w:tcPr>
          <w:p>
            <w:pPr>
              <w:pStyle w:val="TableContents"/>
              <w:bidi w:val="0"/>
              <w:spacing w:before="0" w:after="283"/>
              <w:jc w:val="left"/>
              <w:rPr/>
            </w:pPr>
            <w:r>
              <w:rPr/>
              <w:t> </w:t>
            </w:r>
          </w:p>
        </w:tc>
        <w:tc>
          <w:tcPr>
            <w:tcW w:w="1554" w:type="dxa"/>
            <w:tcBorders/>
            <w:shd w:fill="E8F4FF" w:val="clear"/>
            <w:vAlign w:val="center"/>
          </w:tcPr>
          <w:p>
            <w:pPr>
              <w:pStyle w:val="TableContents"/>
              <w:bidi w:val="0"/>
              <w:spacing w:before="0" w:after="283"/>
              <w:jc w:val="right"/>
              <w:rPr/>
            </w:pPr>
            <w:r>
              <w:rPr/>
              <w:t>28,406</w:t>
            </w:r>
          </w:p>
        </w:tc>
        <w:tc>
          <w:tcPr>
            <w:tcW w:w="61" w:type="dxa"/>
            <w:tcBorders/>
            <w:shd w:fill="E8F4FF" w:val="clear"/>
            <w:vAlign w:val="center"/>
          </w:tcPr>
          <w:p>
            <w:pPr>
              <w:pStyle w:val="TableContents"/>
              <w:bidi w:val="0"/>
              <w:spacing w:before="0" w:after="283"/>
              <w:jc w:val="left"/>
              <w:rPr/>
            </w:pPr>
            <w:r>
              <w:rPr/>
              <w:t> </w:t>
            </w:r>
          </w:p>
        </w:tc>
        <w:tc>
          <w:tcPr>
            <w:tcW w:w="122" w:type="dxa"/>
            <w:tcBorders/>
            <w:shd w:fill="E8F4FF" w:val="clear"/>
            <w:vAlign w:val="center"/>
          </w:tcPr>
          <w:p>
            <w:pPr>
              <w:pStyle w:val="TableContents"/>
              <w:bidi w:val="0"/>
              <w:spacing w:before="0" w:after="283"/>
              <w:jc w:val="left"/>
              <w:rPr/>
            </w:pPr>
            <w:r>
              <w:rPr/>
              <w:t>  </w:t>
            </w:r>
          </w:p>
        </w:tc>
        <w:tc>
          <w:tcPr>
            <w:tcW w:w="66" w:type="dxa"/>
            <w:tcBorders/>
            <w:shd w:fill="E8F4FF" w:val="clear"/>
            <w:vAlign w:val="center"/>
          </w:tcPr>
          <w:p>
            <w:pPr>
              <w:pStyle w:val="TableContents"/>
              <w:bidi w:val="0"/>
              <w:spacing w:before="0" w:after="283"/>
              <w:jc w:val="left"/>
              <w:rPr/>
            </w:pPr>
            <w:r>
              <w:rPr/>
              <w:t> </w:t>
            </w:r>
          </w:p>
        </w:tc>
        <w:tc>
          <w:tcPr>
            <w:tcW w:w="1079" w:type="dxa"/>
            <w:tcBorders/>
            <w:shd w:fill="E8F4FF" w:val="clear"/>
            <w:vAlign w:val="center"/>
          </w:tcPr>
          <w:p>
            <w:pPr>
              <w:pStyle w:val="TableContents"/>
              <w:bidi w:val="0"/>
              <w:spacing w:before="0" w:after="283"/>
              <w:jc w:val="right"/>
              <w:rPr/>
            </w:pPr>
            <w:r>
              <w:rPr/>
              <w:t>450,230</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30" w:type="dxa"/>
            <w:tcBorders/>
            <w:shd w:fill="E8F4FF" w:val="clear"/>
            <w:vAlign w:val="center"/>
          </w:tcPr>
          <w:p>
            <w:pPr>
              <w:pStyle w:val="TableContents"/>
              <w:bidi w:val="0"/>
              <w:spacing w:before="0" w:after="283"/>
              <w:jc w:val="left"/>
              <w:rPr>
                <w:sz w:val="4"/>
                <w:szCs w:val="4"/>
              </w:rPr>
            </w:pPr>
            <w:r>
              <w:rPr>
                <w:sz w:val="4"/>
                <w:szCs w:val="4"/>
              </w:rPr>
            </w:r>
          </w:p>
        </w:tc>
        <w:tc>
          <w:tcPr>
            <w:tcW w:w="130" w:type="dxa"/>
            <w:tcBorders/>
            <w:shd w:fill="E8F4FF" w:val="clear"/>
            <w:vAlign w:val="center"/>
          </w:tcPr>
          <w:p>
            <w:pPr>
              <w:pStyle w:val="TableContents"/>
              <w:bidi w:val="0"/>
              <w:spacing w:before="0" w:after="283"/>
              <w:jc w:val="left"/>
              <w:rPr>
                <w:sz w:val="4"/>
                <w:szCs w:val="4"/>
              </w:rPr>
            </w:pPr>
            <w:r>
              <w:rPr>
                <w:sz w:val="4"/>
                <w:szCs w:val="4"/>
              </w:rPr>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120" w:type="dxa"/>
            <w:tcBorders/>
            <w:shd w:fill="E8F4FF" w:val="clear"/>
            <w:vAlign w:val="center"/>
          </w:tcPr>
          <w:p>
            <w:pPr>
              <w:pStyle w:val="TableContents"/>
              <w:bidi w:val="0"/>
              <w:spacing w:before="0" w:after="283"/>
              <w:jc w:val="left"/>
              <w:rPr/>
            </w:pPr>
            <w:r>
              <w:rPr/>
              <w:t>  </w:t>
            </w:r>
          </w:p>
        </w:tc>
        <w:tc>
          <w:tcPr>
            <w:tcW w:w="110" w:type="dxa"/>
            <w:tcBorders/>
            <w:shd w:fill="E8F4FF" w:val="clear"/>
            <w:vAlign w:val="center"/>
          </w:tcPr>
          <w:p>
            <w:pPr>
              <w:pStyle w:val="TableContents"/>
              <w:bidi w:val="0"/>
              <w:spacing w:before="0" w:after="283"/>
              <w:jc w:val="left"/>
              <w:rPr/>
            </w:pPr>
            <w:r>
              <w:rPr/>
              <w:t> </w:t>
            </w:r>
          </w:p>
        </w:tc>
        <w:tc>
          <w:tcPr>
            <w:tcW w:w="1470" w:type="dxa"/>
            <w:tcBorders/>
            <w:shd w:fill="E8F4FF" w:val="clear"/>
            <w:vAlign w:val="center"/>
          </w:tcPr>
          <w:p>
            <w:pPr>
              <w:pStyle w:val="TableContents"/>
              <w:bidi w:val="0"/>
              <w:spacing w:before="0" w:after="283"/>
              <w:jc w:val="right"/>
              <w:rPr/>
            </w:pPr>
            <w:r>
              <w:rPr/>
              <w:t>84,284</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66" w:type="dxa"/>
            <w:tcBorders/>
            <w:shd w:fill="E8F4FF" w:val="clear"/>
            <w:vAlign w:val="center"/>
          </w:tcPr>
          <w:p>
            <w:pPr>
              <w:pStyle w:val="TableContents"/>
              <w:bidi w:val="0"/>
              <w:spacing w:before="0" w:after="283"/>
              <w:jc w:val="left"/>
              <w:rPr/>
            </w:pPr>
            <w:r>
              <w:rPr/>
              <w:t> </w:t>
            </w:r>
          </w:p>
        </w:tc>
        <w:tc>
          <w:tcPr>
            <w:tcW w:w="1079" w:type="dxa"/>
            <w:tcBorders/>
            <w:shd w:fill="E8F4FF" w:val="clear"/>
            <w:vAlign w:val="center"/>
          </w:tcPr>
          <w:p>
            <w:pPr>
              <w:pStyle w:val="TableContents"/>
              <w:bidi w:val="0"/>
              <w:spacing w:before="0" w:after="283"/>
              <w:jc w:val="right"/>
              <w:rPr/>
            </w:pPr>
            <w:r>
              <w:rPr/>
              <w:t>1,951,323</w:t>
            </w:r>
          </w:p>
        </w:tc>
        <w:tc>
          <w:tcPr>
            <w:tcW w:w="75" w:type="dxa"/>
            <w:tcBorders/>
            <w:shd w:fill="E8F4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851" w:type="dxa"/>
            <w:gridSpan w:val="4"/>
            <w:tcBorders/>
            <w:vAlign w:val="center"/>
          </w:tcPr>
          <w:p>
            <w:pPr>
              <w:pStyle w:val="TableContents"/>
              <w:bidi w:val="0"/>
              <w:spacing w:before="0" w:after="283"/>
              <w:jc w:val="left"/>
              <w:rPr>
                <w:sz w:val="4"/>
                <w:szCs w:val="4"/>
              </w:rPr>
            </w:pPr>
            <w:r>
              <w:rPr>
                <w:sz w:val="4"/>
                <w:szCs w:val="4"/>
              </w:rPr>
            </w:r>
          </w:p>
        </w:tc>
        <w:tc>
          <w:tcPr>
            <w:tcW w:w="1327" w:type="dxa"/>
            <w:gridSpan w:val="4"/>
            <w:tcBorders/>
            <w:vAlign w:val="center"/>
          </w:tcPr>
          <w:p>
            <w:pPr>
              <w:pStyle w:val="TableContents"/>
              <w:bidi w:val="0"/>
              <w:spacing w:before="0" w:after="283"/>
              <w:jc w:val="left"/>
              <w:rPr>
                <w:sz w:val="4"/>
                <w:szCs w:val="4"/>
              </w:rPr>
            </w:pPr>
            <w:r>
              <w:rPr>
                <w:sz w:val="4"/>
                <w:szCs w:val="4"/>
              </w:rPr>
            </w:r>
          </w:p>
        </w:tc>
        <w:tc>
          <w:tcPr>
            <w:tcW w:w="44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6" w:space="0" w:color="2393FF"/>
            </w:tcBorders>
            <w:tcMar>
              <w:bottom w:w="120" w:type="dxa"/>
            </w:tcMar>
            <w:vAlign w:val="center"/>
          </w:tcPr>
          <w:p>
            <w:pPr>
              <w:pStyle w:val="TableContents"/>
              <w:bidi w:val="0"/>
              <w:spacing w:before="0" w:after="0"/>
              <w:jc w:val="left"/>
              <w:rPr>
                <w:rFonts w:ascii="ARIAL" w:hAnsi="ARIAL"/>
                <w:b/>
                <w:color w:val="2393FF"/>
                <w:sz w:val="16"/>
              </w:rPr>
            </w:pPr>
            <w:r>
              <w:rPr>
                <w:rFonts w:ascii="ARIAL" w:hAnsi="ARIAL"/>
                <w:b/>
                <w:color w:val="2393FF"/>
                <w:sz w:val="16"/>
              </w:rPr>
              <w:t>Michael Ellis</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116" w:type="dxa"/>
            <w:tcBorders>
              <w:bottom w:val="single" w:sz="6" w:space="0" w:color="2393FF"/>
            </w:tcBorders>
            <w:tcMar>
              <w:bottom w:w="120" w:type="dxa"/>
            </w:tcMar>
            <w:vAlign w:val="center"/>
          </w:tcPr>
          <w:p>
            <w:pPr>
              <w:pStyle w:val="TableContents"/>
              <w:bidi w:val="0"/>
              <w:spacing w:before="0" w:after="283"/>
              <w:jc w:val="left"/>
              <w:rPr/>
            </w:pPr>
            <w:r>
              <w:rPr/>
              <w:t> </w:t>
            </w:r>
          </w:p>
        </w:tc>
        <w:tc>
          <w:tcPr>
            <w:tcW w:w="1554" w:type="dxa"/>
            <w:tcBorders>
              <w:bottom w:val="single" w:sz="6" w:space="0" w:color="2393FF"/>
            </w:tcBorders>
            <w:tcMar>
              <w:bottom w:w="120" w:type="dxa"/>
            </w:tcMar>
            <w:vAlign w:val="center"/>
          </w:tcPr>
          <w:p>
            <w:pPr>
              <w:pStyle w:val="TableContents"/>
              <w:bidi w:val="0"/>
              <w:spacing w:before="0" w:after="283"/>
              <w:jc w:val="right"/>
              <w:rPr/>
            </w:pPr>
            <w:r>
              <w:rPr/>
              <w:t>169,606</w:t>
            </w:r>
          </w:p>
        </w:tc>
        <w:tc>
          <w:tcPr>
            <w:tcW w:w="61" w:type="dxa"/>
            <w:tcBorders>
              <w:bottom w:val="single" w:sz="6" w:space="0" w:color="2393FF"/>
            </w:tcBorders>
            <w:tcMar>
              <w:bottom w:w="120" w:type="dxa"/>
            </w:tcMar>
            <w:vAlign w:val="center"/>
          </w:tcPr>
          <w:p>
            <w:pPr>
              <w:pStyle w:val="TableContents"/>
              <w:bidi w:val="0"/>
              <w:spacing w:before="0" w:after="283"/>
              <w:jc w:val="left"/>
              <w:rPr/>
            </w:pPr>
            <w:r>
              <w:rPr/>
              <w:t> </w:t>
            </w:r>
          </w:p>
        </w:tc>
        <w:tc>
          <w:tcPr>
            <w:tcW w:w="122" w:type="dxa"/>
            <w:tcBorders>
              <w:bottom w:val="single" w:sz="6" w:space="0" w:color="2393FF"/>
            </w:tcBorders>
            <w:tcMar>
              <w:bottom w:w="28" w:type="dxa"/>
            </w:tcMar>
            <w:vAlign w:val="center"/>
          </w:tcPr>
          <w:p>
            <w:pPr>
              <w:pStyle w:val="TableContents"/>
              <w:bidi w:val="0"/>
              <w:spacing w:before="0" w:after="283"/>
              <w:jc w:val="left"/>
              <w:rPr/>
            </w:pPr>
            <w:r>
              <w:rPr/>
              <w:t>  </w:t>
            </w:r>
          </w:p>
        </w:tc>
        <w:tc>
          <w:tcPr>
            <w:tcW w:w="66" w:type="dxa"/>
            <w:tcBorders>
              <w:bottom w:val="single" w:sz="6" w:space="0" w:color="2393FF"/>
            </w:tcBorders>
            <w:tcMar>
              <w:bottom w:w="120" w:type="dxa"/>
            </w:tcMar>
            <w:vAlign w:val="center"/>
          </w:tcPr>
          <w:p>
            <w:pPr>
              <w:pStyle w:val="TableContents"/>
              <w:bidi w:val="0"/>
              <w:spacing w:before="0" w:after="283"/>
              <w:jc w:val="left"/>
              <w:rPr/>
            </w:pPr>
            <w:r>
              <w:rPr/>
              <w:t> </w:t>
            </w:r>
          </w:p>
        </w:tc>
        <w:tc>
          <w:tcPr>
            <w:tcW w:w="1079" w:type="dxa"/>
            <w:tcBorders>
              <w:bottom w:val="single" w:sz="6" w:space="0" w:color="2393FF"/>
            </w:tcBorders>
            <w:tcMar>
              <w:bottom w:w="120" w:type="dxa"/>
            </w:tcMar>
            <w:vAlign w:val="center"/>
          </w:tcPr>
          <w:p>
            <w:pPr>
              <w:pStyle w:val="TableContents"/>
              <w:bidi w:val="0"/>
              <w:spacing w:before="0" w:after="283"/>
              <w:jc w:val="right"/>
              <w:rPr/>
            </w:pPr>
            <w:r>
              <w:rPr/>
              <w:t>2,388,094</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130" w:type="dxa"/>
            <w:tcBorders>
              <w:bottom w:val="single" w:sz="6" w:space="0" w:color="2393FF"/>
            </w:tcBorders>
            <w:tcMar>
              <w:bottom w:w="28" w:type="dxa"/>
            </w:tcMar>
            <w:vAlign w:val="center"/>
          </w:tcPr>
          <w:p>
            <w:pPr>
              <w:pStyle w:val="TableContents"/>
              <w:bidi w:val="0"/>
              <w:spacing w:before="0" w:after="283"/>
              <w:jc w:val="left"/>
              <w:rPr/>
            </w:pPr>
            <w:r>
              <w:rPr/>
              <w:t> </w:t>
            </w:r>
          </w:p>
        </w:tc>
        <w:tc>
          <w:tcPr>
            <w:tcW w:w="130" w:type="dxa"/>
            <w:tcBorders>
              <w:bottom w:val="single" w:sz="6" w:space="0" w:color="2393FF"/>
            </w:tcBorders>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110" w:type="dxa"/>
            <w:tcBorders>
              <w:bottom w:val="single" w:sz="6" w:space="0" w:color="2393FF"/>
            </w:tcBorders>
            <w:tcMar>
              <w:bottom w:w="120" w:type="dxa"/>
            </w:tcMar>
            <w:vAlign w:val="center"/>
          </w:tcPr>
          <w:p>
            <w:pPr>
              <w:pStyle w:val="TableContents"/>
              <w:bidi w:val="0"/>
              <w:spacing w:before="0" w:after="283"/>
              <w:jc w:val="left"/>
              <w:rPr/>
            </w:pPr>
            <w:r>
              <w:rPr/>
              <w:t> </w:t>
            </w:r>
          </w:p>
        </w:tc>
        <w:tc>
          <w:tcPr>
            <w:tcW w:w="1470" w:type="dxa"/>
            <w:tcBorders>
              <w:bottom w:val="single" w:sz="6" w:space="0" w:color="2393FF"/>
            </w:tcBorders>
            <w:tcMar>
              <w:bottom w:w="120" w:type="dxa"/>
            </w:tcMar>
            <w:vAlign w:val="center"/>
          </w:tcPr>
          <w:p>
            <w:pPr>
              <w:pStyle w:val="TableContents"/>
              <w:bidi w:val="0"/>
              <w:spacing w:before="0" w:after="283"/>
              <w:jc w:val="right"/>
              <w:rPr/>
            </w:pPr>
            <w:r>
              <w:rPr/>
              <w:t>71,155</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120" w:type="dxa"/>
            <w:tcBorders>
              <w:bottom w:val="single" w:sz="6" w:space="0" w:color="2393FF"/>
            </w:tcBorders>
            <w:tcMar>
              <w:bottom w:w="28" w:type="dxa"/>
            </w:tcMar>
            <w:vAlign w:val="center"/>
          </w:tcPr>
          <w:p>
            <w:pPr>
              <w:pStyle w:val="TableContents"/>
              <w:bidi w:val="0"/>
              <w:spacing w:before="0" w:after="283"/>
              <w:jc w:val="left"/>
              <w:rPr/>
            </w:pPr>
            <w:r>
              <w:rPr/>
              <w:t>  </w:t>
            </w:r>
          </w:p>
        </w:tc>
        <w:tc>
          <w:tcPr>
            <w:tcW w:w="66" w:type="dxa"/>
            <w:tcBorders>
              <w:bottom w:val="single" w:sz="6" w:space="0" w:color="2393FF"/>
            </w:tcBorders>
            <w:tcMar>
              <w:bottom w:w="120" w:type="dxa"/>
            </w:tcMar>
            <w:vAlign w:val="center"/>
          </w:tcPr>
          <w:p>
            <w:pPr>
              <w:pStyle w:val="TableContents"/>
              <w:bidi w:val="0"/>
              <w:spacing w:before="0" w:after="283"/>
              <w:jc w:val="left"/>
              <w:rPr/>
            </w:pPr>
            <w:r>
              <w:rPr/>
              <w:t> </w:t>
            </w:r>
          </w:p>
        </w:tc>
        <w:tc>
          <w:tcPr>
            <w:tcW w:w="1079" w:type="dxa"/>
            <w:tcBorders>
              <w:bottom w:val="single" w:sz="6" w:space="0" w:color="2393FF"/>
            </w:tcBorders>
            <w:tcMar>
              <w:bottom w:w="120" w:type="dxa"/>
            </w:tcMar>
            <w:vAlign w:val="center"/>
          </w:tcPr>
          <w:p>
            <w:pPr>
              <w:pStyle w:val="TableContents"/>
              <w:bidi w:val="0"/>
              <w:spacing w:before="0" w:after="283"/>
              <w:jc w:val="right"/>
              <w:rPr/>
            </w:pPr>
            <w:r>
              <w:rPr/>
              <w:t>1,722,765</w:t>
            </w:r>
          </w:p>
        </w:tc>
        <w:tc>
          <w:tcPr>
            <w:tcW w:w="75" w:type="dxa"/>
            <w:tcBorders>
              <w:bottom w:val="single" w:sz="6" w:space="0" w:color="2393FF"/>
            </w:tcBorders>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color w:val="333333"/>
              </w:rPr>
            </w:pPr>
            <w:r>
              <w:rPr>
                <w:color w:val="333333"/>
              </w:rPr>
              <w:t>(1)</w:t>
            </w:r>
          </w:p>
        </w:tc>
        <w:tc>
          <w:tcPr>
            <w:tcW w:w="9957"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For option awards, value realized on exercise is based on the closing price of our common stock on the exercise date less the exercise price. For stock awards, value realized on vesting is based on the closing price of our common stock on the vesting date. In neither case do the amounts set forth above necessarily reflect proceeds actually received by the NEO. Our NEOs will only realize value on these awards when the underlying shares are sold, which value may differ from the value shown in the table above as it is dependent on the price at which such shares of common stock are actually sold. </w:t>
            </w:r>
          </w:p>
        </w:tc>
      </w:tr>
    </w:tbl>
    <w:p>
      <w:pPr>
        <w:pStyle w:val="TextBody"/>
        <w:bidi w:val="0"/>
        <w:spacing w:before="240" w:after="0"/>
        <w:jc w:val="left"/>
        <w:rPr>
          <w:rFonts w:ascii="ARIAL" w:hAnsi="ARIAL"/>
          <w:sz w:val="18"/>
        </w:rPr>
      </w:pPr>
      <w:r>
        <w:rPr>
          <w:rFonts w:ascii="ARIAL" w:hAnsi="ARIAL"/>
          <w:sz w:val="18"/>
        </w:rPr>
        <w:t xml:space="preserve">PENSION BENEFITS </w:t>
      </w:r>
    </w:p>
    <w:p>
      <w:pPr>
        <w:pStyle w:val="TextBody"/>
        <w:bidi w:val="0"/>
        <w:spacing w:before="160" w:after="0"/>
        <w:jc w:val="left"/>
        <w:rPr>
          <w:rFonts w:ascii="ARIAL" w:hAnsi="ARIAL"/>
          <w:sz w:val="18"/>
        </w:rPr>
      </w:pPr>
      <w:r>
        <w:rPr>
          <w:rFonts w:ascii="ARIAL" w:hAnsi="ARIAL"/>
          <w:sz w:val="18"/>
        </w:rPr>
        <w:t xml:space="preserve">We do not maintain any defined benefit pension plans. </w:t>
      </w:r>
    </w:p>
    <w:p>
      <w:pPr>
        <w:pStyle w:val="TextBody"/>
        <w:bidi w:val="0"/>
        <w:spacing w:before="160" w:after="0"/>
        <w:jc w:val="left"/>
        <w:rPr>
          <w:rFonts w:ascii="ARIAL" w:hAnsi="ARIAL"/>
          <w:sz w:val="18"/>
        </w:rPr>
      </w:pPr>
      <w:r>
        <w:rPr>
          <w:rFonts w:ascii="ARIAL" w:hAnsi="ARIAL"/>
          <w:sz w:val="18"/>
        </w:rPr>
        <w:t xml:space="preserve">NONQUALIFIED DEFERRED COMPENSATION </w:t>
      </w:r>
    </w:p>
    <w:p>
      <w:pPr>
        <w:pStyle w:val="TextBody"/>
        <w:bidi w:val="0"/>
        <w:spacing w:before="160" w:after="0"/>
        <w:jc w:val="left"/>
        <w:rPr>
          <w:rFonts w:ascii="ARIAL" w:hAnsi="ARIAL"/>
          <w:sz w:val="18"/>
        </w:rPr>
      </w:pPr>
      <w:r>
        <w:rPr>
          <w:rFonts w:ascii="ARIAL" w:hAnsi="ARIAL"/>
          <w:sz w:val="18"/>
        </w:rPr>
        <w:t xml:space="preserve">We do not maintain any nonqualified deferred compensation plans.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  39  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bookmarkStart w:id="44" w:name="toc917810_42"/>
      <w:bookmarkEnd w:id="44"/>
      <w:r>
        <w:rPr>
          <w:rFonts w:ascii="ARIAL" w:hAnsi="ARIAL"/>
          <w:sz w:val="18"/>
        </w:rPr>
        <w:t xml:space="preserve">FISCAL 2024 POTENTIAL PAYMENTS UPON TERMINATION OR CHANGE IN CONTROL </w:t>
      </w:r>
    </w:p>
    <w:p>
      <w:pPr>
        <w:pStyle w:val="TextBody"/>
        <w:bidi w:val="0"/>
        <w:spacing w:before="240" w:after="0"/>
        <w:jc w:val="left"/>
        <w:rPr>
          <w:rFonts w:ascii="ARIAL" w:hAnsi="ARIAL"/>
          <w:sz w:val="18"/>
        </w:rPr>
      </w:pPr>
      <w:r>
        <w:rPr>
          <w:rFonts w:ascii="ARIAL" w:hAnsi="ARIAL"/>
          <w:sz w:val="18"/>
        </w:rPr>
        <w:t xml:space="preserve">The following table, footnotes and narrative set forth our payment and benefit obligations pursuant to the employment agreements with each of our NEOs (other than Mr. Ellis) if the NEO’s employment is terminated by us or our acquirer or successor without Cause (as defined below) or if such executive Resigns for Good Reason (as defined below) within or outside the three months prior to a change in control, upon a change in control, or within 12 months following a change in control (such period being the Change in Control Window), in each case assuming termination on December 31, 2024. Because our executive compensation program is heavily weighted towards equity-based compensation, a significant percentage of the compensation to be received by our NEOs upon a termination of employment or Resignation for Good Reason (as defined below) under the circumstances described below relates to the settlement of outstanding equity awards. Please see the Outstanding Equity Awards at Fiscal 2024 Year-End above for further information regarding outstanding equity awards granted to the NEOs in Fiscal 2024 and in prior years. </w:t>
      </w:r>
    </w:p>
    <w:p>
      <w:pPr>
        <w:pStyle w:val="TextBody"/>
        <w:bidi w:val="0"/>
        <w:spacing w:before="0" w:after="0"/>
        <w:jc w:val="left"/>
        <w:rPr/>
      </w:pPr>
      <w:r>
        <w:rPr/>
        <w:t> </w:t>
      </w:r>
    </w:p>
    <w:tbl>
      <w:tblPr>
        <w:tblW w:w="7710" w:type="dxa"/>
        <w:jc w:val="left"/>
        <w:tblInd w:w="0" w:type="dxa"/>
        <w:tblLayout w:type="fixed"/>
        <w:tblCellMar>
          <w:top w:w="0" w:type="dxa"/>
          <w:left w:w="0" w:type="dxa"/>
          <w:bottom w:w="0" w:type="dxa"/>
          <w:right w:w="0" w:type="dxa"/>
        </w:tblCellMar>
      </w:tblPr>
      <w:tblGrid>
        <w:gridCol w:w="2735"/>
        <w:gridCol w:w="120"/>
        <w:gridCol w:w="112"/>
        <w:gridCol w:w="2068"/>
        <w:gridCol w:w="60"/>
        <w:gridCol w:w="240"/>
        <w:gridCol w:w="132"/>
        <w:gridCol w:w="2168"/>
        <w:gridCol w:w="75"/>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t> </w:t>
            </w:r>
            <w:r>
              <w:rPr>
                <w:b/>
              </w:rPr>
              <w:t>NAME</w:t>
            </w:r>
          </w:p>
        </w:tc>
        <w:tc>
          <w:tcPr>
            <w:tcW w:w="120" w:type="dxa"/>
            <w:tcBorders/>
            <w:vAlign w:val="center"/>
          </w:tcPr>
          <w:p>
            <w:pPr>
              <w:pStyle w:val="TableContents"/>
              <w:bidi w:val="0"/>
              <w:spacing w:before="0" w:after="283"/>
              <w:jc w:val="left"/>
              <w:rPr/>
            </w:pPr>
            <w:r>
              <w:rPr/>
              <w:t>  </w:t>
            </w:r>
          </w:p>
        </w:tc>
        <w:tc>
          <w:tcPr>
            <w:tcW w:w="2180" w:type="dxa"/>
            <w:gridSpan w:val="2"/>
            <w:tcBorders/>
            <w:vAlign w:val="center"/>
          </w:tcPr>
          <w:p>
            <w:pPr>
              <w:pStyle w:val="TableContents"/>
              <w:bidi w:val="0"/>
              <w:spacing w:before="0" w:after="0"/>
              <w:jc w:val="right"/>
              <w:rPr>
                <w:rFonts w:ascii="ARIAL" w:hAnsi="ARIAL"/>
                <w:b/>
                <w:sz w:val="14"/>
              </w:rPr>
            </w:pPr>
            <w:r>
              <w:rPr>
                <w:rFonts w:ascii="ARIAL" w:hAnsi="ARIAL"/>
                <w:b/>
                <w:sz w:val="14"/>
              </w:rPr>
              <w:t>TERMINATION WITHOUT </w:t>
            </w:r>
          </w:p>
          <w:p>
            <w:pPr>
              <w:pStyle w:val="TableContents"/>
              <w:bidi w:val="0"/>
              <w:spacing w:before="0" w:after="0"/>
              <w:jc w:val="right"/>
              <w:rPr>
                <w:rFonts w:ascii="ARIAL" w:hAnsi="ARIAL"/>
                <w:b/>
                <w:sz w:val="14"/>
              </w:rPr>
            </w:pPr>
            <w:r>
              <w:rPr>
                <w:rFonts w:ascii="ARIAL" w:hAnsi="ARIAL"/>
                <w:b/>
                <w:sz w:val="14"/>
              </w:rPr>
              <w:t xml:space="preserve">CAUSE OR FOR </w:t>
            </w:r>
          </w:p>
          <w:p>
            <w:pPr>
              <w:pStyle w:val="TableContents"/>
              <w:bidi w:val="0"/>
              <w:spacing w:before="0" w:after="0"/>
              <w:jc w:val="right"/>
              <w:rPr>
                <w:rFonts w:ascii="ARIAL" w:hAnsi="ARIAL"/>
                <w:b/>
                <w:sz w:val="14"/>
              </w:rPr>
            </w:pPr>
            <w:r>
              <w:rPr>
                <w:rFonts w:ascii="ARIAL" w:hAnsi="ARIAL"/>
                <w:b/>
                <w:sz w:val="14"/>
              </w:rPr>
              <w:t>GOOD REASON WITHIN CHANGE </w:t>
            </w:r>
          </w:p>
          <w:p>
            <w:pPr>
              <w:pStyle w:val="TableContents"/>
              <w:bidi w:val="0"/>
              <w:spacing w:before="0" w:after="20"/>
              <w:jc w:val="right"/>
              <w:rPr>
                <w:rFonts w:ascii="ARIAL" w:hAnsi="ARIAL"/>
                <w:b/>
                <w:sz w:val="14"/>
              </w:rPr>
            </w:pPr>
            <w:r>
              <w:rPr>
                <w:rFonts w:ascii="ARIAL" w:hAnsi="ARIAL"/>
                <w:b/>
                <w:sz w:val="14"/>
              </w:rPr>
              <w:t>IN CONTROL WINDOW ($)(1)</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2300" w:type="dxa"/>
            <w:gridSpan w:val="2"/>
            <w:tcBorders/>
            <w:vAlign w:val="center"/>
          </w:tcPr>
          <w:p>
            <w:pPr>
              <w:pStyle w:val="TableContents"/>
              <w:bidi w:val="0"/>
              <w:spacing w:before="0" w:after="0"/>
              <w:jc w:val="right"/>
              <w:rPr>
                <w:rFonts w:ascii="ARIAL" w:hAnsi="ARIAL"/>
                <w:b/>
                <w:sz w:val="14"/>
              </w:rPr>
            </w:pPr>
            <w:r>
              <w:rPr>
                <w:rFonts w:ascii="ARIAL" w:hAnsi="ARIAL"/>
                <w:b/>
                <w:sz w:val="14"/>
              </w:rPr>
              <w:t>TERMINATION WITHOUT </w:t>
            </w:r>
          </w:p>
          <w:p>
            <w:pPr>
              <w:pStyle w:val="TableContents"/>
              <w:bidi w:val="0"/>
              <w:spacing w:before="0" w:after="0"/>
              <w:jc w:val="right"/>
              <w:rPr>
                <w:rFonts w:ascii="ARIAL" w:hAnsi="ARIAL"/>
                <w:b/>
                <w:sz w:val="14"/>
              </w:rPr>
            </w:pPr>
            <w:r>
              <w:rPr>
                <w:rFonts w:ascii="ARIAL" w:hAnsi="ARIAL"/>
                <w:b/>
                <w:sz w:val="14"/>
              </w:rPr>
              <w:t xml:space="preserve">CAUSE OR FOR </w:t>
            </w:r>
          </w:p>
          <w:p>
            <w:pPr>
              <w:pStyle w:val="TableContents"/>
              <w:bidi w:val="0"/>
              <w:spacing w:before="0" w:after="0"/>
              <w:jc w:val="right"/>
              <w:rPr>
                <w:rFonts w:ascii="ARIAL" w:hAnsi="ARIAL"/>
                <w:b/>
                <w:sz w:val="14"/>
              </w:rPr>
            </w:pPr>
            <w:r>
              <w:rPr>
                <w:rFonts w:ascii="ARIAL" w:hAnsi="ARIAL"/>
                <w:b/>
                <w:sz w:val="14"/>
              </w:rPr>
              <w:t>GOOD REASON OUTSIDE CHANGE </w:t>
            </w:r>
          </w:p>
          <w:p>
            <w:pPr>
              <w:pStyle w:val="TableContents"/>
              <w:bidi w:val="0"/>
              <w:spacing w:before="0" w:after="20"/>
              <w:jc w:val="right"/>
              <w:rPr>
                <w:rFonts w:ascii="ARIAL" w:hAnsi="ARIAL"/>
                <w:b/>
                <w:sz w:val="14"/>
              </w:rPr>
            </w:pPr>
            <w:r>
              <w:rPr>
                <w:rFonts w:ascii="ARIAL" w:hAnsi="ARIAL"/>
                <w:b/>
                <w:sz w:val="14"/>
              </w:rPr>
              <w:t xml:space="preserve">IN CONTROL WINDOW ($)(2) </w:t>
            </w:r>
          </w:p>
        </w:tc>
        <w:tc>
          <w:tcPr>
            <w:tcW w:w="75" w:type="dxa"/>
            <w:tcBorders/>
            <w:vAlign w:val="center"/>
          </w:tcPr>
          <w:p>
            <w:pPr>
              <w:pStyle w:val="TableContents"/>
              <w:bidi w:val="0"/>
              <w:spacing w:before="0" w:after="283"/>
              <w:jc w:val="left"/>
              <w:rPr/>
            </w:pPr>
            <w:r>
              <w:rPr/>
              <w:t> </w:t>
            </w:r>
          </w:p>
        </w:tc>
      </w:tr>
      <w:tr>
        <w:trPr/>
        <w:tc>
          <w:tcPr>
            <w:tcW w:w="7710" w:type="dxa"/>
            <w:gridSpan w:val="9"/>
            <w:tcBorders/>
            <w:shd w:fill="E8F4FF" w:val="clear"/>
            <w:vAlign w:val="center"/>
          </w:tcPr>
          <w:p>
            <w:pPr>
              <w:pStyle w:val="TableContents"/>
              <w:bidi w:val="0"/>
              <w:spacing w:before="0" w:after="283"/>
              <w:jc w:val="left"/>
              <w:rPr>
                <w:sz w:val="4"/>
                <w:szCs w:val="4"/>
              </w:rPr>
            </w:pPr>
            <w:r>
              <w:rPr>
                <w:sz w:val="4"/>
                <w:szCs w:val="4"/>
              </w:rPr>
            </w:r>
          </w:p>
        </w:tc>
      </w:tr>
      <w:tr>
        <w:trPr/>
        <w:tc>
          <w:tcPr>
            <w:tcW w:w="7635" w:type="dxa"/>
            <w:gridSpan w:val="8"/>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Michael Massaro</w:t>
            </w:r>
          </w:p>
        </w:tc>
        <w:tc>
          <w:tcPr>
            <w:tcW w:w="75" w:type="dxa"/>
            <w:tcBorders/>
            <w:shd w:fill="E8F4FF" w:val="clear"/>
            <w:vAlign w:val="center"/>
          </w:tcPr>
          <w:p>
            <w:pPr>
              <w:pStyle w:val="TableContents"/>
              <w:bidi w:val="0"/>
              <w:spacing w:before="0" w:after="0"/>
              <w:jc w:val="left"/>
              <w:rPr>
                <w:color w:val="2393FF"/>
              </w:rPr>
            </w:pPr>
            <w:r>
              <w:rPr>
                <w:color w:val="2393FF"/>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Cash Severance(3)</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1,350,000</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900,000</w:t>
            </w:r>
          </w:p>
        </w:tc>
        <w:tc>
          <w:tcPr>
            <w:tcW w:w="75" w:type="dxa"/>
            <w:tcBorders/>
            <w:shd w:fill="E8F4FF" w:val="clear"/>
            <w:vAlign w:val="center"/>
          </w:tcPr>
          <w:p>
            <w:pPr>
              <w:pStyle w:val="TableContents"/>
              <w:bidi w:val="0"/>
              <w:spacing w:before="0" w:after="283"/>
              <w:jc w:val="left"/>
              <w:rPr/>
            </w:pPr>
            <w:r>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Option Acceleration(4)</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1,187,738</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604,288</w:t>
            </w:r>
          </w:p>
        </w:tc>
        <w:tc>
          <w:tcPr>
            <w:tcW w:w="75" w:type="dxa"/>
            <w:tcBorders/>
            <w:shd w:fill="E8F4FF" w:val="clear"/>
            <w:vAlign w:val="center"/>
          </w:tcPr>
          <w:p>
            <w:pPr>
              <w:pStyle w:val="TableContents"/>
              <w:bidi w:val="0"/>
              <w:spacing w:before="0" w:after="283"/>
              <w:jc w:val="left"/>
              <w:rPr/>
            </w:pPr>
            <w:r>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Restricted Stock Unit Acceleration(5)</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11,951,888</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3,579,199</w:t>
            </w:r>
          </w:p>
        </w:tc>
        <w:tc>
          <w:tcPr>
            <w:tcW w:w="75" w:type="dxa"/>
            <w:tcBorders/>
            <w:shd w:fill="E8F4FF" w:val="clear"/>
            <w:vAlign w:val="center"/>
          </w:tcPr>
          <w:p>
            <w:pPr>
              <w:pStyle w:val="TableContents"/>
              <w:bidi w:val="0"/>
              <w:spacing w:before="0" w:after="283"/>
              <w:jc w:val="left"/>
              <w:rPr/>
            </w:pPr>
            <w:r>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Benefit Continuation</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44,721</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29,814</w:t>
            </w:r>
          </w:p>
        </w:tc>
        <w:tc>
          <w:tcPr>
            <w:tcW w:w="75" w:type="dxa"/>
            <w:tcBorders/>
            <w:shd w:fill="E8F4FF" w:val="clear"/>
            <w:vAlign w:val="center"/>
          </w:tcPr>
          <w:p>
            <w:pPr>
              <w:pStyle w:val="TableContents"/>
              <w:bidi w:val="0"/>
              <w:spacing w:before="0" w:after="283"/>
              <w:jc w:val="left"/>
              <w:rPr/>
            </w:pPr>
            <w:r>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Total Value</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14,534,346</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5,113,300</w:t>
            </w:r>
          </w:p>
        </w:tc>
        <w:tc>
          <w:tcPr>
            <w:tcW w:w="75" w:type="dxa"/>
            <w:tcBorders/>
            <w:shd w:fill="E8F4FF" w:val="clear"/>
            <w:vAlign w:val="center"/>
          </w:tcPr>
          <w:p>
            <w:pPr>
              <w:pStyle w:val="TableContents"/>
              <w:bidi w:val="0"/>
              <w:spacing w:before="0" w:after="283"/>
              <w:jc w:val="left"/>
              <w:rPr/>
            </w:pPr>
            <w:r>
              <w:rPr/>
              <w:t> </w:t>
            </w:r>
          </w:p>
        </w:tc>
      </w:tr>
      <w:tr>
        <w:trPr/>
        <w:tc>
          <w:tcPr>
            <w:tcW w:w="7635" w:type="dxa"/>
            <w:gridSpan w:val="8"/>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Robert Orgel</w:t>
            </w:r>
          </w:p>
        </w:tc>
        <w:tc>
          <w:tcPr>
            <w:tcW w:w="75" w:type="dxa"/>
            <w:tcBorders/>
            <w:vAlign w:val="center"/>
          </w:tcPr>
          <w:p>
            <w:pPr>
              <w:pStyle w:val="TableContents"/>
              <w:bidi w:val="0"/>
              <w:spacing w:before="0" w:after="0"/>
              <w:jc w:val="left"/>
              <w:rPr>
                <w:color w:val="2393FF"/>
              </w:rPr>
            </w:pPr>
            <w:r>
              <w:rPr>
                <w:color w:val="2393FF"/>
              </w:rPr>
              <w:t> </w:t>
            </w:r>
          </w:p>
        </w:tc>
      </w:tr>
      <w:tr>
        <w:trPr/>
        <w:tc>
          <w:tcPr>
            <w:tcW w:w="2735" w:type="dxa"/>
            <w:tcBorders/>
            <w:vAlign w:val="center"/>
          </w:tcPr>
          <w:p>
            <w:pPr>
              <w:pStyle w:val="TableContents"/>
              <w:bidi w:val="0"/>
              <w:spacing w:before="0" w:after="0"/>
              <w:jc w:val="left"/>
              <w:rPr>
                <w:rFonts w:ascii="ARIAL" w:hAnsi="ARIAL"/>
                <w:i/>
                <w:color w:val="2393FF"/>
                <w:sz w:val="16"/>
              </w:rPr>
            </w:pPr>
            <w:r>
              <w:rPr>
                <w:rFonts w:ascii="ARIAL" w:hAnsi="ARIAL"/>
                <w:i/>
                <w:color w:val="2393FF"/>
                <w:sz w:val="16"/>
              </w:rPr>
              <w:t>Cash Severance(3)</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575,000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487,500</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ARIAL" w:hAnsi="ARIAL"/>
                <w:i/>
                <w:color w:val="2393FF"/>
                <w:sz w:val="16"/>
              </w:rPr>
            </w:pPr>
            <w:r>
              <w:rPr>
                <w:rFonts w:ascii="ARIAL" w:hAnsi="ARIAL"/>
                <w:i/>
                <w:color w:val="2393FF"/>
                <w:sz w:val="16"/>
              </w:rPr>
              <w:t>Option Acceleration(4)</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156,281</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156,281</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ARIAL" w:hAnsi="ARIAL"/>
                <w:i/>
                <w:color w:val="2393FF"/>
                <w:sz w:val="16"/>
              </w:rPr>
            </w:pPr>
            <w:r>
              <w:rPr>
                <w:rFonts w:ascii="ARIAL" w:hAnsi="ARIAL"/>
                <w:i/>
                <w:color w:val="2393FF"/>
                <w:sz w:val="16"/>
              </w:rPr>
              <w:t>Restricted Stock Unit Acceleration(5)</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6,638,032</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1,988,284</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ARIAL" w:hAnsi="ARIAL"/>
                <w:i/>
                <w:color w:val="2393FF"/>
                <w:sz w:val="16"/>
              </w:rPr>
            </w:pPr>
            <w:r>
              <w:rPr>
                <w:rFonts w:ascii="ARIAL" w:hAnsi="ARIAL"/>
                <w:i/>
                <w:color w:val="2393FF"/>
                <w:sz w:val="16"/>
              </w:rPr>
              <w:t>Benefit Continuation</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29,814</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22,360</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ARIAL" w:hAnsi="ARIAL"/>
                <w:i/>
                <w:color w:val="2393FF"/>
                <w:sz w:val="16"/>
              </w:rPr>
            </w:pPr>
            <w:r>
              <w:rPr>
                <w:rFonts w:ascii="ARIAL" w:hAnsi="ARIAL"/>
                <w:i/>
                <w:color w:val="2393FF"/>
                <w:sz w:val="16"/>
              </w:rPr>
              <w:t>Total Value</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7,399,127</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2,654,425</w:t>
            </w:r>
          </w:p>
        </w:tc>
        <w:tc>
          <w:tcPr>
            <w:tcW w:w="75" w:type="dxa"/>
            <w:tcBorders/>
            <w:vAlign w:val="center"/>
          </w:tcPr>
          <w:p>
            <w:pPr>
              <w:pStyle w:val="TableContents"/>
              <w:bidi w:val="0"/>
              <w:spacing w:before="0" w:after="283"/>
              <w:jc w:val="left"/>
              <w:rPr/>
            </w:pPr>
            <w:r>
              <w:rPr/>
              <w:t> </w:t>
            </w:r>
          </w:p>
        </w:tc>
      </w:tr>
      <w:tr>
        <w:trPr/>
        <w:tc>
          <w:tcPr>
            <w:tcW w:w="7635" w:type="dxa"/>
            <w:gridSpan w:val="8"/>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Cosmin Pitigoi</w:t>
            </w:r>
          </w:p>
        </w:tc>
        <w:tc>
          <w:tcPr>
            <w:tcW w:w="75" w:type="dxa"/>
            <w:tcBorders/>
            <w:shd w:fill="E8F4FF" w:val="clear"/>
            <w:vAlign w:val="center"/>
          </w:tcPr>
          <w:p>
            <w:pPr>
              <w:pStyle w:val="TableContents"/>
              <w:bidi w:val="0"/>
              <w:spacing w:before="0" w:after="0"/>
              <w:jc w:val="left"/>
              <w:rPr>
                <w:color w:val="2393FF"/>
              </w:rPr>
            </w:pPr>
            <w:r>
              <w:rPr>
                <w:color w:val="2393FF"/>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Cash Severance(3)</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710,000</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607,500</w:t>
            </w:r>
          </w:p>
        </w:tc>
        <w:tc>
          <w:tcPr>
            <w:tcW w:w="75" w:type="dxa"/>
            <w:tcBorders/>
            <w:shd w:fill="E8F4FF" w:val="clear"/>
            <w:vAlign w:val="center"/>
          </w:tcPr>
          <w:p>
            <w:pPr>
              <w:pStyle w:val="TableContents"/>
              <w:bidi w:val="0"/>
              <w:spacing w:before="0" w:after="283"/>
              <w:jc w:val="left"/>
              <w:rPr/>
            </w:pPr>
            <w:r>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Option Acceleration(4)</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w:t>
            </w:r>
          </w:p>
        </w:tc>
        <w:tc>
          <w:tcPr>
            <w:tcW w:w="75" w:type="dxa"/>
            <w:tcBorders/>
            <w:shd w:fill="E8F4FF" w:val="clear"/>
            <w:vAlign w:val="center"/>
          </w:tcPr>
          <w:p>
            <w:pPr>
              <w:pStyle w:val="TableContents"/>
              <w:bidi w:val="0"/>
              <w:spacing w:before="0" w:after="283"/>
              <w:jc w:val="left"/>
              <w:rPr/>
            </w:pPr>
            <w:r>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Restricted Stock Unit Acceleration(5)</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8,126,919</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3,413,270</w:t>
            </w:r>
          </w:p>
        </w:tc>
        <w:tc>
          <w:tcPr>
            <w:tcW w:w="75" w:type="dxa"/>
            <w:tcBorders/>
            <w:shd w:fill="E8F4FF" w:val="clear"/>
            <w:vAlign w:val="center"/>
          </w:tcPr>
          <w:p>
            <w:pPr>
              <w:pStyle w:val="TableContents"/>
              <w:bidi w:val="0"/>
              <w:spacing w:before="0" w:after="283"/>
              <w:jc w:val="left"/>
              <w:rPr/>
            </w:pPr>
            <w:r>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Benefit Continuation</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29,814</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22,360</w:t>
            </w:r>
          </w:p>
        </w:tc>
        <w:tc>
          <w:tcPr>
            <w:tcW w:w="75" w:type="dxa"/>
            <w:tcBorders/>
            <w:shd w:fill="E8F4FF" w:val="clear"/>
            <w:vAlign w:val="center"/>
          </w:tcPr>
          <w:p>
            <w:pPr>
              <w:pStyle w:val="TableContents"/>
              <w:bidi w:val="0"/>
              <w:spacing w:before="0" w:after="283"/>
              <w:jc w:val="left"/>
              <w:rPr/>
            </w:pPr>
            <w:r>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Total Value</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8,866,733</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4,043,130</w:t>
            </w:r>
          </w:p>
        </w:tc>
        <w:tc>
          <w:tcPr>
            <w:tcW w:w="75" w:type="dxa"/>
            <w:tcBorders/>
            <w:shd w:fill="E8F4FF" w:val="clear"/>
            <w:vAlign w:val="center"/>
          </w:tcPr>
          <w:p>
            <w:pPr>
              <w:pStyle w:val="TableContents"/>
              <w:bidi w:val="0"/>
              <w:spacing w:before="0" w:after="283"/>
              <w:jc w:val="left"/>
              <w:rPr/>
            </w:pPr>
            <w:r>
              <w:rPr/>
              <w:t> </w:t>
            </w:r>
          </w:p>
        </w:tc>
      </w:tr>
      <w:tr>
        <w:trPr/>
        <w:tc>
          <w:tcPr>
            <w:tcW w:w="7635" w:type="dxa"/>
            <w:gridSpan w:val="8"/>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Peter Butterfield</w:t>
            </w:r>
          </w:p>
        </w:tc>
        <w:tc>
          <w:tcPr>
            <w:tcW w:w="75" w:type="dxa"/>
            <w:tcBorders/>
            <w:vAlign w:val="center"/>
          </w:tcPr>
          <w:p>
            <w:pPr>
              <w:pStyle w:val="TableContents"/>
              <w:bidi w:val="0"/>
              <w:spacing w:before="0" w:after="0"/>
              <w:jc w:val="left"/>
              <w:rPr>
                <w:color w:val="2393FF"/>
              </w:rPr>
            </w:pPr>
            <w:r>
              <w:rPr>
                <w:color w:val="2393FF"/>
              </w:rPr>
              <w:t> </w:t>
            </w:r>
          </w:p>
        </w:tc>
      </w:tr>
      <w:tr>
        <w:trPr/>
        <w:tc>
          <w:tcPr>
            <w:tcW w:w="2735" w:type="dxa"/>
            <w:tcBorders/>
            <w:vAlign w:val="center"/>
          </w:tcPr>
          <w:p>
            <w:pPr>
              <w:pStyle w:val="TableContents"/>
              <w:bidi w:val="0"/>
              <w:spacing w:before="0" w:after="0"/>
              <w:jc w:val="left"/>
              <w:rPr>
                <w:rFonts w:ascii="ARIAL" w:hAnsi="ARIAL"/>
                <w:i/>
                <w:color w:val="2393FF"/>
                <w:sz w:val="16"/>
              </w:rPr>
            </w:pPr>
            <w:r>
              <w:rPr>
                <w:rFonts w:ascii="ARIAL" w:hAnsi="ARIAL"/>
                <w:i/>
                <w:color w:val="2393FF"/>
                <w:sz w:val="16"/>
              </w:rPr>
              <w:t>Cash Severance(3)</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460,000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305,000</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ARIAL" w:hAnsi="ARIAL"/>
                <w:i/>
                <w:color w:val="2393FF"/>
                <w:sz w:val="16"/>
              </w:rPr>
            </w:pPr>
            <w:r>
              <w:rPr>
                <w:rFonts w:ascii="ARIAL" w:hAnsi="ARIAL"/>
                <w:i/>
                <w:color w:val="2393FF"/>
                <w:sz w:val="16"/>
              </w:rPr>
              <w:t>Option Acceleration(4)</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41,675</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ARIAL" w:hAnsi="ARIAL"/>
                <w:i/>
                <w:color w:val="2393FF"/>
                <w:sz w:val="16"/>
              </w:rPr>
            </w:pPr>
            <w:r>
              <w:rPr>
                <w:rFonts w:ascii="ARIAL" w:hAnsi="ARIAL"/>
                <w:i/>
                <w:color w:val="2393FF"/>
                <w:sz w:val="16"/>
              </w:rPr>
              <w:t>Restricted Stock Unit Acceleration(5)</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2,759,966</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ARIAL" w:hAnsi="ARIAL"/>
                <w:i/>
                <w:color w:val="2393FF"/>
                <w:sz w:val="16"/>
              </w:rPr>
            </w:pPr>
            <w:r>
              <w:rPr>
                <w:rFonts w:ascii="ARIAL" w:hAnsi="ARIAL"/>
                <w:i/>
                <w:color w:val="2393FF"/>
                <w:sz w:val="16"/>
              </w:rPr>
              <w:t>Benefit Continuation</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29,527</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14,763</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ARIAL" w:hAnsi="ARIAL"/>
                <w:i/>
                <w:color w:val="2393FF"/>
                <w:sz w:val="16"/>
              </w:rPr>
            </w:pPr>
            <w:r>
              <w:rPr>
                <w:rFonts w:ascii="ARIAL" w:hAnsi="ARIAL"/>
                <w:i/>
                <w:color w:val="2393FF"/>
                <w:sz w:val="16"/>
              </w:rPr>
              <w:t>Total Value</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3,291,168</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319,763</w:t>
            </w:r>
          </w:p>
        </w:tc>
        <w:tc>
          <w:tcPr>
            <w:tcW w:w="75" w:type="dxa"/>
            <w:tcBorders/>
            <w:vAlign w:val="center"/>
          </w:tcPr>
          <w:p>
            <w:pPr>
              <w:pStyle w:val="TableContents"/>
              <w:bidi w:val="0"/>
              <w:spacing w:before="0" w:after="283"/>
              <w:jc w:val="left"/>
              <w:rPr/>
            </w:pPr>
            <w:r>
              <w:rPr/>
              <w:t> </w:t>
            </w:r>
          </w:p>
        </w:tc>
      </w:tr>
      <w:tr>
        <w:trPr/>
        <w:tc>
          <w:tcPr>
            <w:tcW w:w="7635" w:type="dxa"/>
            <w:gridSpan w:val="8"/>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David King</w:t>
            </w:r>
          </w:p>
        </w:tc>
        <w:tc>
          <w:tcPr>
            <w:tcW w:w="75" w:type="dxa"/>
            <w:tcBorders/>
            <w:shd w:fill="E8F4FF" w:val="clear"/>
            <w:vAlign w:val="center"/>
          </w:tcPr>
          <w:p>
            <w:pPr>
              <w:pStyle w:val="TableContents"/>
              <w:bidi w:val="0"/>
              <w:spacing w:before="0" w:after="0"/>
              <w:jc w:val="left"/>
              <w:rPr>
                <w:color w:val="2393FF"/>
              </w:rPr>
            </w:pPr>
            <w:r>
              <w:rPr>
                <w:color w:val="2393FF"/>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Cash Severance(3)</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460,000</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305,000</w:t>
            </w:r>
          </w:p>
        </w:tc>
        <w:tc>
          <w:tcPr>
            <w:tcW w:w="75" w:type="dxa"/>
            <w:tcBorders/>
            <w:shd w:fill="E8F4FF" w:val="clear"/>
            <w:vAlign w:val="center"/>
          </w:tcPr>
          <w:p>
            <w:pPr>
              <w:pStyle w:val="TableContents"/>
              <w:bidi w:val="0"/>
              <w:spacing w:before="0" w:after="283"/>
              <w:jc w:val="left"/>
              <w:rPr/>
            </w:pPr>
            <w:r>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Option Acceleration(4)</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31,256</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w:t>
            </w:r>
          </w:p>
        </w:tc>
        <w:tc>
          <w:tcPr>
            <w:tcW w:w="75" w:type="dxa"/>
            <w:tcBorders/>
            <w:shd w:fill="E8F4FF" w:val="clear"/>
            <w:vAlign w:val="center"/>
          </w:tcPr>
          <w:p>
            <w:pPr>
              <w:pStyle w:val="TableContents"/>
              <w:bidi w:val="0"/>
              <w:spacing w:before="0" w:after="283"/>
              <w:jc w:val="left"/>
              <w:rPr/>
            </w:pPr>
            <w:r>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Restricted Stock Unit Acceleration(5)</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5,110,668</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w:t>
            </w:r>
          </w:p>
        </w:tc>
        <w:tc>
          <w:tcPr>
            <w:tcW w:w="75" w:type="dxa"/>
            <w:tcBorders/>
            <w:shd w:fill="E8F4FF" w:val="clear"/>
            <w:vAlign w:val="center"/>
          </w:tcPr>
          <w:p>
            <w:pPr>
              <w:pStyle w:val="TableContents"/>
              <w:bidi w:val="0"/>
              <w:spacing w:before="0" w:after="283"/>
              <w:jc w:val="left"/>
              <w:rPr/>
            </w:pPr>
            <w:r>
              <w:rPr/>
              <w:t> </w:t>
            </w:r>
          </w:p>
        </w:tc>
      </w:tr>
      <w:tr>
        <w:trPr/>
        <w:tc>
          <w:tcPr>
            <w:tcW w:w="273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Benefit Continuation</w:t>
            </w:r>
          </w:p>
        </w:tc>
        <w:tc>
          <w:tcPr>
            <w:tcW w:w="120" w:type="dxa"/>
            <w:tcBorders/>
            <w:shd w:fill="E8F4FF" w:val="clear"/>
            <w:vAlign w:val="center"/>
          </w:tcPr>
          <w:p>
            <w:pPr>
              <w:pStyle w:val="TableContents"/>
              <w:bidi w:val="0"/>
              <w:spacing w:before="0" w:after="283"/>
              <w:jc w:val="left"/>
              <w:rPr/>
            </w:pPr>
            <w:r>
              <w:rPr/>
              <w:t>  </w:t>
            </w:r>
          </w:p>
        </w:tc>
        <w:tc>
          <w:tcPr>
            <w:tcW w:w="112" w:type="dxa"/>
            <w:tcBorders/>
            <w:shd w:fill="E8F4FF" w:val="clear"/>
            <w:vAlign w:val="center"/>
          </w:tcPr>
          <w:p>
            <w:pPr>
              <w:pStyle w:val="TableContents"/>
              <w:bidi w:val="0"/>
              <w:spacing w:before="0" w:after="283"/>
              <w:jc w:val="left"/>
              <w:rPr/>
            </w:pPr>
            <w:r>
              <w:rPr/>
              <w:t> </w:t>
            </w:r>
          </w:p>
        </w:tc>
        <w:tc>
          <w:tcPr>
            <w:tcW w:w="2068" w:type="dxa"/>
            <w:tcBorders/>
            <w:shd w:fill="E8F4FF" w:val="clear"/>
            <w:vAlign w:val="center"/>
          </w:tcPr>
          <w:p>
            <w:pPr>
              <w:pStyle w:val="TableContents"/>
              <w:bidi w:val="0"/>
              <w:spacing w:before="0" w:after="283"/>
              <w:jc w:val="right"/>
              <w:rPr/>
            </w:pPr>
            <w:r>
              <w:rPr/>
              <w:t>29,814</w:t>
            </w:r>
          </w:p>
        </w:tc>
        <w:tc>
          <w:tcPr>
            <w:tcW w:w="6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    </w:t>
            </w:r>
          </w:p>
        </w:tc>
        <w:tc>
          <w:tcPr>
            <w:tcW w:w="132" w:type="dxa"/>
            <w:tcBorders/>
            <w:shd w:fill="E8F4FF" w:val="clear"/>
            <w:vAlign w:val="center"/>
          </w:tcPr>
          <w:p>
            <w:pPr>
              <w:pStyle w:val="TableContents"/>
              <w:bidi w:val="0"/>
              <w:spacing w:before="0" w:after="283"/>
              <w:jc w:val="left"/>
              <w:rPr/>
            </w:pPr>
            <w:r>
              <w:rPr/>
              <w:t> </w:t>
            </w:r>
          </w:p>
        </w:tc>
        <w:tc>
          <w:tcPr>
            <w:tcW w:w="2168" w:type="dxa"/>
            <w:tcBorders/>
            <w:shd w:fill="E8F4FF" w:val="clear"/>
            <w:vAlign w:val="center"/>
          </w:tcPr>
          <w:p>
            <w:pPr>
              <w:pStyle w:val="TableContents"/>
              <w:bidi w:val="0"/>
              <w:spacing w:before="0" w:after="283"/>
              <w:jc w:val="right"/>
              <w:rPr/>
            </w:pPr>
            <w:r>
              <w:rPr/>
              <w:t>14,907</w:t>
            </w:r>
          </w:p>
        </w:tc>
        <w:tc>
          <w:tcPr>
            <w:tcW w:w="75" w:type="dxa"/>
            <w:tcBorders/>
            <w:shd w:fill="E8F4FF" w:val="clear"/>
            <w:vAlign w:val="center"/>
          </w:tcPr>
          <w:p>
            <w:pPr>
              <w:pStyle w:val="TableContents"/>
              <w:bidi w:val="0"/>
              <w:spacing w:before="0" w:after="283"/>
              <w:jc w:val="left"/>
              <w:rPr/>
            </w:pPr>
            <w:r>
              <w:rPr/>
              <w:t> </w:t>
            </w:r>
          </w:p>
        </w:tc>
      </w:tr>
      <w:tr>
        <w:trPr/>
        <w:tc>
          <w:tcPr>
            <w:tcW w:w="2735" w:type="dxa"/>
            <w:tcBorders>
              <w:bottom w:val="single" w:sz="6" w:space="0" w:color="2393FF"/>
            </w:tcBorders>
            <w:shd w:fill="E8F4FF" w:val="clear"/>
            <w:tcMar>
              <w:bottom w:w="120" w:type="dxa"/>
            </w:tcMar>
            <w:vAlign w:val="center"/>
          </w:tcPr>
          <w:p>
            <w:pPr>
              <w:pStyle w:val="TableContents"/>
              <w:bidi w:val="0"/>
              <w:spacing w:before="0" w:after="0"/>
              <w:jc w:val="left"/>
              <w:rPr>
                <w:rFonts w:ascii="ARIAL" w:hAnsi="ARIAL"/>
                <w:i/>
                <w:color w:val="2393FF"/>
                <w:sz w:val="16"/>
              </w:rPr>
            </w:pPr>
            <w:r>
              <w:rPr>
                <w:rFonts w:ascii="ARIAL" w:hAnsi="ARIAL"/>
                <w:i/>
                <w:color w:val="2393FF"/>
                <w:sz w:val="16"/>
              </w:rPr>
              <w:t>Total Value</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12"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2068" w:type="dxa"/>
            <w:tcBorders>
              <w:bottom w:val="single" w:sz="6" w:space="0" w:color="2393FF"/>
            </w:tcBorders>
            <w:shd w:fill="E8F4FF" w:val="clear"/>
            <w:tcMar>
              <w:bottom w:w="120" w:type="dxa"/>
            </w:tcMar>
            <w:vAlign w:val="center"/>
          </w:tcPr>
          <w:p>
            <w:pPr>
              <w:pStyle w:val="TableContents"/>
              <w:bidi w:val="0"/>
              <w:spacing w:before="0" w:after="283"/>
              <w:jc w:val="right"/>
              <w:rPr/>
            </w:pPr>
            <w:r>
              <w:rPr/>
              <w:t>5,631,758</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24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32"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2168" w:type="dxa"/>
            <w:tcBorders>
              <w:bottom w:val="single" w:sz="6" w:space="0" w:color="2393FF"/>
            </w:tcBorders>
            <w:shd w:fill="E8F4FF" w:val="clear"/>
            <w:tcMar>
              <w:bottom w:w="120" w:type="dxa"/>
            </w:tcMar>
            <w:vAlign w:val="center"/>
          </w:tcPr>
          <w:p>
            <w:pPr>
              <w:pStyle w:val="TableContents"/>
              <w:bidi w:val="0"/>
              <w:spacing w:before="0" w:after="283"/>
              <w:jc w:val="right"/>
              <w:rPr/>
            </w:pPr>
            <w:r>
              <w:rPr/>
              <w:t>319,907</w:t>
            </w:r>
          </w:p>
        </w:tc>
        <w:tc>
          <w:tcPr>
            <w:tcW w:w="75"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color w:val="333333"/>
              </w:rPr>
            </w:pPr>
            <w:r>
              <w:rPr>
                <w:color w:val="333333"/>
              </w:rPr>
              <w:t>(1)</w:t>
            </w:r>
          </w:p>
        </w:tc>
        <w:tc>
          <w:tcPr>
            <w:tcW w:w="9944"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Pursuant to their employment agreements, if we terminate the employment of any of our NEOs without Cause (as defined below) or if such executive Resigns for Good Reason (as defined below) in a Change of Control Window, then, subject to them executing and not revoking a release of claims against us, such named executive officer will be eligible to receive: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olor w:val="333333"/>
              </w:rPr>
            </w:pPr>
            <w:r>
              <w:rPr>
                <w:color w:val="333333"/>
              </w:rPr>
              <w:t>a.</w:t>
            </w:r>
          </w:p>
        </w:tc>
        <w:tc>
          <w:tcPr>
            <w:tcW w:w="994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a lump sum cash payment equal to one (1) (one and one-half (1.5) in the case of Mr. Massaro) multiplied by the sum of (1) his then current base salary and (2) his annual target bonus;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200"/>
        <w:gridCol w:w="70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333333"/>
              </w:rPr>
            </w:pPr>
            <w:r>
              <w:rPr>
                <w:color w:val="333333"/>
              </w:rPr>
              <w:t>b.</w:t>
            </w:r>
          </w:p>
        </w:tc>
        <w:tc>
          <w:tcPr>
            <w:tcW w:w="701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the payment of COBRA continuation premiums for up to 12 months (18 months in the case of Mr. Massaro); and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  40  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olor w:val="333333"/>
              </w:rPr>
            </w:pPr>
            <w:r>
              <w:rPr>
                <w:color w:val="333333"/>
              </w:rPr>
              <w:t>c.</w:t>
            </w:r>
          </w:p>
        </w:tc>
        <w:tc>
          <w:tcPr>
            <w:tcW w:w="994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any unvested option shares and equity awards that are subject to time-based vesting shall be vested in full and non-forfeitable; provided, that, (1) with respect to Messrs. Massaro and Orgel, in the event that, prior to such termination, any unvested options held by the executive were terminated without payment upon the closing of the change in control, then, in lieu of the acceleration of such vesting, the executive shall receive a cash payment equal in value to the difference between (i) the amount payable per share in the change in control, multiplied by the number of option shares that would have been accelerated and (ii) the aggregate exercise price of such shares; and (2) ) with respect to Mr. Pitigoi, in the event that, prior to such termination, any unvested RSUs held by the executive were terminated without payment upon the closing of the change in control, then, in lieu of the acceleration of such vesting, the executive shall receive a cash payment equal to the amount payable per share in the change in control, multiplied by the number of RSUs that would have been accelerated. Solely with respect to Mr. Orgel’s stock options that were outstanding as of May 28, 2021, Mr. Orgel may exercise such vested options for up to 12 months following a termination without Cause or his Resignation for Good Reason in connection with a change in control provided that no such exercise period shall extend beyond the applicable extension date of such options.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color w:val="333333"/>
              </w:rPr>
            </w:pPr>
            <w:r>
              <w:rPr>
                <w:color w:val="333333"/>
              </w:rPr>
              <w:t>(2)</w:t>
            </w:r>
          </w:p>
        </w:tc>
        <w:tc>
          <w:tcPr>
            <w:tcW w:w="994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Pursuant to their employment agreements, if we terminate the employment of any of our NEOs without Cause or if such executive Resigns for Good Reason outside of a Change in Control Window, then, subject to them executing and not revoking a release of claims against us, such named executive will be eligible to receive: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salary continuation at his then current base salary for the applicable continuation period following such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a lump sum payment equal to his accrued and unpaid annual bonus if he or she is terminated after the end of a fiscal year, but prior to payment of such bonus;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 the case of Messrs. Massaro, Orgel and Pitigoi, an additional six months of vesting with respect to any outstanding equity awards; and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33333"/>
              </w:rPr>
            </w:pPr>
            <w:r>
              <w:rPr>
                <w:color w:val="333333"/>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the payment of COBRA continuation premiums for the applicable continuation period. </w:t>
            </w:r>
          </w:p>
        </w:tc>
      </w:tr>
    </w:tbl>
    <w:p>
      <w:pPr>
        <w:pStyle w:val="TextBody"/>
        <w:bidi w:val="0"/>
        <w:spacing w:before="160" w:after="0"/>
        <w:jc w:val="left"/>
        <w:rPr>
          <w:rFonts w:ascii="ARIAL" w:hAnsi="ARIAL"/>
          <w:color w:val="333333"/>
          <w:sz w:val="14"/>
        </w:rPr>
      </w:pPr>
      <w:r>
        <w:rPr>
          <w:rFonts w:ascii="ARIAL" w:hAnsi="ARIAL"/>
          <w:color w:val="333333"/>
          <w:sz w:val="14"/>
        </w:rPr>
        <w:t xml:space="preserve">The applicable continuation period is (i) six months for Messrs. Butterfield and Mr. King, (ii) nine months for Messrs. Orgel and Pitigoi, and (iii) 12 months for Mr. Massaro. </w:t>
      </w:r>
    </w:p>
    <w:p>
      <w:pPr>
        <w:pStyle w:val="TextBody"/>
        <w:bidi w:val="0"/>
        <w:spacing w:before="160" w:after="0"/>
        <w:jc w:val="left"/>
        <w:rPr>
          <w:rFonts w:ascii="ARIAL" w:hAnsi="ARIAL"/>
          <w:color w:val="333333"/>
          <w:sz w:val="14"/>
        </w:rPr>
      </w:pPr>
      <w:r>
        <w:rPr>
          <w:rFonts w:ascii="ARIAL" w:hAnsi="ARIAL"/>
          <w:color w:val="333333"/>
          <w:sz w:val="14"/>
        </w:rPr>
        <w:t xml:space="preserve">Cause is defined in the employment agreements as (i) a material failure by the executive to comply with our written policies or rules after being provided written notice and failing to remedy such failure within 30 days after such notice; (ii) the executive’s conviction of, or plea of guilty or no contest to, a crime involving moral turpitude, deceit, dishonesty or fraud that has caused harm to us or any affiliate of ours; (iii) the executive’s willful and continued failure to substantially perform (other than by reason of disability) his duties and responsibilities assigned or delegated after receiving written notification of such failure from our board of directors and failing to remedy such failure within 30 days after such notice; (iv) any intentional act of dishonesty, deceit, fraud, moral turpitude, misconduct, breach of trust or acts intentionally against the financial or business interests of Flywire by the executive, or his use or possession of illegal drugs in the workplace; (v) the material breach by the executive of any of his obligations under any agreement between him and us after being provided written notice and failing to remedy such failure within 30 days after such notice; or (vi) the executive’s failure to cooperate in good faith with a governmental or internal investigation of Flywire or its directors, officers or employees, if we have requested his cooperation. Notwithstanding the foregoing, no act, or failure to act, will be deemed willful or intentional if done or omitted to be done by the executive in good faith with a reasonable belief that his act, or failure to act, was in the best interest of Flywire. </w:t>
      </w:r>
    </w:p>
    <w:p>
      <w:pPr>
        <w:pStyle w:val="TextBody"/>
        <w:bidi w:val="0"/>
        <w:spacing w:before="160" w:after="0"/>
        <w:jc w:val="left"/>
        <w:rPr>
          <w:rFonts w:ascii="ARIAL" w:hAnsi="ARIAL"/>
          <w:color w:val="333333"/>
          <w:sz w:val="14"/>
        </w:rPr>
      </w:pPr>
      <w:r>
        <w:rPr>
          <w:rFonts w:ascii="ARIAL" w:hAnsi="ARIAL"/>
          <w:color w:val="333333"/>
          <w:sz w:val="14"/>
        </w:rPr>
        <w:t xml:space="preserve">Resign for Good Reason is defined in the employment agreement as a separation as a result of the executive resigning within 12 months after one of the following conditions has come into existence without his written consent: (i) a material diminution in the executive’s compensation (except for across-the-board reductions affecting our similarly situated employees generally); (ii) a material diminution in the executive’s title, duties, authority and responsibilities within Flywire; (iii) the relocation of the executive’s principal workplace by more than 50 miles away from the location which he was working immediately prior to the required relocation without his prior consent; or (iv) a material breach of our obligation under any agreement between us and the executive. A Resignation for Good Reason shall not be deemed to have occurred unless the executive gives our written notice of the condition within 60 days after the condition comes into existence and we fail to remedy the condition within 30 days after receiving his written notice. </w:t>
      </w:r>
    </w:p>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305"/>
        <w:gridCol w:w="9260"/>
      </w:tblGrid>
      <w:tr>
        <w:trPr/>
        <w:tc>
          <w:tcPr>
            <w:tcW w:w="305" w:type="dxa"/>
            <w:tcBorders/>
            <w:vAlign w:val="center"/>
          </w:tcPr>
          <w:p>
            <w:pPr>
              <w:pStyle w:val="TableContents"/>
              <w:bidi w:val="0"/>
              <w:spacing w:before="0" w:after="283"/>
              <w:jc w:val="left"/>
              <w:rPr>
                <w:color w:val="333333"/>
              </w:rPr>
            </w:pPr>
            <w:r>
              <w:rPr>
                <w:color w:val="333333"/>
              </w:rPr>
              <w:t>(3)</w:t>
            </w:r>
          </w:p>
        </w:tc>
        <w:tc>
          <w:tcPr>
            <w:tcW w:w="926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For purposes of valuing cash severance payments in the table above, we used each NEO’s base salary and target bonus as of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color w:val="333333"/>
              </w:rPr>
            </w:pPr>
            <w:r>
              <w:rPr>
                <w:color w:val="333333"/>
              </w:rPr>
              <w:t>(4)</w:t>
            </w:r>
          </w:p>
        </w:tc>
        <w:tc>
          <w:tcPr>
            <w:tcW w:w="9936"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The value realized on the acceleration of options is based on the difference between the closing market price per share of our common stock on December 31, 2024 and the exercise price of the related stock option, multiplied by the number of shares for which the options were exercised.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305"/>
        <w:gridCol w:w="9725"/>
      </w:tblGrid>
      <w:tr>
        <w:trPr/>
        <w:tc>
          <w:tcPr>
            <w:tcW w:w="305" w:type="dxa"/>
            <w:tcBorders/>
            <w:vAlign w:val="center"/>
          </w:tcPr>
          <w:p>
            <w:pPr>
              <w:pStyle w:val="TableContents"/>
              <w:bidi w:val="0"/>
              <w:spacing w:before="0" w:after="283"/>
              <w:jc w:val="left"/>
              <w:rPr>
                <w:color w:val="333333"/>
              </w:rPr>
            </w:pPr>
            <w:r>
              <w:rPr>
                <w:color w:val="333333"/>
              </w:rPr>
              <w:t>(5)</w:t>
            </w:r>
          </w:p>
        </w:tc>
        <w:tc>
          <w:tcPr>
            <w:tcW w:w="972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The value realized on the acceleration of restricted stock units is based on the closing market price per share of our common stock on December 31, 2024. </w:t>
            </w:r>
          </w:p>
        </w:tc>
      </w:tr>
    </w:tbl>
    <w:p>
      <w:pPr>
        <w:pStyle w:val="TextBody"/>
        <w:bidi w:val="0"/>
        <w:spacing w:before="160" w:after="0"/>
        <w:jc w:val="left"/>
        <w:rPr>
          <w:rFonts w:ascii="ARIAL" w:hAnsi="ARIAL"/>
          <w:sz w:val="18"/>
        </w:rPr>
      </w:pPr>
      <w:r>
        <w:rPr>
          <w:rFonts w:ascii="ARIAL" w:hAnsi="ARIAL"/>
          <w:sz w:val="18"/>
        </w:rPr>
        <w:t xml:space="preserve">The following table describes the actual payment and benefits provided to Mr. Ellis upon the termination of his employment with our Company effective April 5, 2024 pursuant to his transition agreement. </w:t>
      </w:r>
    </w:p>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2525"/>
        <w:gridCol w:w="120"/>
        <w:gridCol w:w="60"/>
        <w:gridCol w:w="980"/>
        <w:gridCol w:w="75"/>
      </w:tblGrid>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pPr>
            <w:r>
              <w:rPr/>
              <w:t> </w:t>
            </w:r>
            <w:r>
              <w:rPr>
                <w:b/>
              </w:rPr>
              <w:t>NAME</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b/>
              </w:rPr>
            </w:pPr>
            <w:r>
              <w:rPr>
                <w:b/>
              </w:rPr>
              <w:t xml:space="preserve">($) </w:t>
            </w:r>
          </w:p>
        </w:tc>
        <w:tc>
          <w:tcPr>
            <w:tcW w:w="75" w:type="dxa"/>
            <w:tcBorders/>
            <w:vAlign w:val="center"/>
          </w:tcPr>
          <w:p>
            <w:pPr>
              <w:pStyle w:val="TableContents"/>
              <w:bidi w:val="0"/>
              <w:spacing w:before="0" w:after="283"/>
              <w:jc w:val="left"/>
              <w:rPr/>
            </w:pPr>
            <w:r>
              <w:rPr/>
              <w:t> </w:t>
            </w:r>
          </w:p>
        </w:tc>
      </w:tr>
      <w:tr>
        <w:trPr/>
        <w:tc>
          <w:tcPr>
            <w:tcW w:w="2525" w:type="dxa"/>
            <w:tcBorders/>
            <w:shd w:fill="E8F4FF" w:val="clear"/>
            <w:vAlign w:val="center"/>
          </w:tcPr>
          <w:p>
            <w:pPr>
              <w:pStyle w:val="TableContents"/>
              <w:bidi w:val="0"/>
              <w:spacing w:before="0" w:after="283"/>
              <w:jc w:val="left"/>
              <w:rPr>
                <w:sz w:val="4"/>
                <w:szCs w:val="4"/>
              </w:rPr>
            </w:pPr>
            <w:r>
              <w:rPr>
                <w:sz w:val="4"/>
                <w:szCs w:val="4"/>
              </w:rPr>
            </w:r>
          </w:p>
        </w:tc>
        <w:tc>
          <w:tcPr>
            <w:tcW w:w="123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2525"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Michael Ellis</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sz w:val="4"/>
                <w:szCs w:val="4"/>
              </w:rPr>
            </w:pPr>
            <w:r>
              <w:rPr>
                <w:sz w:val="4"/>
                <w:szCs w:val="4"/>
              </w:rPr>
            </w:r>
          </w:p>
        </w:tc>
        <w:tc>
          <w:tcPr>
            <w:tcW w:w="980" w:type="dxa"/>
            <w:tcBorders/>
            <w:shd w:fill="E8F4FF" w:val="clear"/>
            <w:vAlign w:val="center"/>
          </w:tcPr>
          <w:p>
            <w:pPr>
              <w:pStyle w:val="TableContents"/>
              <w:bidi w:val="0"/>
              <w:spacing w:before="0" w:after="283"/>
              <w:jc w:val="left"/>
              <w:rPr>
                <w:sz w:val="4"/>
                <w:szCs w:val="4"/>
              </w:rPr>
            </w:pPr>
            <w:r>
              <w:rPr>
                <w:sz w:val="4"/>
                <w:szCs w:val="4"/>
              </w:rPr>
            </w:r>
          </w:p>
        </w:tc>
        <w:tc>
          <w:tcPr>
            <w:tcW w:w="75" w:type="dxa"/>
            <w:tcBorders/>
            <w:shd w:fill="E8F4FF" w:val="clear"/>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ARIAL" w:hAnsi="ARIAL"/>
                <w:i/>
                <w:color w:val="2393FF"/>
                <w:sz w:val="16"/>
              </w:rPr>
            </w:pPr>
            <w:r>
              <w:rPr>
                <w:rFonts w:ascii="ARIAL" w:hAnsi="ARIAL"/>
                <w:i/>
                <w:color w:val="2393FF"/>
                <w:sz w:val="16"/>
              </w:rPr>
              <w:t>Cash Severance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237,500</w:t>
            </w:r>
          </w:p>
        </w:tc>
        <w:tc>
          <w:tcPr>
            <w:tcW w:w="75" w:type="dxa"/>
            <w:tcBorders/>
            <w:vAlign w:val="center"/>
          </w:tcPr>
          <w:p>
            <w:pPr>
              <w:pStyle w:val="TableContents"/>
              <w:bidi w:val="0"/>
              <w:spacing w:before="0" w:after="283"/>
              <w:jc w:val="left"/>
              <w:rPr/>
            </w:pPr>
            <w:r>
              <w:rPr/>
              <w:t> </w:t>
            </w:r>
          </w:p>
        </w:tc>
      </w:tr>
      <w:tr>
        <w:trPr/>
        <w:tc>
          <w:tcPr>
            <w:tcW w:w="2525" w:type="dxa"/>
            <w:tcBorders/>
            <w:shd w:fill="E8F4FF" w:val="clear"/>
            <w:vAlign w:val="center"/>
          </w:tcPr>
          <w:p>
            <w:pPr>
              <w:pStyle w:val="TableContents"/>
              <w:bidi w:val="0"/>
              <w:spacing w:before="0" w:after="283"/>
              <w:jc w:val="left"/>
              <w:rPr>
                <w:sz w:val="4"/>
                <w:szCs w:val="4"/>
              </w:rPr>
            </w:pPr>
            <w:r>
              <w:rPr>
                <w:sz w:val="4"/>
                <w:szCs w:val="4"/>
              </w:rPr>
            </w:r>
          </w:p>
        </w:tc>
        <w:tc>
          <w:tcPr>
            <w:tcW w:w="123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252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Option Acceleration(1)</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980" w:type="dxa"/>
            <w:tcBorders/>
            <w:shd w:fill="E8F4FF" w:val="clear"/>
            <w:vAlign w:val="center"/>
          </w:tcPr>
          <w:p>
            <w:pPr>
              <w:pStyle w:val="TableContents"/>
              <w:bidi w:val="0"/>
              <w:spacing w:before="0" w:after="283"/>
              <w:jc w:val="right"/>
              <w:rPr/>
            </w:pPr>
            <w:r>
              <w:rPr/>
              <w:t>600,887</w:t>
            </w:r>
          </w:p>
        </w:tc>
        <w:tc>
          <w:tcPr>
            <w:tcW w:w="75" w:type="dxa"/>
            <w:tcBorders/>
            <w:shd w:fill="E8F4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ARIAL" w:hAnsi="ARIAL"/>
                <w:i/>
                <w:color w:val="2393FF"/>
                <w:sz w:val="16"/>
              </w:rPr>
            </w:pPr>
            <w:r>
              <w:rPr>
                <w:rFonts w:ascii="ARIAL" w:hAnsi="ARIAL"/>
                <w:i/>
                <w:color w:val="2393FF"/>
                <w:sz w:val="16"/>
              </w:rPr>
              <w:t>Restricted Stock Unit Acceleration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731,131</w:t>
            </w:r>
          </w:p>
        </w:tc>
        <w:tc>
          <w:tcPr>
            <w:tcW w:w="75" w:type="dxa"/>
            <w:tcBorders/>
            <w:vAlign w:val="center"/>
          </w:tcPr>
          <w:p>
            <w:pPr>
              <w:pStyle w:val="TableContents"/>
              <w:bidi w:val="0"/>
              <w:spacing w:before="0" w:after="283"/>
              <w:jc w:val="left"/>
              <w:rPr/>
            </w:pPr>
            <w:r>
              <w:rPr/>
              <w:t> </w:t>
            </w:r>
          </w:p>
        </w:tc>
      </w:tr>
      <w:tr>
        <w:trPr/>
        <w:tc>
          <w:tcPr>
            <w:tcW w:w="2525" w:type="dxa"/>
            <w:tcBorders/>
            <w:shd w:fill="E8F4FF" w:val="clear"/>
            <w:vAlign w:val="center"/>
          </w:tcPr>
          <w:p>
            <w:pPr>
              <w:pStyle w:val="TableContents"/>
              <w:bidi w:val="0"/>
              <w:spacing w:before="0" w:after="283"/>
              <w:jc w:val="left"/>
              <w:rPr>
                <w:sz w:val="4"/>
                <w:szCs w:val="4"/>
              </w:rPr>
            </w:pPr>
            <w:r>
              <w:rPr>
                <w:sz w:val="4"/>
                <w:szCs w:val="4"/>
              </w:rPr>
            </w:r>
          </w:p>
        </w:tc>
        <w:tc>
          <w:tcPr>
            <w:tcW w:w="123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2525" w:type="dxa"/>
            <w:tcBorders/>
            <w:shd w:fill="E8F4FF" w:val="clear"/>
            <w:vAlign w:val="center"/>
          </w:tcPr>
          <w:p>
            <w:pPr>
              <w:pStyle w:val="TableContents"/>
              <w:bidi w:val="0"/>
              <w:spacing w:before="0" w:after="0"/>
              <w:jc w:val="left"/>
              <w:rPr>
                <w:rFonts w:ascii="ARIAL" w:hAnsi="ARIAL"/>
                <w:i/>
                <w:color w:val="2393FF"/>
                <w:sz w:val="16"/>
              </w:rPr>
            </w:pPr>
            <w:r>
              <w:rPr>
                <w:rFonts w:ascii="ARIAL" w:hAnsi="ARIAL"/>
                <w:i/>
                <w:color w:val="2393FF"/>
                <w:sz w:val="16"/>
              </w:rPr>
              <w:t>Benefit Continuation</w:t>
            </w:r>
          </w:p>
        </w:tc>
        <w:tc>
          <w:tcPr>
            <w:tcW w:w="12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980" w:type="dxa"/>
            <w:tcBorders/>
            <w:shd w:fill="E8F4FF" w:val="clear"/>
            <w:vAlign w:val="center"/>
          </w:tcPr>
          <w:p>
            <w:pPr>
              <w:pStyle w:val="TableContents"/>
              <w:bidi w:val="0"/>
              <w:spacing w:before="0" w:after="283"/>
              <w:jc w:val="right"/>
              <w:rPr/>
            </w:pPr>
            <w:r>
              <w:rPr/>
              <w:t>18,569</w:t>
            </w:r>
          </w:p>
        </w:tc>
        <w:tc>
          <w:tcPr>
            <w:tcW w:w="75" w:type="dxa"/>
            <w:tcBorders/>
            <w:shd w:fill="E8F4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8" w:space="0" w:color="2393FF"/>
            </w:tcBorders>
            <w:tcMar>
              <w:bottom w:w="120" w:type="dxa"/>
            </w:tcMar>
            <w:vAlign w:val="center"/>
          </w:tcPr>
          <w:p>
            <w:pPr>
              <w:pStyle w:val="TableContents"/>
              <w:bidi w:val="0"/>
              <w:spacing w:before="0" w:after="0"/>
              <w:jc w:val="left"/>
              <w:rPr>
                <w:rFonts w:ascii="ARIAL" w:hAnsi="ARIAL"/>
                <w:i/>
                <w:color w:val="2393FF"/>
                <w:sz w:val="16"/>
              </w:rPr>
            </w:pPr>
            <w:r>
              <w:rPr>
                <w:rFonts w:ascii="ARIAL" w:hAnsi="ARIAL"/>
                <w:i/>
                <w:color w:val="2393FF"/>
                <w:sz w:val="16"/>
              </w:rPr>
              <w:t>Total Value</w:t>
            </w:r>
          </w:p>
        </w:tc>
        <w:tc>
          <w:tcPr>
            <w:tcW w:w="120" w:type="dxa"/>
            <w:tcBorders>
              <w:bottom w:val="single" w:sz="8" w:space="0" w:color="2393FF"/>
            </w:tcBorders>
            <w:tcMar>
              <w:bottom w:w="28" w:type="dxa"/>
            </w:tcMar>
            <w:vAlign w:val="center"/>
          </w:tcPr>
          <w:p>
            <w:pPr>
              <w:pStyle w:val="TableContents"/>
              <w:bidi w:val="0"/>
              <w:spacing w:before="0" w:after="283"/>
              <w:jc w:val="left"/>
              <w:rPr/>
            </w:pPr>
            <w:r>
              <w:rPr/>
              <w:t>  </w:t>
            </w:r>
          </w:p>
        </w:tc>
        <w:tc>
          <w:tcPr>
            <w:tcW w:w="60" w:type="dxa"/>
            <w:tcBorders>
              <w:bottom w:val="single" w:sz="8" w:space="0" w:color="2393FF"/>
            </w:tcBorders>
            <w:tcMar>
              <w:bottom w:w="120" w:type="dxa"/>
            </w:tcMar>
            <w:vAlign w:val="center"/>
          </w:tcPr>
          <w:p>
            <w:pPr>
              <w:pStyle w:val="TableContents"/>
              <w:bidi w:val="0"/>
              <w:spacing w:before="0" w:after="283"/>
              <w:jc w:val="left"/>
              <w:rPr/>
            </w:pPr>
            <w:r>
              <w:rPr/>
              <w:t> </w:t>
            </w:r>
          </w:p>
        </w:tc>
        <w:tc>
          <w:tcPr>
            <w:tcW w:w="980" w:type="dxa"/>
            <w:tcBorders>
              <w:bottom w:val="single" w:sz="8" w:space="0" w:color="2393FF"/>
            </w:tcBorders>
            <w:tcMar>
              <w:bottom w:w="120" w:type="dxa"/>
            </w:tcMar>
            <w:vAlign w:val="center"/>
          </w:tcPr>
          <w:p>
            <w:pPr>
              <w:pStyle w:val="TableContents"/>
              <w:bidi w:val="0"/>
              <w:spacing w:before="0" w:after="283"/>
              <w:jc w:val="right"/>
              <w:rPr/>
            </w:pPr>
            <w:r>
              <w:rPr/>
              <w:t>1,588,087</w:t>
            </w:r>
          </w:p>
        </w:tc>
        <w:tc>
          <w:tcPr>
            <w:tcW w:w="75" w:type="dxa"/>
            <w:tcBorders>
              <w:bottom w:val="single" w:sz="8" w:space="0" w:color="2393FF"/>
            </w:tcBorders>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color w:val="333333"/>
              </w:rPr>
            </w:pPr>
            <w:r>
              <w:rPr>
                <w:color w:val="333333"/>
              </w:rPr>
              <w:t>(1)</w:t>
            </w:r>
          </w:p>
        </w:tc>
        <w:tc>
          <w:tcPr>
            <w:tcW w:w="9926"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The option acceleration and restricted stock unit acceleration amounts reported above represent the incremental fair value of these modified stock options and restricted stock units determined in accordance with FASB ASC Topic 718.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  41  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PAY RATIO DISCLOSURE </w:t>
      </w:r>
    </w:p>
    <w:p>
      <w:pPr>
        <w:pStyle w:val="TextBody"/>
        <w:bidi w:val="0"/>
        <w:spacing w:before="200" w:after="0"/>
        <w:jc w:val="left"/>
        <w:rPr>
          <w:rFonts w:ascii="ARIAL" w:hAnsi="ARIAL"/>
          <w:sz w:val="18"/>
        </w:rPr>
      </w:pPr>
      <w:r>
        <w:rPr>
          <w:rFonts w:ascii="ARIAL" w:hAnsi="ARIAL"/>
          <w:sz w:val="18"/>
        </w:rPr>
        <w:t xml:space="preserve">As required by the Dodd-Frank Act and applicable SEC rules, we are providing the following information about the relationship of the annual total compensation of our employees and the annual total compensation of Michael Massaro, our Chief Executive Officer. </w:t>
      </w:r>
    </w:p>
    <w:p>
      <w:pPr>
        <w:pStyle w:val="TextBody"/>
        <w:bidi w:val="0"/>
        <w:spacing w:before="200" w:after="0"/>
        <w:jc w:val="left"/>
        <w:rPr>
          <w:rFonts w:ascii="ARIAL" w:hAnsi="ARIAL"/>
          <w:sz w:val="18"/>
        </w:rPr>
      </w:pPr>
      <w:r>
        <w:rPr>
          <w:rFonts w:ascii="ARIAL" w:hAnsi="ARIAL"/>
          <w:sz w:val="18"/>
        </w:rPr>
        <w:t xml:space="preserve">For our Fiscal 2024: </w:t>
      </w:r>
    </w:p>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ARIAL" w:hAnsi="ARIAL"/>
                <w:sz w:val="18"/>
              </w:rPr>
            </w:pPr>
            <w:r>
              <w:rPr>
                <w:rFonts w:ascii="ARIAL" w:hAnsi="ARIAL"/>
                <w:sz w:val="18"/>
              </w:rPr>
              <w:t xml:space="preserve">The median of the annual total compensation of all employees (other than our Chief Executive Officer) was $121,845;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annual total compensation of our Chief Executive Officer, as reported in the 2024 Summary Compensation Table included elsewhere in this Proxy Statement, was $9,998,817. </w:t>
            </w:r>
          </w:p>
        </w:tc>
      </w:tr>
    </w:tbl>
    <w:p>
      <w:pPr>
        <w:pStyle w:val="TextBody"/>
        <w:bidi w:val="0"/>
        <w:spacing w:before="200" w:after="0"/>
        <w:jc w:val="left"/>
        <w:rPr>
          <w:rFonts w:ascii="ARIAL" w:hAnsi="ARIAL"/>
          <w:sz w:val="18"/>
        </w:rPr>
      </w:pPr>
      <w:r>
        <w:rPr>
          <w:rFonts w:ascii="ARIAL" w:hAnsi="ARIAL"/>
          <w:sz w:val="18"/>
        </w:rPr>
        <w:t xml:space="preserve">Based on this information the ratio of the annual total compensation of our Chief Executive Officer to the median of the annual total compensation of our employees was 82 to 1. </w:t>
      </w:r>
    </w:p>
    <w:p>
      <w:pPr>
        <w:pStyle w:val="TextBody"/>
        <w:bidi w:val="0"/>
        <w:spacing w:before="200" w:after="0"/>
        <w:jc w:val="left"/>
        <w:rPr>
          <w:rFonts w:ascii="ARIAL" w:hAnsi="ARIAL"/>
          <w:sz w:val="18"/>
        </w:rPr>
      </w:pPr>
      <w:r>
        <w:rPr>
          <w:rFonts w:ascii="ARIAL" w:hAnsi="ARIAL"/>
          <w:sz w:val="18"/>
        </w:rPr>
        <w:t xml:space="preserve">The above ratio is appropriately viewed as an estimate. To identify the median of the annual compensation of our employees, we reviewed the base salaries, bonuses, incentives, other compensation and long-term incentive compensation grants of our U.S. and non-U.S. employees as of December 31, 2024. Out of our approximately 1,153 employees, approximately 774 of our employees are located outside of the U.S. Once we identified our median employee, using the methodology described above, we determined that employee’s annual total compensation in accordance with the requirements of Item 402(c)(2)(x) of Regulation S-K for purposes of calculating the required pay ratio. </w:t>
      </w:r>
    </w:p>
    <w:p>
      <w:pPr>
        <w:pStyle w:val="TextBody"/>
        <w:bidi w:val="0"/>
        <w:spacing w:before="200" w:after="0"/>
        <w:jc w:val="left"/>
        <w:rPr>
          <w:rFonts w:ascii="ARIAL" w:hAnsi="ARIAL"/>
          <w:sz w:val="18"/>
        </w:rPr>
      </w:pPr>
      <w:r>
        <w:rPr>
          <w:rFonts w:ascii="ARIAL" w:hAnsi="ARIAL"/>
          <w:sz w:val="18"/>
        </w:rPr>
        <w:t xml:space="preserve">As required by the Dodd-Frank Act and applicable SEC rules, we are providing the following information about the relationship of the annual total compensation of our employees and the annual total compensation of Michael Massaro, our Chief Executive Officer.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  42  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2393FF"/>
          <w:spacing w:val="0"/>
          <w:sz w:val="18"/>
        </w:rPr>
      </w:pPr>
      <w:r>
        <w:rPr>
          <w:rFonts w:ascii="ARIAL" w:hAnsi="ARIAL"/>
          <w:b/>
          <w:color w:val="2393FF"/>
          <w:spacing w:val="0"/>
          <w:sz w:val="18"/>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left"/>
        <w:rPr>
          <w:rFonts w:ascii="ARIAL" w:hAnsi="ARIAL"/>
          <w:sz w:val="18"/>
        </w:rPr>
      </w:pPr>
      <w:r>
        <w:rPr>
          <w:rFonts w:ascii="ARIAL" w:hAnsi="ARIAL"/>
          <w:sz w:val="18"/>
        </w:rPr>
        <w:t xml:space="preserve">As required by applicable SEC rules, we are providing the following information about the relationship of compensation actually paid to our principal executive officer (PEO) and other NEOs and certain of our peers’ performance. For further information concerning our pay for performance philosophy and how our executive compensation aligns with our performance, refer to “Executive Compensation – Compensation Discussion and Analysis” above. </w:t>
      </w:r>
    </w:p>
    <w:p>
      <w:pPr>
        <w:pStyle w:val="TextBody"/>
        <w:bidi w:val="0"/>
        <w:spacing w:before="200" w:after="0"/>
        <w:jc w:val="left"/>
        <w:rPr>
          <w:rFonts w:ascii="ARIAL" w:hAnsi="ARIAL"/>
          <w:sz w:val="18"/>
        </w:rPr>
      </w:pPr>
      <w:r>
        <w:rPr>
          <w:rFonts w:ascii="ARIAL" w:hAnsi="ARIAL"/>
          <w:sz w:val="18"/>
        </w:rPr>
        <w:t xml:space="preserve">PAY VERSUS PERFORMANCE TABLE </w:t>
      </w:r>
    </w:p>
    <w:p>
      <w:pPr>
        <w:pStyle w:val="TextBody"/>
        <w:bidi w:val="0"/>
        <w:spacing w:before="0" w:after="0"/>
        <w:jc w:val="left"/>
        <w:rPr/>
      </w:pPr>
      <w:r>
        <w:rPr/>
        <w:t> </w:t>
      </w:r>
    </w:p>
    <w:tbl>
      <w:tblPr>
        <w:tblW w:w="11895" w:type="dxa"/>
        <w:jc w:val="left"/>
        <w:tblInd w:w="0" w:type="dxa"/>
        <w:tblLayout w:type="fixed"/>
        <w:tblCellMar>
          <w:top w:w="0" w:type="dxa"/>
          <w:left w:w="0" w:type="dxa"/>
          <w:bottom w:w="0" w:type="dxa"/>
          <w:right w:w="0" w:type="dxa"/>
        </w:tblCellMar>
      </w:tblPr>
      <w:tblGrid>
        <w:gridCol w:w="740"/>
        <w:gridCol w:w="60"/>
        <w:gridCol w:w="60"/>
        <w:gridCol w:w="1100"/>
        <w:gridCol w:w="60"/>
        <w:gridCol w:w="60"/>
        <w:gridCol w:w="60"/>
        <w:gridCol w:w="1295"/>
        <w:gridCol w:w="155"/>
        <w:gridCol w:w="60"/>
        <w:gridCol w:w="60"/>
        <w:gridCol w:w="1100"/>
        <w:gridCol w:w="60"/>
        <w:gridCol w:w="60"/>
        <w:gridCol w:w="60"/>
        <w:gridCol w:w="1295"/>
        <w:gridCol w:w="155"/>
        <w:gridCol w:w="60"/>
        <w:gridCol w:w="108"/>
        <w:gridCol w:w="902"/>
        <w:gridCol w:w="60"/>
        <w:gridCol w:w="60"/>
        <w:gridCol w:w="108"/>
        <w:gridCol w:w="902"/>
        <w:gridCol w:w="60"/>
        <w:gridCol w:w="60"/>
        <w:gridCol w:w="114"/>
        <w:gridCol w:w="1211"/>
        <w:gridCol w:w="155"/>
        <w:gridCol w:w="60"/>
        <w:gridCol w:w="123"/>
        <w:gridCol w:w="1397"/>
        <w:gridCol w:w="75"/>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60" w:type="dxa"/>
            <w:gridSpan w:val="2"/>
            <w:vMerge w:val="restart"/>
            <w:tcBorders/>
            <w:vAlign w:val="center"/>
          </w:tcPr>
          <w:p>
            <w:pPr>
              <w:pStyle w:val="TableContents"/>
              <w:bidi w:val="0"/>
              <w:spacing w:before="0" w:after="0"/>
              <w:jc w:val="right"/>
              <w:rPr>
                <w:rFonts w:ascii="ARIAL" w:hAnsi="ARIAL"/>
                <w:b/>
                <w:sz w:val="14"/>
              </w:rPr>
            </w:pPr>
            <w:r>
              <w:rPr>
                <w:rFonts w:ascii="ARIAL" w:hAnsi="ARIAL"/>
                <w:b/>
                <w:sz w:val="14"/>
              </w:rPr>
              <w:t>AVERAGE</w:t>
            </w:r>
          </w:p>
          <w:p>
            <w:pPr>
              <w:pStyle w:val="TableContents"/>
              <w:bidi w:val="0"/>
              <w:spacing w:before="0" w:after="0"/>
              <w:jc w:val="right"/>
              <w:rPr>
                <w:rFonts w:ascii="ARIAL" w:hAnsi="ARIAL"/>
                <w:b/>
                <w:sz w:val="14"/>
              </w:rPr>
            </w:pPr>
            <w:r>
              <w:rPr>
                <w:rFonts w:ascii="ARIAL" w:hAnsi="ARIAL"/>
                <w:b/>
                <w:sz w:val="14"/>
              </w:rPr>
              <w:t>SUMMARY</w:t>
              <w:br/>
              <w:t>COMPENSATION</w:t>
              <w:br/>
              <w:t>TABLE</w:t>
            </w:r>
          </w:p>
          <w:p>
            <w:pPr>
              <w:pStyle w:val="TableContents"/>
              <w:bidi w:val="0"/>
              <w:spacing w:before="0" w:after="0"/>
              <w:jc w:val="right"/>
              <w:rPr>
                <w:rFonts w:ascii="ARIAL" w:hAnsi="ARIAL"/>
                <w:b/>
                <w:sz w:val="14"/>
              </w:rPr>
            </w:pPr>
            <w:r>
              <w:rPr>
                <w:rFonts w:ascii="ARIAL" w:hAnsi="ARIAL"/>
                <w:b/>
                <w:sz w:val="14"/>
              </w:rPr>
              <w:t>TOTAL FOR</w:t>
            </w:r>
          </w:p>
          <w:p>
            <w:pPr>
              <w:pStyle w:val="TableContents"/>
              <w:bidi w:val="0"/>
              <w:spacing w:before="0" w:after="0"/>
              <w:jc w:val="right"/>
              <w:rPr>
                <w:rFonts w:ascii="ARIAL" w:hAnsi="ARIAL"/>
                <w:b/>
                <w:spacing w:val="0"/>
                <w:sz w:val="14"/>
              </w:rPr>
            </w:pPr>
            <w:r>
              <w:rPr>
                <w:rFonts w:ascii="ARIAL" w:hAnsi="ARIAL"/>
                <w:b/>
                <w:spacing w:val="0"/>
                <w:sz w:val="14"/>
              </w:rPr>
              <w:t>NON-PEO</w:t>
            </w:r>
          </w:p>
          <w:p>
            <w:pPr>
              <w:pStyle w:val="TableContents"/>
              <w:bidi w:val="0"/>
              <w:spacing w:before="0" w:after="0"/>
              <w:jc w:val="right"/>
              <w:rPr>
                <w:rFonts w:ascii="ARIAL" w:hAnsi="ARIAL"/>
                <w:b/>
                <w:sz w:val="14"/>
              </w:rPr>
            </w:pPr>
            <w:r>
              <w:rPr>
                <w:rFonts w:ascii="ARIAL" w:hAnsi="ARIAL"/>
                <w:b/>
                <w:sz w:val="14"/>
              </w:rPr>
              <w:br/>
              <w:t>NEOS</w:t>
            </w:r>
          </w:p>
          <w:p>
            <w:pPr>
              <w:pStyle w:val="TableContents"/>
              <w:bidi w:val="0"/>
              <w:spacing w:before="0" w:after="0"/>
              <w:jc w:val="right"/>
              <w:rPr>
                <w:rFonts w:ascii="ARIAL" w:hAnsi="ARIAL"/>
                <w:b/>
                <w:sz w:val="8"/>
              </w:rPr>
            </w:pPr>
            <w:r>
              <w:rPr>
                <w:rFonts w:ascii="ARIAL" w:hAnsi="ARIAL"/>
                <w:b/>
                <w:sz w:val="8"/>
              </w:rPr>
              <w:t>(3)</w:t>
            </w:r>
          </w:p>
          <w:p>
            <w:pPr>
              <w:pStyle w:val="TableContents"/>
              <w:bidi w:val="0"/>
              <w:spacing w:before="0" w:after="20"/>
              <w:jc w:val="right"/>
              <w:rPr>
                <w:rFonts w:ascii="ARIAL" w:hAnsi="ARIAL"/>
                <w:b/>
                <w:sz w:val="14"/>
              </w:rPr>
            </w:pPr>
            <w:r>
              <w:rPr>
                <w:rFonts w:ascii="ARIAL" w:hAnsi="ARIAL"/>
                <w:b/>
                <w:sz w:val="14"/>
              </w:rPr>
              <w:t>(d)</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55" w:type="dxa"/>
            <w:gridSpan w:val="2"/>
            <w:vMerge w:val="restart"/>
            <w:tcBorders/>
            <w:vAlign w:val="center"/>
          </w:tcPr>
          <w:p>
            <w:pPr>
              <w:pStyle w:val="TableContents"/>
              <w:bidi w:val="0"/>
              <w:spacing w:before="0" w:after="0"/>
              <w:jc w:val="right"/>
              <w:rPr>
                <w:rFonts w:ascii="ARIAL" w:hAnsi="ARIAL"/>
                <w:b/>
                <w:sz w:val="14"/>
              </w:rPr>
            </w:pPr>
            <w:r>
              <w:rPr>
                <w:rFonts w:ascii="ARIAL" w:hAnsi="ARIAL"/>
                <w:b/>
                <w:sz w:val="14"/>
              </w:rPr>
              <w:t>AVERAGE</w:t>
              <w:br/>
              <w:t>COMPENSATION</w:t>
              <w:br/>
              <w:t>ACTUALLY</w:t>
            </w:r>
          </w:p>
          <w:p>
            <w:pPr>
              <w:pStyle w:val="TableContents"/>
              <w:bidi w:val="0"/>
              <w:spacing w:before="0" w:after="0"/>
              <w:jc w:val="right"/>
              <w:rPr>
                <w:rFonts w:ascii="ARIAL" w:hAnsi="ARIAL"/>
                <w:b/>
                <w:sz w:val="14"/>
              </w:rPr>
            </w:pPr>
            <w:r>
              <w:rPr>
                <w:rFonts w:ascii="ARIAL" w:hAnsi="ARIAL"/>
                <w:b/>
                <w:sz w:val="14"/>
              </w:rPr>
              <w:t>PAID</w:t>
            </w:r>
          </w:p>
          <w:p>
            <w:pPr>
              <w:pStyle w:val="TableContents"/>
              <w:bidi w:val="0"/>
              <w:spacing w:before="0" w:after="0"/>
              <w:jc w:val="right"/>
              <w:rPr>
                <w:rFonts w:ascii="ARIAL" w:hAnsi="ARIAL"/>
                <w:b/>
                <w:sz w:val="14"/>
              </w:rPr>
            </w:pPr>
            <w:r>
              <w:rPr>
                <w:rFonts w:ascii="ARIAL" w:hAnsi="ARIAL"/>
                <w:b/>
                <w:sz w:val="14"/>
              </w:rPr>
              <w:t xml:space="preserve">TO </w:t>
            </w:r>
          </w:p>
          <w:p>
            <w:pPr>
              <w:pStyle w:val="TableContents"/>
              <w:bidi w:val="0"/>
              <w:spacing w:before="0" w:after="0"/>
              <w:jc w:val="right"/>
              <w:rPr>
                <w:rFonts w:ascii="ARIAL" w:hAnsi="ARIAL"/>
                <w:b/>
                <w:spacing w:val="0"/>
                <w:sz w:val="14"/>
              </w:rPr>
            </w:pPr>
            <w:r>
              <w:rPr>
                <w:rFonts w:ascii="ARIAL" w:hAnsi="ARIAL"/>
                <w:b/>
                <w:spacing w:val="0"/>
                <w:sz w:val="14"/>
              </w:rPr>
              <w:t>NON-PEO</w:t>
            </w:r>
          </w:p>
          <w:p>
            <w:pPr>
              <w:pStyle w:val="TableContents"/>
              <w:bidi w:val="0"/>
              <w:spacing w:before="0" w:after="0"/>
              <w:jc w:val="right"/>
              <w:rPr>
                <w:rFonts w:ascii="ARIAL" w:hAnsi="ARIAL"/>
                <w:b/>
                <w:sz w:val="14"/>
              </w:rPr>
            </w:pPr>
            <w:r>
              <w:rPr>
                <w:rFonts w:ascii="ARIAL" w:hAnsi="ARIAL"/>
                <w:b/>
                <w:sz w:val="14"/>
              </w:rPr>
              <w:br/>
              <w:t>NEOS</w:t>
            </w:r>
          </w:p>
          <w:p>
            <w:pPr>
              <w:pStyle w:val="TableContents"/>
              <w:bidi w:val="0"/>
              <w:spacing w:before="0" w:after="0"/>
              <w:jc w:val="right"/>
              <w:rPr>
                <w:rFonts w:ascii="ARIAL" w:hAnsi="ARIAL"/>
                <w:b/>
                <w:sz w:val="8"/>
              </w:rPr>
            </w:pPr>
            <w:r>
              <w:rPr>
                <w:rFonts w:ascii="ARIAL" w:hAnsi="ARIAL"/>
                <w:b/>
                <w:sz w:val="8"/>
              </w:rPr>
              <w:t>(4)</w:t>
            </w:r>
          </w:p>
          <w:p>
            <w:pPr>
              <w:pStyle w:val="TableContents"/>
              <w:bidi w:val="0"/>
              <w:spacing w:before="0" w:after="20"/>
              <w:jc w:val="right"/>
              <w:rPr>
                <w:rFonts w:ascii="ARIAL" w:hAnsi="ARIAL"/>
                <w:b/>
                <w:sz w:val="14"/>
              </w:rPr>
            </w:pPr>
            <w:r>
              <w:rPr>
                <w:rFonts w:ascii="ARIAL" w:hAnsi="ARIAL"/>
                <w:b/>
                <w:sz w:val="14"/>
              </w:rPr>
              <w:t>(e)</w:t>
            </w:r>
          </w:p>
        </w:tc>
        <w:tc>
          <w:tcPr>
            <w:tcW w:w="155" w:type="dxa"/>
            <w:vMerge w:val="restart"/>
            <w:tcBorders/>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2140" w:type="dxa"/>
            <w:gridSpan w:val="6"/>
            <w:tcBorders>
              <w:bottom w:val="single" w:sz="6" w:space="0" w:color="2393FF"/>
            </w:tcBorders>
            <w:tcMar>
              <w:bottom w:w="120" w:type="dxa"/>
            </w:tcMar>
            <w:vAlign w:val="center"/>
          </w:tcPr>
          <w:p>
            <w:pPr>
              <w:pStyle w:val="TableContents"/>
              <w:bidi w:val="0"/>
              <w:spacing w:before="0" w:after="20"/>
              <w:jc w:val="center"/>
              <w:rPr>
                <w:rFonts w:ascii="ARIAL" w:hAnsi="ARIAL"/>
                <w:b/>
                <w:sz w:val="14"/>
              </w:rPr>
            </w:pPr>
            <w:r>
              <w:rPr>
                <w:rFonts w:ascii="ARIAL" w:hAnsi="ARIAL"/>
                <w:b/>
                <w:sz w:val="14"/>
              </w:rPr>
              <w:t>VALUE OF INITIAL FIXED $100</w:t>
              <w:br/>
              <w:t>INVESTMENT BASED ON:</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0"/>
              <w:jc w:val="left"/>
              <w:rPr>
                <w:spacing w:val="0"/>
              </w:rPr>
            </w:pPr>
            <w:r>
              <w:rPr>
                <w:spacing w:val="0"/>
              </w:rPr>
              <w:t> </w:t>
            </w:r>
            <w:r>
              <w:rPr>
                <w:b/>
                <w:spacing w:val="0"/>
              </w:rPr>
              <w:t>YEAR</w:t>
              <w:br/>
              <w:t> (a)</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right"/>
              <w:rPr>
                <w:rFonts w:ascii="ARIAL" w:hAnsi="ARIAL"/>
                <w:b/>
                <w:sz w:val="14"/>
              </w:rPr>
            </w:pPr>
            <w:r>
              <w:rPr>
                <w:rFonts w:ascii="ARIAL" w:hAnsi="ARIAL"/>
                <w:b/>
                <w:sz w:val="14"/>
              </w:rPr>
              <w:t>SUMMARY</w:t>
              <w:br/>
              <w:t>COMPENSATION</w:t>
              <w:br/>
              <w:t>TABLE TOTAL</w:t>
              <w:br/>
              <w:t>FOR PEO</w:t>
            </w:r>
          </w:p>
          <w:p>
            <w:pPr>
              <w:pStyle w:val="TableContents"/>
              <w:bidi w:val="0"/>
              <w:spacing w:before="0" w:after="0"/>
              <w:jc w:val="right"/>
              <w:rPr>
                <w:rFonts w:ascii="ARIAL" w:hAnsi="ARIAL"/>
                <w:b/>
                <w:sz w:val="8"/>
              </w:rPr>
            </w:pPr>
            <w:r>
              <w:rPr>
                <w:rFonts w:ascii="ARIAL" w:hAnsi="ARIAL"/>
                <w:b/>
                <w:sz w:val="8"/>
              </w:rPr>
              <w:t>(1)</w:t>
            </w:r>
          </w:p>
          <w:p>
            <w:pPr>
              <w:pStyle w:val="TableContents"/>
              <w:bidi w:val="0"/>
              <w:spacing w:before="0" w:after="20"/>
              <w:jc w:val="right"/>
              <w:rPr>
                <w:rFonts w:ascii="ARIAL" w:hAnsi="ARIAL"/>
                <w:b/>
                <w:sz w:val="14"/>
              </w:rPr>
            </w:pPr>
            <w:r>
              <w:rPr>
                <w:rFonts w:ascii="ARIAL" w:hAnsi="ARIAL"/>
                <w:b/>
                <w:sz w:val="14"/>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0"/>
              <w:jc w:val="right"/>
              <w:rPr>
                <w:rFonts w:ascii="ARIAL" w:hAnsi="ARIAL"/>
                <w:b/>
                <w:sz w:val="14"/>
              </w:rPr>
            </w:pPr>
            <w:r>
              <w:rPr>
                <w:rFonts w:ascii="ARIAL" w:hAnsi="ARIAL"/>
                <w:b/>
                <w:sz w:val="14"/>
              </w:rPr>
              <w:t>COMPENSATION</w:t>
              <w:br/>
              <w:t>ACTUALLY PAID</w:t>
              <w:br/>
              <w:t>TO PEO</w:t>
            </w:r>
          </w:p>
          <w:p>
            <w:pPr>
              <w:pStyle w:val="TableContents"/>
              <w:bidi w:val="0"/>
              <w:spacing w:before="0" w:after="0"/>
              <w:jc w:val="right"/>
              <w:rPr>
                <w:rFonts w:ascii="ARIAL" w:hAnsi="ARIAL"/>
                <w:b/>
                <w:sz w:val="8"/>
              </w:rPr>
            </w:pPr>
            <w:r>
              <w:rPr>
                <w:rFonts w:ascii="ARIAL" w:hAnsi="ARIAL"/>
                <w:b/>
                <w:sz w:val="8"/>
              </w:rPr>
              <w:t>(2)</w:t>
            </w:r>
          </w:p>
          <w:p>
            <w:pPr>
              <w:pStyle w:val="TableContents"/>
              <w:bidi w:val="0"/>
              <w:spacing w:before="0" w:after="20"/>
              <w:jc w:val="right"/>
              <w:rPr>
                <w:rFonts w:ascii="ARIAL" w:hAnsi="ARIAL"/>
                <w:b/>
                <w:sz w:val="14"/>
              </w:rPr>
            </w:pPr>
            <w:r>
              <w:rPr>
                <w:rFonts w:ascii="ARIAL" w:hAnsi="ARIAL"/>
                <w:b/>
                <w:sz w:val="14"/>
              </w:rPr>
              <w:t>(c)</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6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5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0"/>
              <w:jc w:val="right"/>
              <w:rPr>
                <w:rFonts w:ascii="ARIAL" w:hAnsi="ARIAL"/>
                <w:b/>
                <w:sz w:val="14"/>
              </w:rPr>
            </w:pPr>
            <w:r>
              <w:rPr>
                <w:rFonts w:ascii="ARIAL" w:hAnsi="ARIAL"/>
                <w:b/>
                <w:sz w:val="14"/>
              </w:rPr>
              <w:t>TOTAL</w:t>
              <w:br/>
              <w:t>SHAREHOLDER</w:t>
              <w:br/>
              <w:t>RETURN</w:t>
            </w:r>
          </w:p>
          <w:p>
            <w:pPr>
              <w:pStyle w:val="TableContents"/>
              <w:bidi w:val="0"/>
              <w:spacing w:before="0" w:after="0"/>
              <w:jc w:val="right"/>
              <w:rPr>
                <w:rFonts w:ascii="ARIAL" w:hAnsi="ARIAL"/>
                <w:b/>
                <w:sz w:val="8"/>
              </w:rPr>
            </w:pPr>
            <w:r>
              <w:rPr>
                <w:rFonts w:ascii="ARIAL" w:hAnsi="ARIAL"/>
                <w:b/>
                <w:sz w:val="8"/>
              </w:rPr>
              <w:t>(5)</w:t>
            </w:r>
          </w:p>
          <w:p>
            <w:pPr>
              <w:pStyle w:val="TableContents"/>
              <w:bidi w:val="0"/>
              <w:spacing w:before="0" w:after="20"/>
              <w:jc w:val="right"/>
              <w:rPr>
                <w:rFonts w:ascii="ARIAL" w:hAnsi="ARIAL"/>
                <w:b/>
                <w:sz w:val="14"/>
              </w:rPr>
            </w:pPr>
            <w:r>
              <w:rPr>
                <w:rFonts w:ascii="ARIAL" w:hAnsi="ARIAL"/>
                <w:b/>
                <w:sz w:val="14"/>
              </w:rPr>
              <w:t>(f)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0"/>
              <w:jc w:val="left"/>
              <w:rPr/>
            </w:pPr>
            <w:r>
              <w:rPr/>
              <w:t> </w:t>
            </w:r>
          </w:p>
          <w:p>
            <w:pPr>
              <w:pStyle w:val="TableContents"/>
              <w:bidi w:val="0"/>
              <w:spacing w:before="0" w:after="0"/>
              <w:jc w:val="right"/>
              <w:rPr>
                <w:rFonts w:ascii="ARIAL" w:hAnsi="ARIAL"/>
                <w:b/>
                <w:sz w:val="14"/>
              </w:rPr>
            </w:pPr>
            <w:r>
              <w:rPr>
                <w:rFonts w:ascii="ARIAL" w:hAnsi="ARIAL"/>
                <w:b/>
                <w:sz w:val="14"/>
              </w:rPr>
              <w:t>PEER</w:t>
            </w:r>
          </w:p>
          <w:p>
            <w:pPr>
              <w:pStyle w:val="TableContents"/>
              <w:bidi w:val="0"/>
              <w:spacing w:before="0" w:after="0"/>
              <w:jc w:val="right"/>
              <w:rPr>
                <w:rFonts w:ascii="ARIAL" w:hAnsi="ARIAL"/>
                <w:b/>
                <w:sz w:val="14"/>
              </w:rPr>
            </w:pPr>
            <w:r>
              <w:rPr>
                <w:rFonts w:ascii="ARIAL" w:hAnsi="ARIAL"/>
                <w:b/>
                <w:sz w:val="14"/>
              </w:rPr>
              <w:t>GROUP</w:t>
            </w:r>
          </w:p>
          <w:p>
            <w:pPr>
              <w:pStyle w:val="TableContents"/>
              <w:bidi w:val="0"/>
              <w:spacing w:before="0" w:after="0"/>
              <w:jc w:val="right"/>
              <w:rPr>
                <w:rFonts w:ascii="ARIAL" w:hAnsi="ARIAL"/>
                <w:b/>
                <w:sz w:val="14"/>
              </w:rPr>
            </w:pPr>
            <w:r>
              <w:rPr>
                <w:rFonts w:ascii="ARIAL" w:hAnsi="ARIAL"/>
                <w:b/>
                <w:sz w:val="14"/>
              </w:rPr>
              <w:t>TOTAL</w:t>
              <w:br/>
              <w:t>SHAREHOLDER</w:t>
              <w:br/>
              <w:t>RETURN</w:t>
            </w:r>
          </w:p>
          <w:p>
            <w:pPr>
              <w:pStyle w:val="TableContents"/>
              <w:bidi w:val="0"/>
              <w:spacing w:before="0" w:after="0"/>
              <w:jc w:val="right"/>
              <w:rPr>
                <w:rFonts w:ascii="ARIAL" w:hAnsi="ARIAL"/>
                <w:b/>
                <w:sz w:val="8"/>
              </w:rPr>
            </w:pPr>
            <w:r>
              <w:rPr>
                <w:rFonts w:ascii="ARIAL" w:hAnsi="ARIAL"/>
                <w:b/>
                <w:sz w:val="8"/>
              </w:rPr>
              <w:t>(6)</w:t>
            </w:r>
          </w:p>
          <w:p>
            <w:pPr>
              <w:pStyle w:val="TableContents"/>
              <w:bidi w:val="0"/>
              <w:spacing w:before="0" w:after="20"/>
              <w:jc w:val="right"/>
              <w:rPr>
                <w:rFonts w:ascii="ARIAL" w:hAnsi="ARIAL"/>
                <w:b/>
                <w:sz w:val="14"/>
              </w:rPr>
            </w:pPr>
            <w:r>
              <w:rPr>
                <w:rFonts w:ascii="ARIAL" w:hAnsi="ARIAL"/>
                <w:b/>
                <w:sz w:val="14"/>
              </w:rPr>
              <w:t>(g)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0"/>
              <w:jc w:val="right"/>
              <w:rPr>
                <w:b/>
                <w:spacing w:val="0"/>
              </w:rPr>
            </w:pPr>
            <w:r>
              <w:rPr>
                <w:b/>
                <w:spacing w:val="0"/>
              </w:rPr>
              <w:t>NET</w:t>
              <w:br/>
              <w:t>INCOME</w:t>
              <w:br/>
              <w:t>(LOSS)</w:t>
              <w:br/>
              <w:t>(MILLIONS)</w:t>
            </w:r>
          </w:p>
          <w:p>
            <w:pPr>
              <w:pStyle w:val="TableContents"/>
              <w:bidi w:val="0"/>
              <w:spacing w:before="0" w:after="0"/>
              <w:jc w:val="right"/>
              <w:rPr>
                <w:b/>
                <w:spacing w:val="0"/>
                <w:sz w:val="8"/>
              </w:rPr>
            </w:pPr>
            <w:r>
              <w:rPr>
                <w:b/>
                <w:spacing w:val="0"/>
                <w:sz w:val="8"/>
              </w:rPr>
              <w:t>(7)</w:t>
            </w:r>
          </w:p>
          <w:p>
            <w:pPr>
              <w:pStyle w:val="TableContents"/>
              <w:bidi w:val="0"/>
              <w:spacing w:before="0" w:after="0"/>
              <w:jc w:val="right"/>
              <w:rPr>
                <w:b/>
                <w:spacing w:val="0"/>
              </w:rPr>
            </w:pPr>
            <w:r>
              <w:rPr>
                <w:b/>
                <w:spacing w:val="0"/>
              </w:rPr>
              <w:br/>
              <w:t>(h)</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0"/>
              <w:jc w:val="right"/>
              <w:rPr>
                <w:b/>
                <w:spacing w:val="0"/>
              </w:rPr>
            </w:pPr>
            <w:r>
              <w:rPr>
                <w:b/>
                <w:spacing w:val="0"/>
              </w:rPr>
              <w:t>REVENUE</w:t>
              <w:br/>
              <w:t>LESS</w:t>
              <w:br/>
              <w:t>ANCILLARY</w:t>
              <w:br/>
              <w:t>SERVICES</w:t>
              <w:br/>
              <w:t>(MILLIONS)</w:t>
            </w:r>
          </w:p>
          <w:p>
            <w:pPr>
              <w:pStyle w:val="TableContents"/>
              <w:bidi w:val="0"/>
              <w:spacing w:before="0" w:after="0"/>
              <w:jc w:val="right"/>
              <w:rPr>
                <w:b/>
                <w:spacing w:val="0"/>
                <w:sz w:val="8"/>
              </w:rPr>
            </w:pPr>
            <w:r>
              <w:rPr>
                <w:b/>
                <w:spacing w:val="0"/>
                <w:sz w:val="8"/>
              </w:rPr>
              <w:t>(8)</w:t>
            </w:r>
          </w:p>
          <w:p>
            <w:pPr>
              <w:pStyle w:val="TableContents"/>
              <w:bidi w:val="0"/>
              <w:spacing w:before="0" w:after="0"/>
              <w:jc w:val="right"/>
              <w:rPr>
                <w:b/>
                <w:spacing w:val="0"/>
              </w:rPr>
            </w:pPr>
            <w:r>
              <w:rPr>
                <w:b/>
                <w:spacing w:val="0"/>
              </w:rPr>
              <w:br/>
              <w:t>(i)</w:t>
            </w:r>
          </w:p>
        </w:tc>
        <w:tc>
          <w:tcPr>
            <w:tcW w:w="75" w:type="dxa"/>
            <w:tcBorders/>
            <w:vAlign w:val="center"/>
          </w:tcPr>
          <w:p>
            <w:pPr>
              <w:pStyle w:val="TableContents"/>
              <w:bidi w:val="0"/>
              <w:spacing w:before="0" w:after="283"/>
              <w:jc w:val="left"/>
              <w:rPr/>
            </w:pPr>
            <w:r>
              <w:rPr/>
              <w:t> </w:t>
            </w:r>
          </w:p>
        </w:tc>
      </w:tr>
      <w:tr>
        <w:trPr/>
        <w:tc>
          <w:tcPr>
            <w:tcW w:w="740" w:type="dxa"/>
            <w:tcBorders/>
            <w:shd w:fill="E8F4FF" w:val="clear"/>
            <w:vAlign w:val="center"/>
          </w:tcPr>
          <w:p>
            <w:pPr>
              <w:pStyle w:val="TableContents"/>
              <w:bidi w:val="0"/>
              <w:spacing w:before="0" w:after="283"/>
              <w:jc w:val="left"/>
              <w:rPr>
                <w:sz w:val="4"/>
                <w:szCs w:val="4"/>
              </w:rPr>
            </w:pPr>
            <w:r>
              <w:rPr>
                <w:sz w:val="4"/>
                <w:szCs w:val="4"/>
              </w:rPr>
            </w:r>
          </w:p>
        </w:tc>
        <w:tc>
          <w:tcPr>
            <w:tcW w:w="1280" w:type="dxa"/>
            <w:gridSpan w:val="4"/>
            <w:tcBorders/>
            <w:shd w:fill="E8F4FF" w:val="clear"/>
            <w:vAlign w:val="center"/>
          </w:tcPr>
          <w:p>
            <w:pPr>
              <w:pStyle w:val="TableContents"/>
              <w:bidi w:val="0"/>
              <w:spacing w:before="0" w:after="283"/>
              <w:jc w:val="left"/>
              <w:rPr>
                <w:sz w:val="4"/>
                <w:szCs w:val="4"/>
              </w:rPr>
            </w:pPr>
            <w:r>
              <w:rPr>
                <w:sz w:val="4"/>
                <w:szCs w:val="4"/>
              </w:rPr>
            </w:r>
          </w:p>
        </w:tc>
        <w:tc>
          <w:tcPr>
            <w:tcW w:w="1570" w:type="dxa"/>
            <w:gridSpan w:val="4"/>
            <w:tcBorders/>
            <w:shd w:fill="E8F4FF" w:val="clear"/>
            <w:vAlign w:val="center"/>
          </w:tcPr>
          <w:p>
            <w:pPr>
              <w:pStyle w:val="TableContents"/>
              <w:bidi w:val="0"/>
              <w:spacing w:before="0" w:after="283"/>
              <w:jc w:val="left"/>
              <w:rPr>
                <w:sz w:val="4"/>
                <w:szCs w:val="4"/>
              </w:rPr>
            </w:pPr>
            <w:r>
              <w:rPr>
                <w:sz w:val="4"/>
                <w:szCs w:val="4"/>
              </w:rPr>
            </w:r>
          </w:p>
        </w:tc>
        <w:tc>
          <w:tcPr>
            <w:tcW w:w="1280" w:type="dxa"/>
            <w:gridSpan w:val="4"/>
            <w:tcBorders/>
            <w:shd w:fill="E8F4FF" w:val="clear"/>
            <w:vAlign w:val="center"/>
          </w:tcPr>
          <w:p>
            <w:pPr>
              <w:pStyle w:val="TableContents"/>
              <w:bidi w:val="0"/>
              <w:spacing w:before="0" w:after="283"/>
              <w:jc w:val="left"/>
              <w:rPr>
                <w:sz w:val="4"/>
                <w:szCs w:val="4"/>
              </w:rPr>
            </w:pPr>
            <w:r>
              <w:rPr>
                <w:sz w:val="4"/>
                <w:szCs w:val="4"/>
              </w:rPr>
            </w:r>
          </w:p>
        </w:tc>
        <w:tc>
          <w:tcPr>
            <w:tcW w:w="1570" w:type="dxa"/>
            <w:gridSpan w:val="4"/>
            <w:tcBorders/>
            <w:shd w:fill="E8F4FF" w:val="clear"/>
            <w:vAlign w:val="center"/>
          </w:tcPr>
          <w:p>
            <w:pPr>
              <w:pStyle w:val="TableContents"/>
              <w:bidi w:val="0"/>
              <w:spacing w:before="0" w:after="283"/>
              <w:jc w:val="left"/>
              <w:rPr>
                <w:sz w:val="4"/>
                <w:szCs w:val="4"/>
              </w:rPr>
            </w:pPr>
            <w:r>
              <w:rPr>
                <w:sz w:val="4"/>
                <w:szCs w:val="4"/>
              </w:rPr>
            </w:r>
          </w:p>
        </w:tc>
        <w:tc>
          <w:tcPr>
            <w:tcW w:w="1130" w:type="dxa"/>
            <w:gridSpan w:val="4"/>
            <w:tcBorders/>
            <w:shd w:fill="E8F4FF" w:val="clear"/>
            <w:vAlign w:val="center"/>
          </w:tcPr>
          <w:p>
            <w:pPr>
              <w:pStyle w:val="TableContents"/>
              <w:bidi w:val="0"/>
              <w:spacing w:before="0" w:after="283"/>
              <w:jc w:val="left"/>
              <w:rPr>
                <w:sz w:val="4"/>
                <w:szCs w:val="4"/>
              </w:rPr>
            </w:pPr>
            <w:r>
              <w:rPr>
                <w:sz w:val="4"/>
                <w:szCs w:val="4"/>
              </w:rPr>
            </w:r>
          </w:p>
        </w:tc>
        <w:tc>
          <w:tcPr>
            <w:tcW w:w="1130" w:type="dxa"/>
            <w:gridSpan w:val="4"/>
            <w:tcBorders/>
            <w:shd w:fill="E8F4FF" w:val="clear"/>
            <w:vAlign w:val="center"/>
          </w:tcPr>
          <w:p>
            <w:pPr>
              <w:pStyle w:val="TableContents"/>
              <w:bidi w:val="0"/>
              <w:spacing w:before="0" w:after="283"/>
              <w:jc w:val="left"/>
              <w:rPr>
                <w:sz w:val="4"/>
                <w:szCs w:val="4"/>
              </w:rPr>
            </w:pPr>
            <w:r>
              <w:rPr>
                <w:sz w:val="4"/>
                <w:szCs w:val="4"/>
              </w:rPr>
            </w:r>
          </w:p>
        </w:tc>
        <w:tc>
          <w:tcPr>
            <w:tcW w:w="1540" w:type="dxa"/>
            <w:gridSpan w:val="4"/>
            <w:tcBorders/>
            <w:shd w:fill="E8F4FF" w:val="clear"/>
            <w:vAlign w:val="center"/>
          </w:tcPr>
          <w:p>
            <w:pPr>
              <w:pStyle w:val="TableContents"/>
              <w:bidi w:val="0"/>
              <w:spacing w:before="0" w:after="283"/>
              <w:jc w:val="left"/>
              <w:rPr>
                <w:sz w:val="4"/>
                <w:szCs w:val="4"/>
              </w:rPr>
            </w:pPr>
            <w:r>
              <w:rPr>
                <w:sz w:val="4"/>
                <w:szCs w:val="4"/>
              </w:rPr>
            </w:r>
          </w:p>
        </w:tc>
        <w:tc>
          <w:tcPr>
            <w:tcW w:w="165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740" w:type="dxa"/>
            <w:tcBorders/>
            <w:shd w:fill="E8F4FF" w:val="clear"/>
            <w:vAlign w:val="center"/>
          </w:tcPr>
          <w:p>
            <w:pPr>
              <w:pStyle w:val="TableContents"/>
              <w:bidi w:val="0"/>
              <w:spacing w:before="0" w:after="0"/>
              <w:jc w:val="left"/>
              <w:rPr>
                <w:rFonts w:ascii="ARIAL" w:hAnsi="ARIAL"/>
                <w:b/>
                <w:color w:val="2393FF"/>
                <w:spacing w:val="0"/>
                <w:sz w:val="16"/>
              </w:rPr>
            </w:pPr>
            <w:r>
              <w:rPr>
                <w:rFonts w:ascii="ARIAL" w:hAnsi="ARIAL"/>
                <w:b/>
                <w:color w:val="2393FF"/>
                <w:spacing w:val="0"/>
                <w:sz w:val="16"/>
              </w:rPr>
              <w:t>2024</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$9,998,817</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295" w:type="dxa"/>
            <w:tcBorders/>
            <w:shd w:fill="E8F4FF" w:val="clear"/>
            <w:vAlign w:val="center"/>
          </w:tcPr>
          <w:p>
            <w:pPr>
              <w:pStyle w:val="TableContents"/>
              <w:bidi w:val="0"/>
              <w:spacing w:before="0" w:after="283"/>
              <w:jc w:val="right"/>
              <w:rPr/>
            </w:pPr>
            <w:r>
              <w:rPr/>
              <w:t>$ 6,452,629</w:t>
            </w:r>
          </w:p>
        </w:tc>
        <w:tc>
          <w:tcPr>
            <w:tcW w:w="15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$5,129,615</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295" w:type="dxa"/>
            <w:tcBorders/>
            <w:shd w:fill="E8F4FF" w:val="clear"/>
            <w:vAlign w:val="center"/>
          </w:tcPr>
          <w:p>
            <w:pPr>
              <w:pStyle w:val="TableContents"/>
              <w:bidi w:val="0"/>
              <w:spacing w:before="0" w:after="283"/>
              <w:jc w:val="right"/>
              <w:rPr/>
            </w:pPr>
            <w:r>
              <w:rPr/>
              <w:t>$ 3,130,182</w:t>
            </w:r>
          </w:p>
        </w:tc>
        <w:tc>
          <w:tcPr>
            <w:tcW w:w="15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08" w:type="dxa"/>
            <w:tcBorders/>
            <w:shd w:fill="E8F4FF" w:val="clear"/>
            <w:vAlign w:val="center"/>
          </w:tcPr>
          <w:p>
            <w:pPr>
              <w:pStyle w:val="TableContents"/>
              <w:bidi w:val="0"/>
              <w:spacing w:before="0" w:after="283"/>
              <w:jc w:val="left"/>
              <w:rPr/>
            </w:pPr>
            <w:r>
              <w:rPr/>
              <w:t> </w:t>
            </w:r>
          </w:p>
        </w:tc>
        <w:tc>
          <w:tcPr>
            <w:tcW w:w="902" w:type="dxa"/>
            <w:tcBorders/>
            <w:shd w:fill="E8F4FF" w:val="clear"/>
            <w:vAlign w:val="center"/>
          </w:tcPr>
          <w:p>
            <w:pPr>
              <w:pStyle w:val="TableContents"/>
              <w:bidi w:val="0"/>
              <w:spacing w:before="0" w:after="283"/>
              <w:jc w:val="right"/>
              <w:rPr/>
            </w:pPr>
            <w:r>
              <w:rPr/>
              <w:t>$ 86</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08" w:type="dxa"/>
            <w:tcBorders/>
            <w:shd w:fill="E8F4FF" w:val="clear"/>
            <w:vAlign w:val="center"/>
          </w:tcPr>
          <w:p>
            <w:pPr>
              <w:pStyle w:val="TableContents"/>
              <w:bidi w:val="0"/>
              <w:spacing w:before="0" w:after="283"/>
              <w:jc w:val="left"/>
              <w:rPr/>
            </w:pPr>
            <w:r>
              <w:rPr/>
              <w:t> </w:t>
            </w:r>
          </w:p>
        </w:tc>
        <w:tc>
          <w:tcPr>
            <w:tcW w:w="902" w:type="dxa"/>
            <w:tcBorders/>
            <w:shd w:fill="E8F4FF" w:val="clear"/>
            <w:vAlign w:val="center"/>
          </w:tcPr>
          <w:p>
            <w:pPr>
              <w:pStyle w:val="TableContents"/>
              <w:bidi w:val="0"/>
              <w:spacing w:before="0" w:after="283"/>
              <w:jc w:val="right"/>
              <w:rPr/>
            </w:pPr>
            <w:r>
              <w:rPr/>
              <w:t>$190</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4" w:type="dxa"/>
            <w:tcBorders/>
            <w:shd w:fill="E8F4FF" w:val="clear"/>
            <w:vAlign w:val="center"/>
          </w:tcPr>
          <w:p>
            <w:pPr>
              <w:pStyle w:val="TableContents"/>
              <w:bidi w:val="0"/>
              <w:spacing w:before="0" w:after="283"/>
              <w:jc w:val="left"/>
              <w:rPr/>
            </w:pPr>
            <w:r>
              <w:rPr/>
              <w:t> </w:t>
            </w:r>
          </w:p>
        </w:tc>
        <w:tc>
          <w:tcPr>
            <w:tcW w:w="1211" w:type="dxa"/>
            <w:tcBorders/>
            <w:shd w:fill="E8F4FF" w:val="clear"/>
            <w:vAlign w:val="center"/>
          </w:tcPr>
          <w:p>
            <w:pPr>
              <w:pStyle w:val="TableContents"/>
              <w:bidi w:val="0"/>
              <w:spacing w:before="0" w:after="283"/>
              <w:jc w:val="right"/>
              <w:rPr/>
            </w:pPr>
            <w:r>
              <w:rPr/>
              <w:t>$ 2.9</w:t>
            </w:r>
          </w:p>
        </w:tc>
        <w:tc>
          <w:tcPr>
            <w:tcW w:w="15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23" w:type="dxa"/>
            <w:tcBorders/>
            <w:shd w:fill="E8F4FF" w:val="clear"/>
            <w:vAlign w:val="center"/>
          </w:tcPr>
          <w:p>
            <w:pPr>
              <w:pStyle w:val="TableContents"/>
              <w:bidi w:val="0"/>
              <w:spacing w:before="0" w:after="283"/>
              <w:jc w:val="left"/>
              <w:rPr/>
            </w:pPr>
            <w:r>
              <w:rPr/>
              <w:t> </w:t>
            </w:r>
          </w:p>
        </w:tc>
        <w:tc>
          <w:tcPr>
            <w:tcW w:w="1397" w:type="dxa"/>
            <w:tcBorders/>
            <w:shd w:fill="E8F4FF" w:val="clear"/>
            <w:vAlign w:val="center"/>
          </w:tcPr>
          <w:p>
            <w:pPr>
              <w:pStyle w:val="TableContents"/>
              <w:bidi w:val="0"/>
              <w:spacing w:before="0" w:after="283"/>
              <w:jc w:val="right"/>
              <w:rPr/>
            </w:pPr>
            <w:r>
              <w:rPr/>
              <w:t>$474.2</w:t>
            </w:r>
          </w:p>
        </w:tc>
        <w:tc>
          <w:tcPr>
            <w:tcW w:w="75" w:type="dxa"/>
            <w:tcBorders/>
            <w:shd w:fill="E8F4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b/>
                <w:color w:val="2393FF"/>
                <w:spacing w:val="0"/>
                <w:sz w:val="16"/>
              </w:rPr>
            </w:pPr>
            <w:r>
              <w:rPr>
                <w:rFonts w:ascii="ARIAL" w:hAnsi="ARIAL"/>
                <w:b/>
                <w:color w:val="2393FF"/>
                <w:spacing w:val="0"/>
                <w:sz w:val="16"/>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$8,674,650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$ 8,251,940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$3,721,039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$ 3,521,333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right"/>
              <w:rPr/>
            </w:pPr>
            <w:r>
              <w:rPr/>
              <w:t>$ 96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right"/>
              <w:rPr/>
            </w:pPr>
            <w:r>
              <w:rPr/>
              <w:t>$140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right"/>
              <w:rPr/>
            </w:pPr>
            <w:r>
              <w:rPr/>
              <w:t>$377.1</w:t>
            </w:r>
          </w:p>
        </w:tc>
        <w:tc>
          <w:tcPr>
            <w:tcW w:w="75" w:type="dxa"/>
            <w:tcBorders/>
            <w:vAlign w:val="center"/>
          </w:tcPr>
          <w:p>
            <w:pPr>
              <w:pStyle w:val="TableContents"/>
              <w:bidi w:val="0"/>
              <w:spacing w:before="0" w:after="283"/>
              <w:jc w:val="left"/>
              <w:rPr/>
            </w:pPr>
            <w:r>
              <w:rPr/>
              <w:t> </w:t>
            </w:r>
          </w:p>
        </w:tc>
      </w:tr>
      <w:tr>
        <w:trPr/>
        <w:tc>
          <w:tcPr>
            <w:tcW w:w="740" w:type="dxa"/>
            <w:tcBorders/>
            <w:shd w:fill="E8F4FF" w:val="clear"/>
            <w:vAlign w:val="center"/>
          </w:tcPr>
          <w:p>
            <w:pPr>
              <w:pStyle w:val="TableContents"/>
              <w:bidi w:val="0"/>
              <w:spacing w:before="0" w:after="283"/>
              <w:jc w:val="left"/>
              <w:rPr>
                <w:sz w:val="4"/>
                <w:szCs w:val="4"/>
              </w:rPr>
            </w:pPr>
            <w:r>
              <w:rPr>
                <w:sz w:val="4"/>
                <w:szCs w:val="4"/>
              </w:rPr>
            </w:r>
          </w:p>
        </w:tc>
        <w:tc>
          <w:tcPr>
            <w:tcW w:w="1280" w:type="dxa"/>
            <w:gridSpan w:val="4"/>
            <w:tcBorders/>
            <w:shd w:fill="E8F4FF" w:val="clear"/>
            <w:vAlign w:val="center"/>
          </w:tcPr>
          <w:p>
            <w:pPr>
              <w:pStyle w:val="TableContents"/>
              <w:bidi w:val="0"/>
              <w:spacing w:before="0" w:after="283"/>
              <w:jc w:val="left"/>
              <w:rPr>
                <w:sz w:val="4"/>
                <w:szCs w:val="4"/>
              </w:rPr>
            </w:pPr>
            <w:r>
              <w:rPr>
                <w:sz w:val="4"/>
                <w:szCs w:val="4"/>
              </w:rPr>
            </w:r>
          </w:p>
        </w:tc>
        <w:tc>
          <w:tcPr>
            <w:tcW w:w="1570" w:type="dxa"/>
            <w:gridSpan w:val="4"/>
            <w:tcBorders/>
            <w:shd w:fill="E8F4FF" w:val="clear"/>
            <w:vAlign w:val="center"/>
          </w:tcPr>
          <w:p>
            <w:pPr>
              <w:pStyle w:val="TableContents"/>
              <w:bidi w:val="0"/>
              <w:spacing w:before="0" w:after="283"/>
              <w:jc w:val="left"/>
              <w:rPr>
                <w:sz w:val="4"/>
                <w:szCs w:val="4"/>
              </w:rPr>
            </w:pPr>
            <w:r>
              <w:rPr>
                <w:sz w:val="4"/>
                <w:szCs w:val="4"/>
              </w:rPr>
            </w:r>
          </w:p>
        </w:tc>
        <w:tc>
          <w:tcPr>
            <w:tcW w:w="1280" w:type="dxa"/>
            <w:gridSpan w:val="4"/>
            <w:tcBorders/>
            <w:shd w:fill="E8F4FF" w:val="clear"/>
            <w:vAlign w:val="center"/>
          </w:tcPr>
          <w:p>
            <w:pPr>
              <w:pStyle w:val="TableContents"/>
              <w:bidi w:val="0"/>
              <w:spacing w:before="0" w:after="283"/>
              <w:jc w:val="left"/>
              <w:rPr>
                <w:sz w:val="4"/>
                <w:szCs w:val="4"/>
              </w:rPr>
            </w:pPr>
            <w:r>
              <w:rPr>
                <w:sz w:val="4"/>
                <w:szCs w:val="4"/>
              </w:rPr>
            </w:r>
          </w:p>
        </w:tc>
        <w:tc>
          <w:tcPr>
            <w:tcW w:w="1570" w:type="dxa"/>
            <w:gridSpan w:val="4"/>
            <w:tcBorders/>
            <w:shd w:fill="E8F4FF" w:val="clear"/>
            <w:vAlign w:val="center"/>
          </w:tcPr>
          <w:p>
            <w:pPr>
              <w:pStyle w:val="TableContents"/>
              <w:bidi w:val="0"/>
              <w:spacing w:before="0" w:after="283"/>
              <w:jc w:val="left"/>
              <w:rPr>
                <w:sz w:val="4"/>
                <w:szCs w:val="4"/>
              </w:rPr>
            </w:pPr>
            <w:r>
              <w:rPr>
                <w:sz w:val="4"/>
                <w:szCs w:val="4"/>
              </w:rPr>
            </w:r>
          </w:p>
        </w:tc>
        <w:tc>
          <w:tcPr>
            <w:tcW w:w="1130" w:type="dxa"/>
            <w:gridSpan w:val="4"/>
            <w:tcBorders/>
            <w:shd w:fill="E8F4FF" w:val="clear"/>
            <w:vAlign w:val="center"/>
          </w:tcPr>
          <w:p>
            <w:pPr>
              <w:pStyle w:val="TableContents"/>
              <w:bidi w:val="0"/>
              <w:spacing w:before="0" w:after="283"/>
              <w:jc w:val="left"/>
              <w:rPr>
                <w:sz w:val="4"/>
                <w:szCs w:val="4"/>
              </w:rPr>
            </w:pPr>
            <w:r>
              <w:rPr>
                <w:sz w:val="4"/>
                <w:szCs w:val="4"/>
              </w:rPr>
            </w:r>
          </w:p>
        </w:tc>
        <w:tc>
          <w:tcPr>
            <w:tcW w:w="1130" w:type="dxa"/>
            <w:gridSpan w:val="4"/>
            <w:tcBorders/>
            <w:shd w:fill="E8F4FF" w:val="clear"/>
            <w:vAlign w:val="center"/>
          </w:tcPr>
          <w:p>
            <w:pPr>
              <w:pStyle w:val="TableContents"/>
              <w:bidi w:val="0"/>
              <w:spacing w:before="0" w:after="283"/>
              <w:jc w:val="left"/>
              <w:rPr>
                <w:sz w:val="4"/>
                <w:szCs w:val="4"/>
              </w:rPr>
            </w:pPr>
            <w:r>
              <w:rPr>
                <w:sz w:val="4"/>
                <w:szCs w:val="4"/>
              </w:rPr>
            </w:r>
          </w:p>
        </w:tc>
        <w:tc>
          <w:tcPr>
            <w:tcW w:w="1540" w:type="dxa"/>
            <w:gridSpan w:val="4"/>
            <w:tcBorders/>
            <w:shd w:fill="E8F4FF" w:val="clear"/>
            <w:vAlign w:val="center"/>
          </w:tcPr>
          <w:p>
            <w:pPr>
              <w:pStyle w:val="TableContents"/>
              <w:bidi w:val="0"/>
              <w:spacing w:before="0" w:after="283"/>
              <w:jc w:val="left"/>
              <w:rPr>
                <w:sz w:val="4"/>
                <w:szCs w:val="4"/>
              </w:rPr>
            </w:pPr>
            <w:r>
              <w:rPr>
                <w:sz w:val="4"/>
                <w:szCs w:val="4"/>
              </w:rPr>
            </w:r>
          </w:p>
        </w:tc>
        <w:tc>
          <w:tcPr>
            <w:tcW w:w="165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740" w:type="dxa"/>
            <w:tcBorders/>
            <w:shd w:fill="E8F4FF" w:val="clear"/>
            <w:vAlign w:val="center"/>
          </w:tcPr>
          <w:p>
            <w:pPr>
              <w:pStyle w:val="TableContents"/>
              <w:bidi w:val="0"/>
              <w:spacing w:before="0" w:after="0"/>
              <w:jc w:val="left"/>
              <w:rPr>
                <w:rFonts w:ascii="ARIAL" w:hAnsi="ARIAL"/>
                <w:b/>
                <w:color w:val="2393FF"/>
                <w:spacing w:val="0"/>
                <w:sz w:val="16"/>
              </w:rPr>
            </w:pPr>
            <w:r>
              <w:rPr>
                <w:rFonts w:ascii="ARIAL" w:hAnsi="ARIAL"/>
                <w:b/>
                <w:color w:val="2393FF"/>
                <w:spacing w:val="0"/>
                <w:sz w:val="16"/>
              </w:rPr>
              <w:t>2022</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$7,070,674</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295" w:type="dxa"/>
            <w:tcBorders/>
            <w:shd w:fill="E8F4FF" w:val="clear"/>
            <w:vAlign w:val="center"/>
          </w:tcPr>
          <w:p>
            <w:pPr>
              <w:pStyle w:val="TableContents"/>
              <w:bidi w:val="0"/>
              <w:spacing w:before="0" w:after="283"/>
              <w:jc w:val="right"/>
              <w:rPr/>
            </w:pPr>
            <w:r>
              <w:rPr/>
              <w:t>($ 4,643,996</w:t>
            </w:r>
          </w:p>
        </w:tc>
        <w:tc>
          <w:tcPr>
            <w:tcW w:w="15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00" w:type="dxa"/>
            <w:tcBorders/>
            <w:shd w:fill="E8F4FF" w:val="clear"/>
            <w:vAlign w:val="center"/>
          </w:tcPr>
          <w:p>
            <w:pPr>
              <w:pStyle w:val="TableContents"/>
              <w:bidi w:val="0"/>
              <w:spacing w:before="0" w:after="283"/>
              <w:jc w:val="right"/>
              <w:rPr/>
            </w:pPr>
            <w:r>
              <w:rPr/>
              <w:t>$3,133,530</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295" w:type="dxa"/>
            <w:tcBorders/>
            <w:shd w:fill="E8F4FF" w:val="clear"/>
            <w:vAlign w:val="center"/>
          </w:tcPr>
          <w:p>
            <w:pPr>
              <w:pStyle w:val="TableContents"/>
              <w:bidi w:val="0"/>
              <w:spacing w:before="0" w:after="283"/>
              <w:jc w:val="right"/>
              <w:rPr/>
            </w:pPr>
            <w:r>
              <w:rPr/>
              <w:t>($ 1,252,929</w:t>
            </w:r>
          </w:p>
        </w:tc>
        <w:tc>
          <w:tcPr>
            <w:tcW w:w="15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08" w:type="dxa"/>
            <w:tcBorders/>
            <w:shd w:fill="E8F4FF" w:val="clear"/>
            <w:vAlign w:val="center"/>
          </w:tcPr>
          <w:p>
            <w:pPr>
              <w:pStyle w:val="TableContents"/>
              <w:bidi w:val="0"/>
              <w:spacing w:before="0" w:after="283"/>
              <w:jc w:val="left"/>
              <w:rPr/>
            </w:pPr>
            <w:r>
              <w:rPr/>
              <w:t> </w:t>
            </w:r>
          </w:p>
        </w:tc>
        <w:tc>
          <w:tcPr>
            <w:tcW w:w="902" w:type="dxa"/>
            <w:tcBorders/>
            <w:shd w:fill="E8F4FF" w:val="clear"/>
            <w:vAlign w:val="center"/>
          </w:tcPr>
          <w:p>
            <w:pPr>
              <w:pStyle w:val="TableContents"/>
              <w:bidi w:val="0"/>
              <w:spacing w:before="0" w:after="283"/>
              <w:jc w:val="right"/>
              <w:rPr/>
            </w:pPr>
            <w:r>
              <w:rPr/>
              <w:t>$102</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08" w:type="dxa"/>
            <w:tcBorders/>
            <w:shd w:fill="E8F4FF" w:val="clear"/>
            <w:vAlign w:val="center"/>
          </w:tcPr>
          <w:p>
            <w:pPr>
              <w:pStyle w:val="TableContents"/>
              <w:bidi w:val="0"/>
              <w:spacing w:before="0" w:after="283"/>
              <w:jc w:val="left"/>
              <w:rPr/>
            </w:pPr>
            <w:r>
              <w:rPr/>
              <w:t> </w:t>
            </w:r>
          </w:p>
        </w:tc>
        <w:tc>
          <w:tcPr>
            <w:tcW w:w="902" w:type="dxa"/>
            <w:tcBorders/>
            <w:shd w:fill="E8F4FF" w:val="clear"/>
            <w:vAlign w:val="center"/>
          </w:tcPr>
          <w:p>
            <w:pPr>
              <w:pStyle w:val="TableContents"/>
              <w:bidi w:val="0"/>
              <w:spacing w:before="0" w:after="283"/>
              <w:jc w:val="right"/>
              <w:rPr/>
            </w:pPr>
            <w:r>
              <w:rPr/>
              <w:t>$ 89</w:t>
            </w:r>
          </w:p>
        </w:tc>
        <w:tc>
          <w:tcPr>
            <w:tcW w:w="60"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14" w:type="dxa"/>
            <w:tcBorders/>
            <w:shd w:fill="E8F4FF" w:val="clear"/>
            <w:vAlign w:val="center"/>
          </w:tcPr>
          <w:p>
            <w:pPr>
              <w:pStyle w:val="TableContents"/>
              <w:bidi w:val="0"/>
              <w:spacing w:before="0" w:after="283"/>
              <w:jc w:val="left"/>
              <w:rPr/>
            </w:pPr>
            <w:r>
              <w:rPr/>
              <w:t> </w:t>
            </w:r>
          </w:p>
        </w:tc>
        <w:tc>
          <w:tcPr>
            <w:tcW w:w="1211" w:type="dxa"/>
            <w:tcBorders/>
            <w:shd w:fill="E8F4FF" w:val="clear"/>
            <w:vAlign w:val="center"/>
          </w:tcPr>
          <w:p>
            <w:pPr>
              <w:pStyle w:val="TableContents"/>
              <w:bidi w:val="0"/>
              <w:spacing w:before="0" w:after="283"/>
              <w:jc w:val="right"/>
              <w:rPr/>
            </w:pPr>
            <w:r>
              <w:rPr/>
              <w:t>($39.3</w:t>
            </w:r>
          </w:p>
        </w:tc>
        <w:tc>
          <w:tcPr>
            <w:tcW w:w="155" w:type="dxa"/>
            <w:tcBorders/>
            <w:shd w:fill="E8F4FF" w:val="clear"/>
            <w:vAlign w:val="center"/>
          </w:tcPr>
          <w:p>
            <w:pPr>
              <w:pStyle w:val="TableContents"/>
              <w:bidi w:val="0"/>
              <w:spacing w:before="0" w:after="283"/>
              <w:jc w:val="left"/>
              <w:rPr/>
            </w:pPr>
            <w:r>
              <w:rPr/>
              <w:t>) </w:t>
            </w:r>
          </w:p>
        </w:tc>
        <w:tc>
          <w:tcPr>
            <w:tcW w:w="60" w:type="dxa"/>
            <w:tcBorders/>
            <w:shd w:fill="E8F4FF" w:val="clear"/>
            <w:vAlign w:val="center"/>
          </w:tcPr>
          <w:p>
            <w:pPr>
              <w:pStyle w:val="TableContents"/>
              <w:bidi w:val="0"/>
              <w:spacing w:before="0" w:after="283"/>
              <w:jc w:val="left"/>
              <w:rPr/>
            </w:pPr>
            <w:r>
              <w:rPr/>
              <w:t> </w:t>
            </w:r>
          </w:p>
        </w:tc>
        <w:tc>
          <w:tcPr>
            <w:tcW w:w="123" w:type="dxa"/>
            <w:tcBorders/>
            <w:shd w:fill="E8F4FF" w:val="clear"/>
            <w:vAlign w:val="center"/>
          </w:tcPr>
          <w:p>
            <w:pPr>
              <w:pStyle w:val="TableContents"/>
              <w:bidi w:val="0"/>
              <w:spacing w:before="0" w:after="283"/>
              <w:jc w:val="left"/>
              <w:rPr/>
            </w:pPr>
            <w:r>
              <w:rPr/>
              <w:t> </w:t>
            </w:r>
          </w:p>
        </w:tc>
        <w:tc>
          <w:tcPr>
            <w:tcW w:w="1397" w:type="dxa"/>
            <w:tcBorders/>
            <w:shd w:fill="E8F4FF" w:val="clear"/>
            <w:vAlign w:val="center"/>
          </w:tcPr>
          <w:p>
            <w:pPr>
              <w:pStyle w:val="TableContents"/>
              <w:bidi w:val="0"/>
              <w:spacing w:before="0" w:after="283"/>
              <w:jc w:val="right"/>
              <w:rPr/>
            </w:pPr>
            <w:r>
              <w:rPr/>
              <w:t>$257.1</w:t>
            </w:r>
          </w:p>
        </w:tc>
        <w:tc>
          <w:tcPr>
            <w:tcW w:w="75" w:type="dxa"/>
            <w:tcBorders/>
            <w:shd w:fill="E8F4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bottom w:val="single" w:sz="6" w:space="0" w:color="2393FF"/>
            </w:tcBorders>
            <w:tcMar>
              <w:bottom w:w="120" w:type="dxa"/>
            </w:tcMar>
            <w:vAlign w:val="center"/>
          </w:tcPr>
          <w:p>
            <w:pPr>
              <w:pStyle w:val="TableContents"/>
              <w:bidi w:val="0"/>
              <w:spacing w:before="0" w:after="0"/>
              <w:jc w:val="left"/>
              <w:rPr>
                <w:rFonts w:ascii="ARIAL" w:hAnsi="ARIAL"/>
                <w:b/>
                <w:color w:val="2393FF"/>
                <w:spacing w:val="0"/>
                <w:sz w:val="16"/>
              </w:rPr>
            </w:pPr>
            <w:r>
              <w:rPr>
                <w:rFonts w:ascii="ARIAL" w:hAnsi="ARIAL"/>
                <w:b/>
                <w:color w:val="2393FF"/>
                <w:spacing w:val="0"/>
                <w:sz w:val="16"/>
              </w:rPr>
              <w:t>2021</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1100" w:type="dxa"/>
            <w:tcBorders>
              <w:bottom w:val="single" w:sz="6" w:space="0" w:color="2393FF"/>
            </w:tcBorders>
            <w:tcMar>
              <w:bottom w:w="120" w:type="dxa"/>
            </w:tcMar>
            <w:vAlign w:val="center"/>
          </w:tcPr>
          <w:p>
            <w:pPr>
              <w:pStyle w:val="TableContents"/>
              <w:bidi w:val="0"/>
              <w:spacing w:before="0" w:after="283"/>
              <w:jc w:val="right"/>
              <w:rPr/>
            </w:pPr>
            <w:r>
              <w:rPr/>
              <w:t>$4,768,798</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1295" w:type="dxa"/>
            <w:tcBorders>
              <w:bottom w:val="single" w:sz="6" w:space="0" w:color="2393FF"/>
            </w:tcBorders>
            <w:tcMar>
              <w:bottom w:w="120" w:type="dxa"/>
            </w:tcMar>
            <w:vAlign w:val="center"/>
          </w:tcPr>
          <w:p>
            <w:pPr>
              <w:pStyle w:val="TableContents"/>
              <w:bidi w:val="0"/>
              <w:spacing w:before="0" w:after="283"/>
              <w:jc w:val="right"/>
              <w:rPr/>
            </w:pPr>
            <w:r>
              <w:rPr/>
              <w:t>$40,706,656</w:t>
            </w:r>
          </w:p>
        </w:tc>
        <w:tc>
          <w:tcPr>
            <w:tcW w:w="155" w:type="dxa"/>
            <w:tcBorders>
              <w:bottom w:val="single" w:sz="6" w:space="0" w:color="2393FF"/>
            </w:tcBorders>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1100" w:type="dxa"/>
            <w:tcBorders>
              <w:bottom w:val="single" w:sz="6" w:space="0" w:color="2393FF"/>
            </w:tcBorders>
            <w:tcMar>
              <w:bottom w:w="120" w:type="dxa"/>
            </w:tcMar>
            <w:vAlign w:val="center"/>
          </w:tcPr>
          <w:p>
            <w:pPr>
              <w:pStyle w:val="TableContents"/>
              <w:bidi w:val="0"/>
              <w:spacing w:before="0" w:after="283"/>
              <w:jc w:val="right"/>
              <w:rPr/>
            </w:pPr>
            <w:r>
              <w:rPr/>
              <w:t>$2,685,819</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1295" w:type="dxa"/>
            <w:tcBorders>
              <w:bottom w:val="single" w:sz="6" w:space="0" w:color="2393FF"/>
            </w:tcBorders>
            <w:tcMar>
              <w:bottom w:w="120" w:type="dxa"/>
            </w:tcMar>
            <w:vAlign w:val="center"/>
          </w:tcPr>
          <w:p>
            <w:pPr>
              <w:pStyle w:val="TableContents"/>
              <w:bidi w:val="0"/>
              <w:spacing w:before="0" w:after="283"/>
              <w:jc w:val="right"/>
              <w:rPr/>
            </w:pPr>
            <w:r>
              <w:rPr/>
              <w:t>$21,188,572</w:t>
            </w:r>
          </w:p>
        </w:tc>
        <w:tc>
          <w:tcPr>
            <w:tcW w:w="155" w:type="dxa"/>
            <w:tcBorders>
              <w:bottom w:val="single" w:sz="6" w:space="0" w:color="2393FF"/>
            </w:tcBorders>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108" w:type="dxa"/>
            <w:tcBorders>
              <w:bottom w:val="single" w:sz="6" w:space="0" w:color="2393FF"/>
            </w:tcBorders>
            <w:tcMar>
              <w:bottom w:w="120" w:type="dxa"/>
            </w:tcMar>
            <w:vAlign w:val="center"/>
          </w:tcPr>
          <w:p>
            <w:pPr>
              <w:pStyle w:val="TableContents"/>
              <w:bidi w:val="0"/>
              <w:spacing w:before="0" w:after="283"/>
              <w:jc w:val="left"/>
              <w:rPr/>
            </w:pPr>
            <w:r>
              <w:rPr/>
              <w:t> </w:t>
            </w:r>
          </w:p>
        </w:tc>
        <w:tc>
          <w:tcPr>
            <w:tcW w:w="902" w:type="dxa"/>
            <w:tcBorders>
              <w:bottom w:val="single" w:sz="6" w:space="0" w:color="2393FF"/>
            </w:tcBorders>
            <w:tcMar>
              <w:bottom w:w="120" w:type="dxa"/>
            </w:tcMar>
            <w:vAlign w:val="center"/>
          </w:tcPr>
          <w:p>
            <w:pPr>
              <w:pStyle w:val="TableContents"/>
              <w:bidi w:val="0"/>
              <w:spacing w:before="0" w:after="283"/>
              <w:jc w:val="right"/>
              <w:rPr/>
            </w:pPr>
            <w:r>
              <w:rPr/>
              <w:t>$159</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108" w:type="dxa"/>
            <w:tcBorders>
              <w:bottom w:val="single" w:sz="6" w:space="0" w:color="2393FF"/>
            </w:tcBorders>
            <w:tcMar>
              <w:bottom w:w="120" w:type="dxa"/>
            </w:tcMar>
            <w:vAlign w:val="center"/>
          </w:tcPr>
          <w:p>
            <w:pPr>
              <w:pStyle w:val="TableContents"/>
              <w:bidi w:val="0"/>
              <w:spacing w:before="0" w:after="283"/>
              <w:jc w:val="left"/>
              <w:rPr/>
            </w:pPr>
            <w:r>
              <w:rPr/>
              <w:t> </w:t>
            </w:r>
          </w:p>
        </w:tc>
        <w:tc>
          <w:tcPr>
            <w:tcW w:w="902" w:type="dxa"/>
            <w:tcBorders>
              <w:bottom w:val="single" w:sz="6" w:space="0" w:color="2393FF"/>
            </w:tcBorders>
            <w:tcMar>
              <w:bottom w:w="120" w:type="dxa"/>
            </w:tcMar>
            <w:vAlign w:val="center"/>
          </w:tcPr>
          <w:p>
            <w:pPr>
              <w:pStyle w:val="TableContents"/>
              <w:bidi w:val="0"/>
              <w:spacing w:before="0" w:after="283"/>
              <w:jc w:val="right"/>
              <w:rPr/>
            </w:pPr>
            <w:r>
              <w:rPr/>
              <w:t>$126</w:t>
            </w:r>
          </w:p>
        </w:tc>
        <w:tc>
          <w:tcPr>
            <w:tcW w:w="60" w:type="dxa"/>
            <w:tcBorders>
              <w:bottom w:val="single" w:sz="6" w:space="0" w:color="2393FF"/>
            </w:tcBorders>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114" w:type="dxa"/>
            <w:tcBorders>
              <w:bottom w:val="single" w:sz="6" w:space="0" w:color="2393FF"/>
            </w:tcBorders>
            <w:tcMar>
              <w:bottom w:w="120" w:type="dxa"/>
            </w:tcMar>
            <w:vAlign w:val="center"/>
          </w:tcPr>
          <w:p>
            <w:pPr>
              <w:pStyle w:val="TableContents"/>
              <w:bidi w:val="0"/>
              <w:spacing w:before="0" w:after="283"/>
              <w:jc w:val="left"/>
              <w:rPr/>
            </w:pPr>
            <w:r>
              <w:rPr/>
              <w:t> </w:t>
            </w:r>
          </w:p>
        </w:tc>
        <w:tc>
          <w:tcPr>
            <w:tcW w:w="1211" w:type="dxa"/>
            <w:tcBorders>
              <w:bottom w:val="single" w:sz="6" w:space="0" w:color="2393FF"/>
            </w:tcBorders>
            <w:tcMar>
              <w:bottom w:w="120" w:type="dxa"/>
            </w:tcMar>
            <w:vAlign w:val="center"/>
          </w:tcPr>
          <w:p>
            <w:pPr>
              <w:pStyle w:val="TableContents"/>
              <w:bidi w:val="0"/>
              <w:spacing w:before="0" w:after="283"/>
              <w:jc w:val="right"/>
              <w:rPr/>
            </w:pPr>
            <w:r>
              <w:rPr/>
              <w:t>($28.1</w:t>
            </w:r>
          </w:p>
        </w:tc>
        <w:tc>
          <w:tcPr>
            <w:tcW w:w="155" w:type="dxa"/>
            <w:tcBorders>
              <w:bottom w:val="single" w:sz="6" w:space="0" w:color="2393FF"/>
            </w:tcBorders>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tcMar>
              <w:bottom w:w="28" w:type="dxa"/>
            </w:tcMar>
            <w:vAlign w:val="center"/>
          </w:tcPr>
          <w:p>
            <w:pPr>
              <w:pStyle w:val="TableContents"/>
              <w:bidi w:val="0"/>
              <w:spacing w:before="0" w:after="283"/>
              <w:jc w:val="left"/>
              <w:rPr/>
            </w:pPr>
            <w:r>
              <w:rPr/>
              <w:t> </w:t>
            </w:r>
          </w:p>
        </w:tc>
        <w:tc>
          <w:tcPr>
            <w:tcW w:w="123" w:type="dxa"/>
            <w:tcBorders>
              <w:bottom w:val="single" w:sz="6" w:space="0" w:color="2393FF"/>
            </w:tcBorders>
            <w:tcMar>
              <w:bottom w:w="120" w:type="dxa"/>
            </w:tcMar>
            <w:vAlign w:val="center"/>
          </w:tcPr>
          <w:p>
            <w:pPr>
              <w:pStyle w:val="TableContents"/>
              <w:bidi w:val="0"/>
              <w:spacing w:before="0" w:after="283"/>
              <w:jc w:val="left"/>
              <w:rPr/>
            </w:pPr>
            <w:r>
              <w:rPr/>
              <w:t> </w:t>
            </w:r>
          </w:p>
        </w:tc>
        <w:tc>
          <w:tcPr>
            <w:tcW w:w="1397" w:type="dxa"/>
            <w:tcBorders>
              <w:bottom w:val="single" w:sz="6" w:space="0" w:color="2393FF"/>
            </w:tcBorders>
            <w:tcMar>
              <w:bottom w:w="120" w:type="dxa"/>
            </w:tcMar>
            <w:vAlign w:val="center"/>
          </w:tcPr>
          <w:p>
            <w:pPr>
              <w:pStyle w:val="TableContents"/>
              <w:bidi w:val="0"/>
              <w:spacing w:before="0" w:after="283"/>
              <w:jc w:val="right"/>
              <w:rPr/>
            </w:pPr>
            <w:r>
              <w:rPr/>
              <w:t>$181.1</w:t>
            </w:r>
          </w:p>
        </w:tc>
        <w:tc>
          <w:tcPr>
            <w:tcW w:w="75" w:type="dxa"/>
            <w:tcBorders>
              <w:bottom w:val="single" w:sz="6" w:space="0" w:color="2393FF"/>
            </w:tcBorders>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color w:val="333333"/>
                <w:spacing w:val="0"/>
              </w:rPr>
            </w:pPr>
            <w:r>
              <w:rPr>
                <w:color w:val="333333"/>
                <w:spacing w:val="0"/>
              </w:rPr>
              <w:t>(1)</w:t>
            </w:r>
          </w:p>
        </w:tc>
        <w:tc>
          <w:tcPr>
            <w:tcW w:w="9936" w:type="dxa"/>
            <w:tcBorders/>
            <w:vAlign w:val="center"/>
          </w:tcPr>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dollar amounts reported in column (b) are the amounts of total compensation reported for Mr. Massaro (our Chief Executive Officer) for each corresponding year in the Total column of the Summary Compensation Table. Refer to Executive Compensation –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color w:val="333333"/>
                <w:spacing w:val="0"/>
              </w:rPr>
            </w:pPr>
            <w:r>
              <w:rPr>
                <w:color w:val="333333"/>
                <w:spacing w:val="0"/>
              </w:rPr>
              <w:t>(2)</w:t>
            </w:r>
          </w:p>
        </w:tc>
        <w:tc>
          <w:tcPr>
            <w:tcW w:w="9916" w:type="dxa"/>
            <w:tcBorders/>
            <w:vAlign w:val="center"/>
          </w:tcPr>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dollar amounts reported in column (c) represent the amount of compensation actually paid to Mr. Massaro, as computed in accordance with Item 402(v) of Regulation </w:t>
            </w:r>
          </w:p>
          <w:p>
            <w:pPr>
              <w:pStyle w:val="TableContents"/>
              <w:bidi w:val="0"/>
              <w:spacing w:before="0" w:after="0"/>
              <w:jc w:val="left"/>
              <w:rPr>
                <w:rFonts w:ascii="ARIAL" w:hAnsi="ARIAL"/>
                <w:color w:val="333333"/>
                <w:spacing w:val="0"/>
                <w:sz w:val="14"/>
              </w:rPr>
            </w:pPr>
            <w:r>
              <w:rPr>
                <w:rFonts w:ascii="ARIAL" w:hAnsi="ARIAL"/>
                <w:color w:val="333333"/>
                <w:spacing w:val="0"/>
                <w:sz w:val="14"/>
              </w:rPr>
              <w:t>S-K.</w:t>
            </w:r>
          </w:p>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dollar amounts do not reflect the actual amount of compensation earned by or paid to Mr. Massaro during the applicable year. In accordance with the requirements of Item 402(v) of Regulation </w:t>
            </w:r>
          </w:p>
          <w:p>
            <w:pPr>
              <w:pStyle w:val="TableContents"/>
              <w:bidi w:val="0"/>
              <w:spacing w:before="0" w:after="0"/>
              <w:jc w:val="left"/>
              <w:rPr>
                <w:rFonts w:ascii="ARIAL" w:hAnsi="ARIAL"/>
                <w:color w:val="333333"/>
                <w:spacing w:val="0"/>
                <w:sz w:val="14"/>
              </w:rPr>
            </w:pPr>
            <w:r>
              <w:rPr>
                <w:rFonts w:ascii="ARIAL" w:hAnsi="ARIAL"/>
                <w:color w:val="333333"/>
                <w:spacing w:val="0"/>
                <w:sz w:val="14"/>
              </w:rPr>
              <w:t>S-K,</w:t>
            </w:r>
          </w:p>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following adjustments were made to Mr. Massaro’s total compensation for each year to determine the compensation actually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26"/>
        <w:gridCol w:w="120"/>
        <w:gridCol w:w="253"/>
        <w:gridCol w:w="1777"/>
        <w:gridCol w:w="60"/>
        <w:gridCol w:w="120"/>
        <w:gridCol w:w="106"/>
        <w:gridCol w:w="2112"/>
        <w:gridCol w:w="60"/>
        <w:gridCol w:w="120"/>
        <w:gridCol w:w="240"/>
        <w:gridCol w:w="1685"/>
        <w:gridCol w:w="60"/>
        <w:gridCol w:w="120"/>
        <w:gridCol w:w="307"/>
        <w:gridCol w:w="2161"/>
        <w:gridCol w:w="78"/>
      </w:tblGrid>
      <w:tr>
        <w:trPr/>
        <w:tc>
          <w:tcPr>
            <w:tcW w:w="8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0"/>
              <w:jc w:val="left"/>
              <w:rPr>
                <w:spacing w:val="0"/>
              </w:rPr>
            </w:pPr>
            <w:r>
              <w:rPr>
                <w:spacing w:val="0"/>
              </w:rPr>
              <w:t> </w:t>
            </w:r>
            <w:r>
              <w:rPr>
                <w:b/>
                <w:spacing w:val="0"/>
              </w:rPr>
              <w:t>YEAR</w:t>
            </w:r>
          </w:p>
        </w:tc>
        <w:tc>
          <w:tcPr>
            <w:tcW w:w="12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0"/>
              <w:jc w:val="right"/>
              <w:rPr>
                <w:b/>
                <w:spacing w:val="0"/>
              </w:rPr>
            </w:pPr>
            <w:r>
              <w:rPr>
                <w:b/>
                <w:spacing w:val="0"/>
              </w:rPr>
              <w:t>REPORTED</w:t>
              <w:br/>
              <w:t>SUMMARY</w:t>
              <w:br/>
              <w:t>COMPENSATION</w:t>
              <w:br/>
              <w:t>TABLE TOTAL</w:t>
              <w:br/>
              <w:t>FOR PEO</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8" w:type="dxa"/>
            <w:gridSpan w:val="2"/>
            <w:tcBorders/>
            <w:vAlign w:val="center"/>
          </w:tcPr>
          <w:p>
            <w:pPr>
              <w:pStyle w:val="TableContents"/>
              <w:bidi w:val="0"/>
              <w:spacing w:before="0" w:after="0"/>
              <w:jc w:val="right"/>
              <w:rPr/>
            </w:pPr>
            <w:r>
              <w:rPr/>
              <w:t>       </w:t>
            </w:r>
            <w:r>
              <w:rPr>
                <w:rFonts w:ascii="ARIAL" w:hAnsi="ARIAL"/>
                <w:b/>
                <w:sz w:val="14"/>
              </w:rPr>
              <w:t>REPORTED</w:t>
              <w:br/>
              <w:t>VALUE OF</w:t>
            </w:r>
          </w:p>
          <w:p>
            <w:pPr>
              <w:pStyle w:val="TableContents"/>
              <w:bidi w:val="0"/>
              <w:spacing w:before="0" w:after="0"/>
              <w:jc w:val="right"/>
              <w:rPr>
                <w:rFonts w:ascii="ARIAL" w:hAnsi="ARIAL"/>
                <w:b/>
                <w:sz w:val="14"/>
              </w:rPr>
            </w:pPr>
            <w:r>
              <w:rPr>
                <w:rFonts w:ascii="ARIAL" w:hAnsi="ARIAL"/>
                <w:b/>
                <w:sz w:val="14"/>
              </w:rPr>
              <w:t>EQUITY</w:t>
            </w:r>
          </w:p>
          <w:p>
            <w:pPr>
              <w:pStyle w:val="TableContents"/>
              <w:bidi w:val="0"/>
              <w:spacing w:before="0" w:after="20"/>
              <w:jc w:val="right"/>
              <w:rPr>
                <w:rFonts w:ascii="ARIAL" w:hAnsi="ARIAL"/>
                <w:b/>
                <w:sz w:val="14"/>
              </w:rPr>
            </w:pPr>
            <w:r>
              <w:rPr>
                <w:rFonts w:ascii="ARIAL" w:hAnsi="ARIAL"/>
                <w:b/>
                <w:sz w:val="14"/>
              </w:rPr>
              <w:t>AWARDS</w:t>
            </w:r>
          </w:p>
          <w:p>
            <w:pPr>
              <w:pStyle w:val="TableContents"/>
              <w:bidi w:val="0"/>
              <w:spacing w:before="0" w:after="20"/>
              <w:jc w:val="right"/>
              <w:rPr>
                <w:rFonts w:ascii="ARIAL" w:hAnsi="ARIAL"/>
                <w:b/>
                <w:sz w:val="8"/>
              </w:rPr>
            </w:pPr>
            <w:r>
              <w:rPr>
                <w:rFonts w:ascii="ARIAL" w:hAnsi="ARIAL"/>
                <w:b/>
                <w:sz w:val="8"/>
              </w:rPr>
              <w:t>(a)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0"/>
              <w:jc w:val="right"/>
              <w:rPr>
                <w:rFonts w:ascii="ARIAL" w:hAnsi="ARIAL"/>
                <w:b/>
                <w:sz w:val="14"/>
              </w:rPr>
            </w:pPr>
            <w:r>
              <w:rPr>
                <w:rFonts w:ascii="ARIAL" w:hAnsi="ARIAL"/>
                <w:b/>
                <w:sz w:val="14"/>
              </w:rPr>
              <w:t>EQUITY</w:t>
            </w:r>
          </w:p>
          <w:p>
            <w:pPr>
              <w:pStyle w:val="TableContents"/>
              <w:bidi w:val="0"/>
              <w:spacing w:before="0" w:after="20"/>
              <w:jc w:val="right"/>
              <w:rPr>
                <w:rFonts w:ascii="ARIAL" w:hAnsi="ARIAL"/>
                <w:b/>
                <w:sz w:val="14"/>
              </w:rPr>
            </w:pPr>
            <w:r>
              <w:rPr>
                <w:rFonts w:ascii="ARIAL" w:hAnsi="ARIAL"/>
                <w:b/>
                <w:sz w:val="14"/>
              </w:rPr>
              <w:t>AWARD</w:t>
              <w:br/>
              <w:t>       ADJUSTMENTS</w:t>
            </w:r>
          </w:p>
          <w:p>
            <w:pPr>
              <w:pStyle w:val="TableContents"/>
              <w:bidi w:val="0"/>
              <w:spacing w:before="0" w:after="20"/>
              <w:jc w:val="right"/>
              <w:rPr>
                <w:rFonts w:ascii="ARIAL" w:hAnsi="ARIAL"/>
                <w:b/>
                <w:sz w:val="8"/>
              </w:rPr>
            </w:pPr>
            <w:r>
              <w:rPr>
                <w:rFonts w:ascii="ARIAL" w:hAnsi="ARIAL"/>
                <w:b/>
                <w:sz w:val="8"/>
              </w:rPr>
              <w:t>(b)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8" w:type="dxa"/>
            <w:gridSpan w:val="2"/>
            <w:tcBorders/>
            <w:vAlign w:val="center"/>
          </w:tcPr>
          <w:p>
            <w:pPr>
              <w:pStyle w:val="TableContents"/>
              <w:bidi w:val="0"/>
              <w:spacing w:before="0" w:after="0"/>
              <w:jc w:val="right"/>
              <w:rPr/>
            </w:pPr>
            <w:r>
              <w:rPr/>
              <w:t>       </w:t>
            </w:r>
            <w:r>
              <w:rPr>
                <w:rFonts w:ascii="ARIAL" w:hAnsi="ARIAL"/>
                <w:b/>
                <w:sz w:val="14"/>
              </w:rPr>
              <w:t>COMPENSATION</w:t>
              <w:br/>
              <w:t>ACTUALLY</w:t>
            </w:r>
          </w:p>
          <w:p>
            <w:pPr>
              <w:pStyle w:val="TableContents"/>
              <w:bidi w:val="0"/>
              <w:spacing w:before="0" w:after="20"/>
              <w:jc w:val="right"/>
              <w:rPr>
                <w:rFonts w:ascii="ARIAL" w:hAnsi="ARIAL"/>
                <w:b/>
                <w:sz w:val="14"/>
              </w:rPr>
            </w:pPr>
            <w:r>
              <w:rPr>
                <w:rFonts w:ascii="ARIAL" w:hAnsi="ARIAL"/>
                <w:b/>
                <w:sz w:val="14"/>
              </w:rPr>
              <w:t>PAID TO PEO</w:t>
            </w:r>
          </w:p>
        </w:tc>
        <w:tc>
          <w:tcPr>
            <w:tcW w:w="78" w:type="dxa"/>
            <w:tcBorders/>
            <w:vAlign w:val="center"/>
          </w:tcPr>
          <w:p>
            <w:pPr>
              <w:pStyle w:val="TableContents"/>
              <w:bidi w:val="0"/>
              <w:spacing w:before="0" w:after="283"/>
              <w:jc w:val="left"/>
              <w:rPr/>
            </w:pPr>
            <w:r>
              <w:rPr/>
              <w:t> </w:t>
            </w:r>
          </w:p>
        </w:tc>
      </w:tr>
      <w:tr>
        <w:trPr/>
        <w:tc>
          <w:tcPr>
            <w:tcW w:w="826" w:type="dxa"/>
            <w:tcBorders/>
            <w:shd w:fill="E8F4FF" w:val="clear"/>
            <w:vAlign w:val="center"/>
          </w:tcPr>
          <w:p>
            <w:pPr>
              <w:pStyle w:val="TableContents"/>
              <w:bidi w:val="0"/>
              <w:spacing w:before="0" w:after="283"/>
              <w:jc w:val="left"/>
              <w:rPr>
                <w:sz w:val="4"/>
                <w:szCs w:val="4"/>
              </w:rPr>
            </w:pPr>
            <w:r>
              <w:rPr>
                <w:sz w:val="4"/>
                <w:szCs w:val="4"/>
              </w:rPr>
            </w:r>
          </w:p>
        </w:tc>
        <w:tc>
          <w:tcPr>
            <w:tcW w:w="2210" w:type="dxa"/>
            <w:gridSpan w:val="4"/>
            <w:tcBorders/>
            <w:shd w:fill="E8F4FF" w:val="clear"/>
            <w:vAlign w:val="center"/>
          </w:tcPr>
          <w:p>
            <w:pPr>
              <w:pStyle w:val="TableContents"/>
              <w:bidi w:val="0"/>
              <w:spacing w:before="0" w:after="283"/>
              <w:jc w:val="left"/>
              <w:rPr>
                <w:sz w:val="4"/>
                <w:szCs w:val="4"/>
              </w:rPr>
            </w:pPr>
            <w:r>
              <w:rPr>
                <w:sz w:val="4"/>
                <w:szCs w:val="4"/>
              </w:rPr>
            </w:r>
          </w:p>
        </w:tc>
        <w:tc>
          <w:tcPr>
            <w:tcW w:w="2398" w:type="dxa"/>
            <w:gridSpan w:val="4"/>
            <w:tcBorders/>
            <w:shd w:fill="E8F4FF" w:val="clear"/>
            <w:vAlign w:val="center"/>
          </w:tcPr>
          <w:p>
            <w:pPr>
              <w:pStyle w:val="TableContents"/>
              <w:bidi w:val="0"/>
              <w:spacing w:before="0" w:after="283"/>
              <w:jc w:val="left"/>
              <w:rPr>
                <w:sz w:val="4"/>
                <w:szCs w:val="4"/>
              </w:rPr>
            </w:pPr>
            <w:r>
              <w:rPr>
                <w:sz w:val="4"/>
                <w:szCs w:val="4"/>
              </w:rPr>
            </w:r>
          </w:p>
        </w:tc>
        <w:tc>
          <w:tcPr>
            <w:tcW w:w="2105" w:type="dxa"/>
            <w:gridSpan w:val="4"/>
            <w:tcBorders/>
            <w:shd w:fill="E8F4FF" w:val="clear"/>
            <w:vAlign w:val="center"/>
          </w:tcPr>
          <w:p>
            <w:pPr>
              <w:pStyle w:val="TableContents"/>
              <w:bidi w:val="0"/>
              <w:spacing w:before="0" w:after="283"/>
              <w:jc w:val="left"/>
              <w:rPr>
                <w:sz w:val="4"/>
                <w:szCs w:val="4"/>
              </w:rPr>
            </w:pPr>
            <w:r>
              <w:rPr>
                <w:sz w:val="4"/>
                <w:szCs w:val="4"/>
              </w:rPr>
            </w:r>
          </w:p>
        </w:tc>
        <w:tc>
          <w:tcPr>
            <w:tcW w:w="2666"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826" w:type="dxa"/>
            <w:tcBorders/>
            <w:shd w:fill="E8F4FF" w:val="clear"/>
            <w:vAlign w:val="center"/>
          </w:tcPr>
          <w:p>
            <w:pPr>
              <w:pStyle w:val="TableContents"/>
              <w:bidi w:val="0"/>
              <w:spacing w:before="0" w:after="0"/>
              <w:jc w:val="left"/>
              <w:rPr>
                <w:rFonts w:ascii="ARIAL" w:hAnsi="ARIAL"/>
                <w:b/>
                <w:color w:val="2393FF"/>
                <w:spacing w:val="0"/>
                <w:sz w:val="16"/>
              </w:rPr>
            </w:pPr>
            <w:r>
              <w:rPr>
                <w:rFonts w:ascii="ARIAL" w:hAnsi="ARIAL"/>
                <w:b/>
                <w:color w:val="2393FF"/>
                <w:spacing w:val="0"/>
                <w:sz w:val="16"/>
              </w:rPr>
              <w:t>2024</w:t>
            </w:r>
          </w:p>
        </w:tc>
        <w:tc>
          <w:tcPr>
            <w:tcW w:w="120" w:type="dxa"/>
            <w:tcBorders/>
            <w:shd w:fill="E8F4FF" w:val="clear"/>
            <w:vAlign w:val="center"/>
          </w:tcPr>
          <w:p>
            <w:pPr>
              <w:pStyle w:val="TableContents"/>
              <w:bidi w:val="0"/>
              <w:spacing w:before="0" w:after="283"/>
              <w:jc w:val="left"/>
              <w:rPr/>
            </w:pPr>
            <w:r>
              <w:rPr/>
              <w:t>  </w:t>
            </w:r>
          </w:p>
        </w:tc>
        <w:tc>
          <w:tcPr>
            <w:tcW w:w="253" w:type="dxa"/>
            <w:tcBorders/>
            <w:shd w:fill="E8F4FF" w:val="clear"/>
            <w:vAlign w:val="center"/>
          </w:tcPr>
          <w:p>
            <w:pPr>
              <w:pStyle w:val="TableContents"/>
              <w:bidi w:val="0"/>
              <w:spacing w:before="0" w:after="283"/>
              <w:jc w:val="left"/>
              <w:rPr/>
            </w:pPr>
            <w:r>
              <w:rPr/>
              <w:t>$</w:t>
            </w:r>
          </w:p>
        </w:tc>
        <w:tc>
          <w:tcPr>
            <w:tcW w:w="1777" w:type="dxa"/>
            <w:tcBorders/>
            <w:shd w:fill="E8F4FF" w:val="clear"/>
            <w:vAlign w:val="center"/>
          </w:tcPr>
          <w:p>
            <w:pPr>
              <w:pStyle w:val="TableContents"/>
              <w:bidi w:val="0"/>
              <w:spacing w:before="0" w:after="283"/>
              <w:jc w:val="right"/>
              <w:rPr/>
            </w:pPr>
            <w:r>
              <w:rPr/>
              <w:t>9,998,817</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106" w:type="dxa"/>
            <w:tcBorders/>
            <w:shd w:fill="E8F4FF" w:val="clear"/>
            <w:vAlign w:val="center"/>
          </w:tcPr>
          <w:p>
            <w:pPr>
              <w:pStyle w:val="TableContents"/>
              <w:bidi w:val="0"/>
              <w:spacing w:before="0" w:after="283"/>
              <w:jc w:val="left"/>
              <w:rPr/>
            </w:pPr>
            <w:r>
              <w:rPr/>
              <w:t> </w:t>
            </w:r>
          </w:p>
        </w:tc>
        <w:tc>
          <w:tcPr>
            <w:tcW w:w="2112" w:type="dxa"/>
            <w:tcBorders/>
            <w:shd w:fill="E8F4FF" w:val="clear"/>
            <w:vAlign w:val="center"/>
          </w:tcPr>
          <w:p>
            <w:pPr>
              <w:pStyle w:val="TableContents"/>
              <w:bidi w:val="0"/>
              <w:spacing w:before="0" w:after="283"/>
              <w:jc w:val="right"/>
              <w:rPr/>
            </w:pPr>
            <w:r>
              <w:rPr/>
              <w:t>($9,295,443)</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240" w:type="dxa"/>
            <w:tcBorders/>
            <w:shd w:fill="E8F4FF" w:val="clear"/>
            <w:vAlign w:val="center"/>
          </w:tcPr>
          <w:p>
            <w:pPr>
              <w:pStyle w:val="TableContents"/>
              <w:bidi w:val="0"/>
              <w:spacing w:before="0" w:after="283"/>
              <w:jc w:val="left"/>
              <w:rPr/>
            </w:pPr>
            <w:r>
              <w:rPr/>
              <w:t>$</w:t>
            </w:r>
          </w:p>
        </w:tc>
        <w:tc>
          <w:tcPr>
            <w:tcW w:w="1685" w:type="dxa"/>
            <w:tcBorders/>
            <w:shd w:fill="E8F4FF" w:val="clear"/>
            <w:vAlign w:val="center"/>
          </w:tcPr>
          <w:p>
            <w:pPr>
              <w:pStyle w:val="TableContents"/>
              <w:bidi w:val="0"/>
              <w:spacing w:before="0" w:after="283"/>
              <w:jc w:val="right"/>
              <w:rPr/>
            </w:pPr>
            <w:r>
              <w:rPr/>
              <w:t>5,749,255</w:t>
            </w:r>
          </w:p>
        </w:tc>
        <w:tc>
          <w:tcPr>
            <w:tcW w:w="60" w:type="dxa"/>
            <w:tcBorders/>
            <w:shd w:fill="E8F4FF" w:val="clear"/>
            <w:vAlign w:val="center"/>
          </w:tcPr>
          <w:p>
            <w:pPr>
              <w:pStyle w:val="TableContents"/>
              <w:bidi w:val="0"/>
              <w:spacing w:before="0" w:after="283"/>
              <w:jc w:val="left"/>
              <w:rPr/>
            </w:pPr>
            <w:r>
              <w:rPr/>
              <w:t> </w:t>
            </w:r>
          </w:p>
        </w:tc>
        <w:tc>
          <w:tcPr>
            <w:tcW w:w="120" w:type="dxa"/>
            <w:tcBorders/>
            <w:shd w:fill="E8F4FF" w:val="clear"/>
            <w:vAlign w:val="center"/>
          </w:tcPr>
          <w:p>
            <w:pPr>
              <w:pStyle w:val="TableContents"/>
              <w:bidi w:val="0"/>
              <w:spacing w:before="0" w:after="283"/>
              <w:jc w:val="left"/>
              <w:rPr/>
            </w:pPr>
            <w:r>
              <w:rPr/>
              <w:t>  </w:t>
            </w:r>
          </w:p>
        </w:tc>
        <w:tc>
          <w:tcPr>
            <w:tcW w:w="307" w:type="dxa"/>
            <w:tcBorders/>
            <w:shd w:fill="E8F4FF" w:val="clear"/>
            <w:vAlign w:val="center"/>
          </w:tcPr>
          <w:p>
            <w:pPr>
              <w:pStyle w:val="TableContents"/>
              <w:bidi w:val="0"/>
              <w:spacing w:before="0" w:after="283"/>
              <w:jc w:val="left"/>
              <w:rPr/>
            </w:pPr>
            <w:r>
              <w:rPr/>
              <w:t>$</w:t>
            </w:r>
          </w:p>
        </w:tc>
        <w:tc>
          <w:tcPr>
            <w:tcW w:w="2161" w:type="dxa"/>
            <w:tcBorders/>
            <w:shd w:fill="E8F4FF" w:val="clear"/>
            <w:vAlign w:val="center"/>
          </w:tcPr>
          <w:p>
            <w:pPr>
              <w:pStyle w:val="TableContents"/>
              <w:bidi w:val="0"/>
              <w:spacing w:before="0" w:after="283"/>
              <w:jc w:val="right"/>
              <w:rPr/>
            </w:pPr>
            <w:r>
              <w:rPr/>
              <w:t>6,452,629</w:t>
            </w:r>
          </w:p>
        </w:tc>
        <w:tc>
          <w:tcPr>
            <w:tcW w:w="78" w:type="dxa"/>
            <w:tcBorders/>
            <w:shd w:fill="E8F4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color w:val="333333"/>
                <w:spacing w:val="0"/>
              </w:rPr>
            </w:pPr>
            <w:r>
              <w:rPr>
                <w:color w:val="333333"/>
                <w:spacing w:val="0"/>
              </w:rPr>
              <w:t>(a)</w:t>
            </w:r>
          </w:p>
        </w:tc>
        <w:tc>
          <w:tcPr>
            <w:tcW w:w="9871" w:type="dxa"/>
            <w:tcBorders/>
            <w:vAlign w:val="center"/>
          </w:tcPr>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grant date fair value of equity awards represents the total of the amounts reported in the Stock Awards and Option Awards columns in the Summary Compensation Table for the applicable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jc w:val="left"/>
              <w:rPr>
                <w:color w:val="333333"/>
                <w:spacing w:val="0"/>
              </w:rPr>
            </w:pPr>
            <w:r>
              <w:rPr>
                <w:color w:val="333333"/>
                <w:spacing w:val="0"/>
              </w:rPr>
              <w:t>(b)</w:t>
            </w:r>
          </w:p>
        </w:tc>
        <w:tc>
          <w:tcPr>
            <w:tcW w:w="9908" w:type="dxa"/>
            <w:tcBorders/>
            <w:vAlign w:val="center"/>
          </w:tcPr>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equity award adjustments for each applicable year include the addition (or subtraction, as applicable) of the following: (i) the </w:t>
            </w:r>
          </w:p>
          <w:p>
            <w:pPr>
              <w:pStyle w:val="TableContents"/>
              <w:bidi w:val="0"/>
              <w:spacing w:before="0" w:after="0"/>
              <w:jc w:val="left"/>
              <w:rPr>
                <w:rFonts w:ascii="ARIAL" w:hAnsi="ARIAL"/>
                <w:color w:val="333333"/>
                <w:spacing w:val="0"/>
                <w:sz w:val="14"/>
              </w:rPr>
            </w:pPr>
            <w:r>
              <w:rPr>
                <w:rFonts w:ascii="ARIAL" w:hAnsi="ARIAL"/>
                <w:color w:val="333333"/>
                <w:spacing w:val="0"/>
                <w:sz w:val="14"/>
              </w:rPr>
              <w:t>year-end</w:t>
            </w:r>
          </w:p>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methodology used to calculate fair values did not materially differ from those disclosed at the time of grant and include current economic assumptions as of the applicable valuation dates. The amounts deducted or added in calculating the equity award adjustments are as follows: </w:t>
            </w:r>
          </w:p>
        </w:tc>
      </w:tr>
    </w:tbl>
    <w:p>
      <w:pPr>
        <w:pStyle w:val="TextBody"/>
        <w:bidi w:val="0"/>
        <w:spacing w:before="0" w:after="0"/>
        <w:jc w:val="left"/>
        <w:rPr/>
      </w:pPr>
      <w:r>
        <w:rPr/>
        <w:t> </w:t>
      </w:r>
    </w:p>
    <w:p>
      <w:pPr>
        <w:pStyle w:val="TextBody"/>
        <w:bidi w:val="0"/>
        <w:spacing w:before="0" w:after="0"/>
        <w:jc w:val="center"/>
        <w:rPr>
          <w:rFonts w:ascii="ARIAL" w:hAnsi="ARIAL"/>
          <w:b/>
          <w:spacing w:val="0"/>
          <w:sz w:val="14"/>
        </w:rPr>
      </w:pPr>
      <w:r>
        <w:rPr>
          <w:rFonts w:ascii="ARIAL" w:hAnsi="ARIAL"/>
          <w:b/>
          <w:spacing w:val="0"/>
          <w:sz w:val="14"/>
        </w:rPr>
        <w:t>Flywire Corporation   43   2025 Proxy Statement</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135" w:type="dxa"/>
        <w:jc w:val="left"/>
        <w:tblInd w:w="0" w:type="dxa"/>
        <w:tblLayout w:type="fixed"/>
        <w:tblCellMar>
          <w:top w:w="0" w:type="dxa"/>
          <w:left w:w="0" w:type="dxa"/>
          <w:bottom w:w="0" w:type="dxa"/>
          <w:right w:w="0" w:type="dxa"/>
        </w:tblCellMar>
      </w:tblPr>
      <w:tblGrid>
        <w:gridCol w:w="860"/>
        <w:gridCol w:w="60"/>
        <w:gridCol w:w="60"/>
        <w:gridCol w:w="1100"/>
        <w:gridCol w:w="60"/>
        <w:gridCol w:w="60"/>
        <w:gridCol w:w="72"/>
        <w:gridCol w:w="1208"/>
        <w:gridCol w:w="60"/>
        <w:gridCol w:w="60"/>
        <w:gridCol w:w="234"/>
        <w:gridCol w:w="1016"/>
        <w:gridCol w:w="60"/>
        <w:gridCol w:w="60"/>
        <w:gridCol w:w="60"/>
        <w:gridCol w:w="1070"/>
        <w:gridCol w:w="60"/>
        <w:gridCol w:w="60"/>
        <w:gridCol w:w="211"/>
        <w:gridCol w:w="919"/>
        <w:gridCol w:w="60"/>
        <w:gridCol w:w="60"/>
        <w:gridCol w:w="245"/>
        <w:gridCol w:w="1065"/>
        <w:gridCol w:w="60"/>
        <w:gridCol w:w="60"/>
        <w:gridCol w:w="60"/>
        <w:gridCol w:w="1100"/>
        <w:gridCol w:w="75"/>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spacing w:val="0"/>
              </w:rPr>
            </w:pPr>
            <w:r>
              <w:rPr>
                <w:spacing w:val="0"/>
              </w:rPr>
              <w:t> </w:t>
            </w:r>
            <w:r>
              <w:rPr>
                <w:b/>
                <w:spacing w:val="0"/>
              </w:rPr>
              <w:t>YEAR</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right"/>
              <w:rPr>
                <w:rFonts w:ascii="ARIAL" w:hAnsi="ARIAL"/>
                <w:b/>
                <w:sz w:val="14"/>
              </w:rPr>
            </w:pPr>
            <w:r>
              <w:rPr>
                <w:rFonts w:ascii="ARIAL" w:hAnsi="ARIAL"/>
                <w:b/>
                <w:sz w:val="14"/>
              </w:rPr>
              <w:t>YEAR END</w:t>
              <w:br/>
              <w:t>FAIR VALUE OF</w:t>
              <w:br/>
              <w:t>UNVESTED</w:t>
              <w:br/>
              <w:t>EQUITY</w:t>
              <w:br/>
              <w:t>AWARDS</w:t>
            </w:r>
          </w:p>
          <w:p>
            <w:pPr>
              <w:pStyle w:val="TableContents"/>
              <w:bidi w:val="0"/>
              <w:spacing w:before="0" w:after="20"/>
              <w:jc w:val="right"/>
              <w:rPr>
                <w:rFonts w:ascii="ARIAL" w:hAnsi="ARIAL"/>
                <w:b/>
                <w:sz w:val="14"/>
              </w:rPr>
            </w:pPr>
            <w:r>
              <w:rPr>
                <w:rFonts w:ascii="ARIAL" w:hAnsi="ARIAL"/>
                <w:b/>
                <w:sz w:val="14"/>
              </w:rPr>
              <w:t>GRANTED IN</w:t>
              <w:br/>
              <w:t>THE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right"/>
              <w:rPr>
                <w:rFonts w:ascii="ARIAL" w:hAnsi="ARIAL"/>
                <w:b/>
                <w:sz w:val="14"/>
              </w:rPr>
            </w:pPr>
            <w:r>
              <w:rPr>
                <w:rFonts w:ascii="ARIAL" w:hAnsi="ARIAL"/>
                <w:b/>
                <w:sz w:val="14"/>
              </w:rPr>
              <w:t>YEAR OVER YEAR</w:t>
              <w:br/>
              <w:t>CHANGE IN FAIR</w:t>
            </w:r>
          </w:p>
          <w:p>
            <w:pPr>
              <w:pStyle w:val="TableContents"/>
              <w:bidi w:val="0"/>
              <w:spacing w:before="0" w:after="0"/>
              <w:jc w:val="right"/>
              <w:rPr>
                <w:rFonts w:ascii="ARIAL" w:hAnsi="ARIAL"/>
                <w:b/>
                <w:sz w:val="14"/>
              </w:rPr>
            </w:pPr>
            <w:r>
              <w:rPr>
                <w:rFonts w:ascii="ARIAL" w:hAnsi="ARIAL"/>
                <w:b/>
                <w:sz w:val="14"/>
              </w:rPr>
              <w:t>VALUE OF</w:t>
              <w:br/>
              <w:t>OUTSTANDING AND</w:t>
            </w:r>
          </w:p>
          <w:p>
            <w:pPr>
              <w:pStyle w:val="TableContents"/>
              <w:bidi w:val="0"/>
              <w:spacing w:before="0" w:after="0"/>
              <w:jc w:val="right"/>
              <w:rPr>
                <w:rFonts w:ascii="ARIAL" w:hAnsi="ARIAL"/>
                <w:b/>
                <w:sz w:val="14"/>
              </w:rPr>
            </w:pPr>
            <w:r>
              <w:rPr>
                <w:rFonts w:ascii="ARIAL" w:hAnsi="ARIAL"/>
                <w:b/>
                <w:sz w:val="14"/>
              </w:rPr>
              <w:t>UNVESTED EQUITY</w:t>
            </w:r>
          </w:p>
          <w:p>
            <w:pPr>
              <w:pStyle w:val="TableContents"/>
              <w:bidi w:val="0"/>
              <w:spacing w:before="0" w:after="0"/>
              <w:jc w:val="right"/>
              <w:rPr>
                <w:rFonts w:ascii="ARIAL" w:hAnsi="ARIAL"/>
                <w:b/>
                <w:sz w:val="14"/>
              </w:rPr>
            </w:pPr>
            <w:r>
              <w:rPr>
                <w:rFonts w:ascii="ARIAL" w:hAnsi="ARIAL"/>
                <w:b/>
                <w:sz w:val="14"/>
              </w:rPr>
              <w:t xml:space="preserve">AWARDS </w:t>
            </w:r>
          </w:p>
          <w:p>
            <w:pPr>
              <w:pStyle w:val="TableContents"/>
              <w:bidi w:val="0"/>
              <w:spacing w:before="0" w:after="0"/>
              <w:jc w:val="right"/>
              <w:rPr>
                <w:rFonts w:ascii="ARIAL" w:hAnsi="ARIAL"/>
                <w:b/>
                <w:sz w:val="14"/>
              </w:rPr>
            </w:pPr>
            <w:r>
              <w:rPr>
                <w:rFonts w:ascii="ARIAL" w:hAnsi="ARIAL"/>
                <w:b/>
                <w:sz w:val="14"/>
              </w:rPr>
              <w:t xml:space="preserve">GRANTED IN </w:t>
            </w:r>
          </w:p>
          <w:p>
            <w:pPr>
              <w:pStyle w:val="TableContents"/>
              <w:bidi w:val="0"/>
              <w:spacing w:before="0" w:after="20"/>
              <w:jc w:val="right"/>
              <w:rPr>
                <w:rFonts w:ascii="ARIAL" w:hAnsi="ARIAL"/>
                <w:b/>
                <w:sz w:val="14"/>
              </w:rPr>
            </w:pPr>
            <w:r>
              <w:rPr>
                <w:rFonts w:ascii="ARIAL" w:hAnsi="ARIAL"/>
                <w:b/>
                <w:sz w:val="14"/>
              </w:rPr>
              <w:t>PRIOR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right"/>
              <w:rPr>
                <w:rFonts w:ascii="ARIAL" w:hAnsi="ARIAL"/>
                <w:b/>
                <w:sz w:val="14"/>
              </w:rPr>
            </w:pPr>
            <w:r>
              <w:rPr>
                <w:rFonts w:ascii="ARIAL" w:hAnsi="ARIAL"/>
                <w:b/>
                <w:sz w:val="14"/>
              </w:rPr>
              <w:t>FAIR VALUE AS OF</w:t>
            </w:r>
          </w:p>
          <w:p>
            <w:pPr>
              <w:pStyle w:val="TableContents"/>
              <w:bidi w:val="0"/>
              <w:spacing w:before="0" w:after="0"/>
              <w:jc w:val="right"/>
              <w:rPr>
                <w:rFonts w:ascii="ARIAL" w:hAnsi="ARIAL"/>
                <w:b/>
                <w:sz w:val="14"/>
              </w:rPr>
            </w:pPr>
            <w:r>
              <w:rPr>
                <w:rFonts w:ascii="ARIAL" w:hAnsi="ARIAL"/>
                <w:b/>
                <w:sz w:val="14"/>
              </w:rPr>
              <w:t>VESTING DATE OF</w:t>
            </w:r>
          </w:p>
          <w:p>
            <w:pPr>
              <w:pStyle w:val="TableContents"/>
              <w:bidi w:val="0"/>
              <w:spacing w:before="0" w:after="0"/>
              <w:jc w:val="right"/>
              <w:rPr>
                <w:rFonts w:ascii="ARIAL" w:hAnsi="ARIAL"/>
                <w:b/>
                <w:sz w:val="14"/>
              </w:rPr>
            </w:pPr>
            <w:r>
              <w:rPr>
                <w:rFonts w:ascii="ARIAL" w:hAnsi="ARIAL"/>
                <w:b/>
                <w:sz w:val="14"/>
              </w:rPr>
              <w:t>EQUITY AWARDS</w:t>
            </w:r>
          </w:p>
          <w:p>
            <w:pPr>
              <w:pStyle w:val="TableContents"/>
              <w:bidi w:val="0"/>
              <w:spacing w:before="0" w:after="0"/>
              <w:jc w:val="right"/>
              <w:rPr>
                <w:rFonts w:ascii="ARIAL" w:hAnsi="ARIAL"/>
                <w:b/>
                <w:sz w:val="14"/>
              </w:rPr>
            </w:pPr>
            <w:r>
              <w:rPr>
                <w:rFonts w:ascii="ARIAL" w:hAnsi="ARIAL"/>
                <w:b/>
                <w:sz w:val="14"/>
              </w:rPr>
              <w:t>GRANTED AND</w:t>
            </w:r>
          </w:p>
          <w:p>
            <w:pPr>
              <w:pStyle w:val="TableContents"/>
              <w:bidi w:val="0"/>
              <w:spacing w:before="0" w:after="0"/>
              <w:jc w:val="right"/>
              <w:rPr>
                <w:rFonts w:ascii="ARIAL" w:hAnsi="ARIAL"/>
                <w:b/>
                <w:sz w:val="14"/>
              </w:rPr>
            </w:pPr>
            <w:r>
              <w:rPr>
                <w:rFonts w:ascii="ARIAL" w:hAnsi="ARIAL"/>
                <w:b/>
                <w:sz w:val="14"/>
              </w:rPr>
              <w:t>VESTED IN THE</w:t>
            </w:r>
          </w:p>
          <w:p>
            <w:pPr>
              <w:pStyle w:val="TableContents"/>
              <w:bidi w:val="0"/>
              <w:spacing w:before="0" w:after="20"/>
              <w:jc w:val="right"/>
              <w:rPr>
                <w:rFonts w:ascii="ARIAL" w:hAnsi="ARIAL"/>
                <w:b/>
                <w:sz w:val="14"/>
              </w:rPr>
            </w:pPr>
            <w:r>
              <w:rPr>
                <w:rFonts w:ascii="ARIAL" w:hAnsi="ARIAL"/>
                <w:b/>
                <w:sz w:val="14"/>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right"/>
              <w:rPr>
                <w:rFonts w:ascii="ARIAL" w:hAnsi="ARIAL"/>
                <w:b/>
                <w:sz w:val="14"/>
              </w:rPr>
            </w:pPr>
            <w:r>
              <w:rPr>
                <w:rFonts w:ascii="ARIAL" w:hAnsi="ARIAL"/>
                <w:b/>
                <w:sz w:val="14"/>
              </w:rPr>
              <w:t>YEAR OVER</w:t>
              <w:br/>
              <w:t>YEAR CHANGE</w:t>
              <w:br/>
              <w:t>IN FAIR VALUE</w:t>
            </w:r>
          </w:p>
          <w:p>
            <w:pPr>
              <w:pStyle w:val="TableContents"/>
              <w:bidi w:val="0"/>
              <w:spacing w:before="0" w:after="0"/>
              <w:jc w:val="right"/>
              <w:rPr>
                <w:rFonts w:ascii="ARIAL" w:hAnsi="ARIAL"/>
                <w:b/>
                <w:sz w:val="14"/>
              </w:rPr>
            </w:pPr>
            <w:r>
              <w:rPr>
                <w:rFonts w:ascii="ARIAL" w:hAnsi="ARIAL"/>
                <w:b/>
                <w:sz w:val="14"/>
              </w:rPr>
              <w:t>OF EQUITY</w:t>
            </w:r>
          </w:p>
          <w:p>
            <w:pPr>
              <w:pStyle w:val="TableContents"/>
              <w:bidi w:val="0"/>
              <w:spacing w:before="0" w:after="0"/>
              <w:jc w:val="right"/>
              <w:rPr>
                <w:rFonts w:ascii="ARIAL" w:hAnsi="ARIAL"/>
                <w:b/>
                <w:sz w:val="14"/>
              </w:rPr>
            </w:pPr>
            <w:r>
              <w:rPr>
                <w:rFonts w:ascii="ARIAL" w:hAnsi="ARIAL"/>
                <w:b/>
                <w:sz w:val="14"/>
              </w:rPr>
              <w:t>AWARDS</w:t>
            </w:r>
          </w:p>
          <w:p>
            <w:pPr>
              <w:pStyle w:val="TableContents"/>
              <w:bidi w:val="0"/>
              <w:spacing w:before="0" w:after="0"/>
              <w:jc w:val="right"/>
              <w:rPr>
                <w:rFonts w:ascii="ARIAL" w:hAnsi="ARIAL"/>
                <w:b/>
                <w:sz w:val="14"/>
              </w:rPr>
            </w:pPr>
            <w:r>
              <w:rPr>
                <w:rFonts w:ascii="ARIAL" w:hAnsi="ARIAL"/>
                <w:b/>
                <w:sz w:val="14"/>
              </w:rPr>
              <w:t>GRANTED IN</w:t>
            </w:r>
          </w:p>
          <w:p>
            <w:pPr>
              <w:pStyle w:val="TableContents"/>
              <w:bidi w:val="0"/>
              <w:spacing w:before="0" w:after="0"/>
              <w:jc w:val="right"/>
              <w:rPr>
                <w:rFonts w:ascii="ARIAL" w:hAnsi="ARIAL"/>
                <w:b/>
                <w:sz w:val="14"/>
              </w:rPr>
            </w:pPr>
            <w:r>
              <w:rPr>
                <w:rFonts w:ascii="ARIAL" w:hAnsi="ARIAL"/>
                <w:b/>
                <w:sz w:val="14"/>
              </w:rPr>
              <w:t>PRIOR YEARS</w:t>
            </w:r>
          </w:p>
          <w:p>
            <w:pPr>
              <w:pStyle w:val="TableContents"/>
              <w:bidi w:val="0"/>
              <w:spacing w:before="0" w:after="0"/>
              <w:jc w:val="right"/>
              <w:rPr>
                <w:rFonts w:ascii="ARIAL" w:hAnsi="ARIAL"/>
                <w:b/>
                <w:sz w:val="14"/>
              </w:rPr>
            </w:pPr>
            <w:r>
              <w:rPr>
                <w:rFonts w:ascii="ARIAL" w:hAnsi="ARIAL"/>
                <w:b/>
                <w:sz w:val="14"/>
              </w:rPr>
              <w:t>THAT VESTED IN</w:t>
            </w:r>
          </w:p>
          <w:p>
            <w:pPr>
              <w:pStyle w:val="TableContents"/>
              <w:bidi w:val="0"/>
              <w:spacing w:before="0" w:after="20"/>
              <w:jc w:val="right"/>
              <w:rPr>
                <w:rFonts w:ascii="ARIAL" w:hAnsi="ARIAL"/>
                <w:b/>
                <w:sz w:val="14"/>
              </w:rPr>
            </w:pPr>
            <w:r>
              <w:rPr>
                <w:rFonts w:ascii="ARIAL" w:hAnsi="ARIAL"/>
                <w:b/>
                <w:sz w:val="14"/>
              </w:rPr>
              <w:t>THE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right"/>
              <w:rPr>
                <w:rFonts w:ascii="ARIAL" w:hAnsi="ARIAL"/>
                <w:b/>
                <w:sz w:val="14"/>
              </w:rPr>
            </w:pPr>
            <w:r>
              <w:rPr>
                <w:rFonts w:ascii="ARIAL" w:hAnsi="ARIAL"/>
                <w:b/>
                <w:sz w:val="14"/>
              </w:rPr>
              <w:t>FAIR VALUE AT</w:t>
              <w:br/>
              <w:t>THE END OF THE</w:t>
              <w:br/>
              <w:t>PRIOR YEAR OF</w:t>
            </w:r>
          </w:p>
          <w:p>
            <w:pPr>
              <w:pStyle w:val="TableContents"/>
              <w:bidi w:val="0"/>
              <w:spacing w:before="0" w:after="0"/>
              <w:jc w:val="right"/>
              <w:rPr>
                <w:rFonts w:ascii="ARIAL" w:hAnsi="ARIAL"/>
                <w:b/>
                <w:sz w:val="14"/>
              </w:rPr>
            </w:pPr>
            <w:r>
              <w:rPr>
                <w:rFonts w:ascii="ARIAL" w:hAnsi="ARIAL"/>
                <w:b/>
                <w:sz w:val="14"/>
              </w:rPr>
              <w:t>EQUITY AWARDS</w:t>
              <w:br/>
              <w:t>THAT FAILED TO</w:t>
            </w:r>
          </w:p>
          <w:p>
            <w:pPr>
              <w:pStyle w:val="TableContents"/>
              <w:bidi w:val="0"/>
              <w:spacing w:before="0" w:after="0"/>
              <w:jc w:val="right"/>
              <w:rPr>
                <w:rFonts w:ascii="ARIAL" w:hAnsi="ARIAL"/>
                <w:b/>
                <w:sz w:val="14"/>
              </w:rPr>
            </w:pPr>
            <w:r>
              <w:rPr>
                <w:rFonts w:ascii="ARIAL" w:hAnsi="ARIAL"/>
                <w:b/>
                <w:sz w:val="14"/>
              </w:rPr>
              <w:t>MEET VESTING</w:t>
            </w:r>
          </w:p>
          <w:p>
            <w:pPr>
              <w:pStyle w:val="TableContents"/>
              <w:bidi w:val="0"/>
              <w:spacing w:before="0" w:after="0"/>
              <w:jc w:val="right"/>
              <w:rPr>
                <w:rFonts w:ascii="ARIAL" w:hAnsi="ARIAL"/>
                <w:b/>
                <w:sz w:val="14"/>
              </w:rPr>
            </w:pPr>
            <w:r>
              <w:rPr>
                <w:rFonts w:ascii="ARIAL" w:hAnsi="ARIAL"/>
                <w:b/>
                <w:sz w:val="14"/>
              </w:rPr>
              <w:t>CONDITIONS IN</w:t>
            </w:r>
          </w:p>
          <w:p>
            <w:pPr>
              <w:pStyle w:val="TableContents"/>
              <w:bidi w:val="0"/>
              <w:spacing w:before="0" w:after="20"/>
              <w:jc w:val="right"/>
              <w:rPr>
                <w:rFonts w:ascii="ARIAL" w:hAnsi="ARIAL"/>
                <w:b/>
                <w:sz w:val="14"/>
              </w:rPr>
            </w:pPr>
            <w:r>
              <w:rPr>
                <w:rFonts w:ascii="ARIAL" w:hAnsi="ARIAL"/>
                <w:b/>
                <w:sz w:val="14"/>
              </w:rPr>
              <w:t>THE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0"/>
              <w:jc w:val="right"/>
              <w:rPr>
                <w:rFonts w:ascii="ARIAL" w:hAnsi="ARIAL"/>
                <w:b/>
                <w:sz w:val="14"/>
              </w:rPr>
            </w:pPr>
            <w:r>
              <w:rPr>
                <w:rFonts w:ascii="ARIAL" w:hAnsi="ARIAL"/>
                <w:b/>
                <w:sz w:val="14"/>
              </w:rPr>
              <w:t>VALUE OF</w:t>
            </w:r>
          </w:p>
          <w:p>
            <w:pPr>
              <w:pStyle w:val="TableContents"/>
              <w:bidi w:val="0"/>
              <w:spacing w:before="0" w:after="0"/>
              <w:jc w:val="right"/>
              <w:rPr>
                <w:rFonts w:ascii="ARIAL" w:hAnsi="ARIAL"/>
                <w:b/>
                <w:sz w:val="14"/>
              </w:rPr>
            </w:pPr>
            <w:r>
              <w:rPr>
                <w:rFonts w:ascii="ARIAL" w:hAnsi="ARIAL"/>
                <w:b/>
                <w:sz w:val="14"/>
              </w:rPr>
              <w:t>DIVIDENDS OR</w:t>
              <w:br/>
              <w:t>OTHER EARNINGS</w:t>
            </w:r>
          </w:p>
          <w:p>
            <w:pPr>
              <w:pStyle w:val="TableContents"/>
              <w:bidi w:val="0"/>
              <w:spacing w:before="0" w:after="0"/>
              <w:jc w:val="right"/>
              <w:rPr>
                <w:rFonts w:ascii="ARIAL" w:hAnsi="ARIAL"/>
                <w:b/>
                <w:sz w:val="14"/>
              </w:rPr>
            </w:pPr>
            <w:r>
              <w:rPr>
                <w:rFonts w:ascii="ARIAL" w:hAnsi="ARIAL"/>
                <w:b/>
                <w:sz w:val="14"/>
              </w:rPr>
              <w:t>PAID ON STOCK OR</w:t>
              <w:br/>
              <w:t>OPTION AWARDS</w:t>
            </w:r>
          </w:p>
          <w:p>
            <w:pPr>
              <w:pStyle w:val="TableContents"/>
              <w:bidi w:val="0"/>
              <w:spacing w:before="0" w:after="0"/>
              <w:jc w:val="right"/>
              <w:rPr>
                <w:rFonts w:ascii="ARIAL" w:hAnsi="ARIAL"/>
                <w:b/>
                <w:sz w:val="14"/>
              </w:rPr>
            </w:pPr>
            <w:r>
              <w:rPr>
                <w:rFonts w:ascii="ARIAL" w:hAnsi="ARIAL"/>
                <w:b/>
                <w:sz w:val="14"/>
              </w:rPr>
              <w:t>NOT OTHERWISE</w:t>
            </w:r>
          </w:p>
          <w:p>
            <w:pPr>
              <w:pStyle w:val="TableContents"/>
              <w:bidi w:val="0"/>
              <w:spacing w:before="0" w:after="0"/>
              <w:jc w:val="right"/>
              <w:rPr>
                <w:rFonts w:ascii="ARIAL" w:hAnsi="ARIAL"/>
                <w:b/>
                <w:sz w:val="14"/>
              </w:rPr>
            </w:pPr>
            <w:r>
              <w:rPr>
                <w:rFonts w:ascii="ARIAL" w:hAnsi="ARIAL"/>
                <w:b/>
                <w:sz w:val="14"/>
              </w:rPr>
              <w:t>REFLECTED IN FAIR</w:t>
            </w:r>
          </w:p>
          <w:p>
            <w:pPr>
              <w:pStyle w:val="TableContents"/>
              <w:bidi w:val="0"/>
              <w:spacing w:before="0" w:after="0"/>
              <w:jc w:val="right"/>
              <w:rPr>
                <w:rFonts w:ascii="ARIAL" w:hAnsi="ARIAL"/>
                <w:b/>
                <w:sz w:val="14"/>
              </w:rPr>
            </w:pPr>
            <w:r>
              <w:rPr>
                <w:rFonts w:ascii="ARIAL" w:hAnsi="ARIAL"/>
                <w:b/>
                <w:sz w:val="14"/>
              </w:rPr>
              <w:t>VALUE OR TOTAL</w:t>
            </w:r>
          </w:p>
          <w:p>
            <w:pPr>
              <w:pStyle w:val="TableContents"/>
              <w:bidi w:val="0"/>
              <w:spacing w:before="0" w:after="20"/>
              <w:jc w:val="right"/>
              <w:rPr>
                <w:rFonts w:ascii="ARIAL" w:hAnsi="ARIAL"/>
                <w:b/>
                <w:sz w:val="14"/>
              </w:rPr>
            </w:pPr>
            <w:r>
              <w:rPr>
                <w:rFonts w:ascii="ARIAL" w:hAnsi="ARIAL"/>
                <w:b/>
                <w:sz w:val="14"/>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right"/>
              <w:rPr>
                <w:rFonts w:ascii="ARIAL" w:hAnsi="ARIAL"/>
                <w:b/>
                <w:sz w:val="14"/>
              </w:rPr>
            </w:pPr>
            <w:r>
              <w:rPr>
                <w:rFonts w:ascii="ARIAL" w:hAnsi="ARIAL"/>
                <w:b/>
                <w:sz w:val="14"/>
              </w:rPr>
              <w:t>TOTAL EQUITY</w:t>
            </w:r>
          </w:p>
          <w:p>
            <w:pPr>
              <w:pStyle w:val="TableContents"/>
              <w:bidi w:val="0"/>
              <w:spacing w:before="0" w:after="0"/>
              <w:jc w:val="right"/>
              <w:rPr>
                <w:rFonts w:ascii="ARIAL" w:hAnsi="ARIAL"/>
                <w:b/>
                <w:sz w:val="14"/>
              </w:rPr>
            </w:pPr>
            <w:r>
              <w:rPr>
                <w:rFonts w:ascii="ARIAL" w:hAnsi="ARIAL"/>
                <w:b/>
                <w:sz w:val="14"/>
              </w:rPr>
              <w:t>AWARD</w:t>
            </w:r>
          </w:p>
          <w:p>
            <w:pPr>
              <w:pStyle w:val="TableContents"/>
              <w:bidi w:val="0"/>
              <w:spacing w:before="0" w:after="20"/>
              <w:jc w:val="right"/>
              <w:rPr>
                <w:rFonts w:ascii="ARIAL" w:hAnsi="ARIAL"/>
                <w:b/>
                <w:sz w:val="14"/>
              </w:rPr>
            </w:pPr>
            <w:r>
              <w:rPr>
                <w:rFonts w:ascii="ARIAL" w:hAnsi="ARIAL"/>
                <w:b/>
                <w:sz w:val="14"/>
              </w:rPr>
              <w:t>ADJUSTMENTS</w:t>
            </w:r>
          </w:p>
        </w:tc>
        <w:tc>
          <w:tcPr>
            <w:tcW w:w="75" w:type="dxa"/>
            <w:tcBorders/>
            <w:vAlign w:val="center"/>
          </w:tcPr>
          <w:p>
            <w:pPr>
              <w:pStyle w:val="TableContents"/>
              <w:bidi w:val="0"/>
              <w:spacing w:before="0" w:after="283"/>
              <w:jc w:val="left"/>
              <w:rPr/>
            </w:pPr>
            <w:r>
              <w:rPr/>
              <w:t> </w:t>
            </w:r>
          </w:p>
        </w:tc>
      </w:tr>
      <w:tr>
        <w:trPr/>
        <w:tc>
          <w:tcPr>
            <w:tcW w:w="860" w:type="dxa"/>
            <w:tcBorders/>
            <w:shd w:fill="E8F4FF" w:val="clear"/>
            <w:vAlign w:val="center"/>
          </w:tcPr>
          <w:p>
            <w:pPr>
              <w:pStyle w:val="TableContents"/>
              <w:bidi w:val="0"/>
              <w:spacing w:before="0" w:after="283"/>
              <w:jc w:val="left"/>
              <w:rPr>
                <w:sz w:val="4"/>
                <w:szCs w:val="4"/>
              </w:rPr>
            </w:pPr>
            <w:r>
              <w:rPr>
                <w:sz w:val="4"/>
                <w:szCs w:val="4"/>
              </w:rPr>
            </w:r>
          </w:p>
        </w:tc>
        <w:tc>
          <w:tcPr>
            <w:tcW w:w="1280" w:type="dxa"/>
            <w:gridSpan w:val="4"/>
            <w:tcBorders/>
            <w:shd w:fill="E8F4FF" w:val="clear"/>
            <w:vAlign w:val="center"/>
          </w:tcPr>
          <w:p>
            <w:pPr>
              <w:pStyle w:val="TableContents"/>
              <w:bidi w:val="0"/>
              <w:spacing w:before="0" w:after="283"/>
              <w:jc w:val="left"/>
              <w:rPr>
                <w:sz w:val="4"/>
                <w:szCs w:val="4"/>
              </w:rPr>
            </w:pPr>
            <w:r>
              <w:rPr>
                <w:sz w:val="4"/>
                <w:szCs w:val="4"/>
              </w:rPr>
            </w:r>
          </w:p>
        </w:tc>
        <w:tc>
          <w:tcPr>
            <w:tcW w:w="1400" w:type="dxa"/>
            <w:gridSpan w:val="4"/>
            <w:tcBorders/>
            <w:shd w:fill="E8F4FF" w:val="clear"/>
            <w:vAlign w:val="center"/>
          </w:tcPr>
          <w:p>
            <w:pPr>
              <w:pStyle w:val="TableContents"/>
              <w:bidi w:val="0"/>
              <w:spacing w:before="0" w:after="283"/>
              <w:jc w:val="left"/>
              <w:rPr>
                <w:sz w:val="4"/>
                <w:szCs w:val="4"/>
              </w:rPr>
            </w:pPr>
            <w:r>
              <w:rPr>
                <w:sz w:val="4"/>
                <w:szCs w:val="4"/>
              </w:rPr>
            </w:r>
          </w:p>
        </w:tc>
        <w:tc>
          <w:tcPr>
            <w:tcW w:w="1370"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1250" w:type="dxa"/>
            <w:gridSpan w:val="4"/>
            <w:tcBorders/>
            <w:shd w:fill="E8F4FF" w:val="clear"/>
            <w:vAlign w:val="center"/>
          </w:tcPr>
          <w:p>
            <w:pPr>
              <w:pStyle w:val="TableContents"/>
              <w:bidi w:val="0"/>
              <w:spacing w:before="0" w:after="283"/>
              <w:jc w:val="left"/>
              <w:rPr>
                <w:sz w:val="4"/>
                <w:szCs w:val="4"/>
              </w:rPr>
            </w:pPr>
            <w:r>
              <w:rPr>
                <w:sz w:val="4"/>
                <w:szCs w:val="4"/>
              </w:rPr>
            </w:r>
          </w:p>
        </w:tc>
        <w:tc>
          <w:tcPr>
            <w:tcW w:w="1430" w:type="dxa"/>
            <w:gridSpan w:val="4"/>
            <w:tcBorders/>
            <w:shd w:fill="E8F4FF" w:val="clear"/>
            <w:vAlign w:val="center"/>
          </w:tcPr>
          <w:p>
            <w:pPr>
              <w:pStyle w:val="TableContents"/>
              <w:bidi w:val="0"/>
              <w:spacing w:before="0" w:after="283"/>
              <w:jc w:val="left"/>
              <w:rPr>
                <w:sz w:val="4"/>
                <w:szCs w:val="4"/>
              </w:rPr>
            </w:pPr>
            <w:r>
              <w:rPr>
                <w:sz w:val="4"/>
                <w:szCs w:val="4"/>
              </w:rPr>
            </w:r>
          </w:p>
        </w:tc>
        <w:tc>
          <w:tcPr>
            <w:tcW w:w="129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860" w:type="dxa"/>
            <w:tcBorders>
              <w:bottom w:val="single" w:sz="6" w:space="0" w:color="2393FF"/>
            </w:tcBorders>
            <w:shd w:fill="E8F4FF" w:val="clear"/>
            <w:tcMar>
              <w:bottom w:w="120" w:type="dxa"/>
            </w:tcMar>
            <w:vAlign w:val="center"/>
          </w:tcPr>
          <w:p>
            <w:pPr>
              <w:pStyle w:val="TableContents"/>
              <w:bidi w:val="0"/>
              <w:spacing w:before="0" w:after="0"/>
              <w:jc w:val="left"/>
              <w:rPr>
                <w:rFonts w:ascii="ARIAL" w:hAnsi="ARIAL"/>
                <w:b/>
                <w:color w:val="2393FF"/>
                <w:spacing w:val="0"/>
                <w:sz w:val="14"/>
              </w:rPr>
            </w:pPr>
            <w:r>
              <w:rPr>
                <w:rFonts w:ascii="ARIAL" w:hAnsi="ARIAL"/>
                <w:b/>
                <w:color w:val="2393FF"/>
                <w:spacing w:val="0"/>
                <w:sz w:val="14"/>
              </w:rPr>
              <w:t>2024</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1100" w:type="dxa"/>
            <w:tcBorders>
              <w:bottom w:val="single" w:sz="6" w:space="0" w:color="2393FF"/>
            </w:tcBorders>
            <w:shd w:fill="E8F4FF" w:val="clear"/>
            <w:tcMar>
              <w:bottom w:w="120" w:type="dxa"/>
            </w:tcMar>
            <w:vAlign w:val="center"/>
          </w:tcPr>
          <w:p>
            <w:pPr>
              <w:pStyle w:val="TableContents"/>
              <w:bidi w:val="0"/>
              <w:spacing w:before="0" w:after="283"/>
              <w:jc w:val="right"/>
              <w:rPr/>
            </w:pPr>
            <w:r>
              <w:rPr/>
              <w:t>$7,028,678</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72"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1208" w:type="dxa"/>
            <w:tcBorders>
              <w:bottom w:val="single" w:sz="6" w:space="0" w:color="2393FF"/>
            </w:tcBorders>
            <w:shd w:fill="E8F4FF" w:val="clear"/>
            <w:tcMar>
              <w:bottom w:w="120" w:type="dxa"/>
            </w:tcMar>
            <w:vAlign w:val="center"/>
          </w:tcPr>
          <w:p>
            <w:pPr>
              <w:pStyle w:val="TableContents"/>
              <w:bidi w:val="0"/>
              <w:spacing w:before="0" w:after="283"/>
              <w:jc w:val="right"/>
              <w:rPr/>
            </w:pPr>
            <w:r>
              <w:rPr/>
              <w:t>($796,523)</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234"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1016" w:type="dxa"/>
            <w:tcBorders>
              <w:bottom w:val="single" w:sz="6" w:space="0" w:color="2393FF"/>
            </w:tcBorders>
            <w:shd w:fill="E8F4FF" w:val="clear"/>
            <w:tcMar>
              <w:bottom w:w="120" w:type="dxa"/>
            </w:tcMar>
            <w:vAlign w:val="center"/>
          </w:tcPr>
          <w:p>
            <w:pPr>
              <w:pStyle w:val="TableContents"/>
              <w:bidi w:val="0"/>
              <w:spacing w:before="0" w:after="283"/>
              <w:jc w:val="right"/>
              <w:rPr/>
            </w:pPr>
            <w:r>
              <w:rPr/>
              <w:t>$0</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1070" w:type="dxa"/>
            <w:tcBorders>
              <w:bottom w:val="single" w:sz="6" w:space="0" w:color="2393FF"/>
            </w:tcBorders>
            <w:shd w:fill="E8F4FF" w:val="clear"/>
            <w:tcMar>
              <w:bottom w:w="120" w:type="dxa"/>
            </w:tcMar>
            <w:vAlign w:val="center"/>
          </w:tcPr>
          <w:p>
            <w:pPr>
              <w:pStyle w:val="TableContents"/>
              <w:bidi w:val="0"/>
              <w:spacing w:before="0" w:after="283"/>
              <w:jc w:val="right"/>
              <w:rPr/>
            </w:pPr>
            <w:r>
              <w:rPr/>
              <w:t>($482,900)</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211"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919" w:type="dxa"/>
            <w:tcBorders>
              <w:bottom w:val="single" w:sz="6" w:space="0" w:color="2393FF"/>
            </w:tcBorders>
            <w:shd w:fill="E8F4FF" w:val="clear"/>
            <w:tcMar>
              <w:bottom w:w="120" w:type="dxa"/>
            </w:tcMar>
            <w:vAlign w:val="center"/>
          </w:tcPr>
          <w:p>
            <w:pPr>
              <w:pStyle w:val="TableContents"/>
              <w:bidi w:val="0"/>
              <w:spacing w:before="0" w:after="283"/>
              <w:jc w:val="right"/>
              <w:rPr/>
            </w:pPr>
            <w:r>
              <w:rPr/>
              <w:t>$0</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245"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1065" w:type="dxa"/>
            <w:tcBorders>
              <w:bottom w:val="single" w:sz="6" w:space="0" w:color="2393FF"/>
            </w:tcBorders>
            <w:shd w:fill="E8F4FF" w:val="clear"/>
            <w:tcMar>
              <w:bottom w:w="120" w:type="dxa"/>
            </w:tcMar>
            <w:vAlign w:val="center"/>
          </w:tcPr>
          <w:p>
            <w:pPr>
              <w:pStyle w:val="TableContents"/>
              <w:bidi w:val="0"/>
              <w:spacing w:before="0" w:after="283"/>
              <w:jc w:val="right"/>
              <w:rPr/>
            </w:pPr>
            <w:r>
              <w:rPr/>
              <w:t>$0</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1100" w:type="dxa"/>
            <w:tcBorders>
              <w:bottom w:val="single" w:sz="6" w:space="0" w:color="2393FF"/>
            </w:tcBorders>
            <w:shd w:fill="E8F4FF" w:val="clear"/>
            <w:tcMar>
              <w:bottom w:w="120" w:type="dxa"/>
            </w:tcMar>
            <w:vAlign w:val="center"/>
          </w:tcPr>
          <w:p>
            <w:pPr>
              <w:pStyle w:val="TableContents"/>
              <w:bidi w:val="0"/>
              <w:spacing w:before="0" w:after="283"/>
              <w:jc w:val="right"/>
              <w:rPr/>
            </w:pPr>
            <w:r>
              <w:rPr/>
              <w:t>$5,749,255</w:t>
            </w:r>
          </w:p>
        </w:tc>
        <w:tc>
          <w:tcPr>
            <w:tcW w:w="75"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color w:val="333333"/>
                <w:spacing w:val="0"/>
              </w:rPr>
            </w:pPr>
            <w:r>
              <w:rPr>
                <w:color w:val="333333"/>
                <w:spacing w:val="0"/>
              </w:rPr>
              <w:t>(3)</w:t>
            </w:r>
          </w:p>
        </w:tc>
        <w:tc>
          <w:tcPr>
            <w:tcW w:w="9960" w:type="dxa"/>
            <w:tcBorders/>
            <w:vAlign w:val="center"/>
          </w:tcPr>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dollar amounts reported in column (d) represent the average of the amounts reported for our NEOs as a group (excluding Mr. Massaro, who has served as our CEO since 2013) in the Total column of the Summary Compensation Table in each applicable year. The names of each of the NEOs (excluding Mr. Massaro) included for purposes of calculating the average amounts in each applicable year are as follows: (i) for 2024, Robert Orgel, Michael Ellis, Peter Butterfield, David King, and Cosmin Pitigoi, (ii) for 2023, Robert Orgel, Michael Ellis, Peter Butterfield and David King, (iii) for 2022, Robert Orgel, Michael Ellis, Sharon Butler and David King; and (iv) for 2021, Robert Orgel and Michael Ellis.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color w:val="333333"/>
                <w:spacing w:val="0"/>
              </w:rPr>
            </w:pPr>
            <w:r>
              <w:rPr>
                <w:color w:val="333333"/>
                <w:spacing w:val="0"/>
              </w:rPr>
              <w:t>(4)</w:t>
            </w:r>
          </w:p>
        </w:tc>
        <w:tc>
          <w:tcPr>
            <w:tcW w:w="9929" w:type="dxa"/>
            <w:tcBorders/>
            <w:vAlign w:val="center"/>
          </w:tcPr>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dollar amounts reported in column (e) represent the average amount of compensation actually paid to the NEOs as a group (excluding Mr. Massaro), as computed in accordance with Item 402(v) of Regulation </w:t>
            </w:r>
          </w:p>
          <w:p>
            <w:pPr>
              <w:pStyle w:val="TableContents"/>
              <w:bidi w:val="0"/>
              <w:spacing w:before="0" w:after="0"/>
              <w:jc w:val="left"/>
              <w:rPr>
                <w:rFonts w:ascii="ARIAL" w:hAnsi="ARIAL"/>
                <w:color w:val="333333"/>
                <w:spacing w:val="0"/>
                <w:sz w:val="14"/>
              </w:rPr>
            </w:pPr>
            <w:r>
              <w:rPr>
                <w:rFonts w:ascii="ARIAL" w:hAnsi="ARIAL"/>
                <w:color w:val="333333"/>
                <w:spacing w:val="0"/>
                <w:sz w:val="14"/>
              </w:rPr>
              <w:t>S-K.</w:t>
            </w:r>
          </w:p>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dollar amounts do not reflect the actual average amount of compensation earned by or paid to the NEOs as a group (excluding Mr. Massaro) during the applicable year. In accordance with the requirements of Item 402(v) of Regulation </w:t>
            </w:r>
          </w:p>
          <w:p>
            <w:pPr>
              <w:pStyle w:val="TableContents"/>
              <w:bidi w:val="0"/>
              <w:spacing w:before="0" w:after="0"/>
              <w:jc w:val="left"/>
              <w:rPr>
                <w:rFonts w:ascii="ARIAL" w:hAnsi="ARIAL"/>
                <w:color w:val="333333"/>
                <w:spacing w:val="0"/>
                <w:sz w:val="14"/>
              </w:rPr>
            </w:pPr>
            <w:r>
              <w:rPr>
                <w:rFonts w:ascii="ARIAL" w:hAnsi="ARIAL"/>
                <w:color w:val="333333"/>
                <w:spacing w:val="0"/>
                <w:sz w:val="14"/>
              </w:rPr>
              <w:t>S-K,</w:t>
            </w:r>
          </w:p>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following adjustments were made to average total compensation for the NEOs as a group (excluding Mr. Massaro) for each year to determine the compensation actually paid, using the same methodology described above in Footnote (2) above: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860"/>
        <w:gridCol w:w="120"/>
        <w:gridCol w:w="253"/>
        <w:gridCol w:w="1777"/>
        <w:gridCol w:w="60"/>
        <w:gridCol w:w="120"/>
        <w:gridCol w:w="215"/>
        <w:gridCol w:w="1120"/>
        <w:gridCol w:w="155"/>
        <w:gridCol w:w="60"/>
        <w:gridCol w:w="351"/>
        <w:gridCol w:w="2459"/>
        <w:gridCol w:w="60"/>
        <w:gridCol w:w="120"/>
        <w:gridCol w:w="203"/>
        <w:gridCol w:w="1422"/>
        <w:gridCol w:w="7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spacing w:val="0"/>
              </w:rPr>
            </w:pPr>
            <w:r>
              <w:rPr>
                <w:spacing w:val="0"/>
              </w:rPr>
              <w:t> </w:t>
            </w:r>
            <w:r>
              <w:rPr>
                <w:b/>
                <w:spacing w:val="0"/>
              </w:rPr>
              <w:t>YEAR</w:t>
            </w:r>
          </w:p>
        </w:tc>
        <w:tc>
          <w:tcPr>
            <w:tcW w:w="12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0"/>
              <w:jc w:val="right"/>
              <w:rPr>
                <w:b/>
                <w:spacing w:val="0"/>
              </w:rPr>
            </w:pPr>
            <w:r>
              <w:rPr>
                <w:b/>
                <w:spacing w:val="0"/>
              </w:rPr>
              <w:t>AVERAGE</w:t>
              <w:br/>
              <w:t>REPORTED</w:t>
              <w:br/>
              <w:t>SUMMARY</w:t>
              <w:br/>
              <w:t>COMPENSATION</w:t>
              <w:br/>
              <w:t>TABLE TOTAL</w:t>
              <w:br/>
              <w:t xml:space="preserve">FOR </w:t>
            </w:r>
          </w:p>
          <w:p>
            <w:pPr>
              <w:pStyle w:val="TableContents"/>
              <w:bidi w:val="0"/>
              <w:spacing w:before="0" w:after="0"/>
              <w:jc w:val="right"/>
              <w:rPr>
                <w:b/>
                <w:spacing w:val="0"/>
              </w:rPr>
            </w:pPr>
            <w:r>
              <w:rPr>
                <w:b/>
                <w:spacing w:val="0"/>
              </w:rPr>
              <w:t>NON-PEO</w:t>
            </w:r>
          </w:p>
          <w:p>
            <w:pPr>
              <w:pStyle w:val="TableContents"/>
              <w:bidi w:val="0"/>
              <w:spacing w:before="0" w:after="0"/>
              <w:jc w:val="right"/>
              <w:rPr>
                <w:b/>
                <w:spacing w:val="0"/>
              </w:rPr>
            </w:pPr>
            <w:r>
              <w:rPr>
                <w:b/>
                <w:spacing w:val="0"/>
              </w:rPr>
              <w:br/>
              <w:t>NEOS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5" w:type="dxa"/>
            <w:gridSpan w:val="2"/>
            <w:tcBorders/>
            <w:vAlign w:val="center"/>
          </w:tcPr>
          <w:p>
            <w:pPr>
              <w:pStyle w:val="TableContents"/>
              <w:bidi w:val="0"/>
              <w:spacing w:before="0" w:after="0"/>
              <w:jc w:val="right"/>
              <w:rPr>
                <w:rFonts w:ascii="ARIAL" w:hAnsi="ARIAL"/>
                <w:b/>
                <w:sz w:val="14"/>
              </w:rPr>
            </w:pPr>
            <w:r>
              <w:rPr>
                <w:rFonts w:ascii="ARIAL" w:hAnsi="ARIAL"/>
                <w:b/>
                <w:sz w:val="14"/>
              </w:rPr>
              <w:t>AVERAGE</w:t>
              <w:br/>
              <w:t>    REPORTED</w:t>
              <w:br/>
              <w:t>VALUE OF</w:t>
            </w:r>
          </w:p>
          <w:p>
            <w:pPr>
              <w:pStyle w:val="TableContents"/>
              <w:bidi w:val="0"/>
              <w:spacing w:before="0" w:after="0"/>
              <w:jc w:val="right"/>
              <w:rPr>
                <w:rFonts w:ascii="ARIAL" w:hAnsi="ARIAL"/>
                <w:b/>
                <w:sz w:val="14"/>
              </w:rPr>
            </w:pPr>
            <w:r>
              <w:rPr>
                <w:rFonts w:ascii="ARIAL" w:hAnsi="ARIAL"/>
                <w:b/>
                <w:sz w:val="14"/>
              </w:rPr>
              <w:t>EQUITY</w:t>
            </w:r>
          </w:p>
          <w:p>
            <w:pPr>
              <w:pStyle w:val="TableContents"/>
              <w:bidi w:val="0"/>
              <w:spacing w:before="0" w:after="20"/>
              <w:jc w:val="right"/>
              <w:rPr>
                <w:rFonts w:ascii="ARIAL" w:hAnsi="ARIAL"/>
                <w:b/>
                <w:sz w:val="14"/>
              </w:rPr>
            </w:pPr>
            <w:r>
              <w:rPr>
                <w:rFonts w:ascii="ARIAL" w:hAnsi="ARIAL"/>
                <w:b/>
                <w:sz w:val="14"/>
              </w:rPr>
              <w:t>AWARDS</w:t>
            </w:r>
          </w:p>
          <w:p>
            <w:pPr>
              <w:pStyle w:val="TableContents"/>
              <w:bidi w:val="0"/>
              <w:spacing w:before="0" w:after="20"/>
              <w:jc w:val="right"/>
              <w:rPr>
                <w:rFonts w:ascii="ARIAL" w:hAnsi="ARIAL"/>
                <w:b/>
                <w:sz w:val="8"/>
              </w:rPr>
            </w:pPr>
            <w:r>
              <w:rPr>
                <w:rFonts w:ascii="ARIAL" w:hAnsi="ARIAL"/>
                <w:b/>
                <w:sz w:val="8"/>
              </w:rPr>
              <w:t>(a)</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0" w:type="dxa"/>
            <w:gridSpan w:val="2"/>
            <w:tcBorders/>
            <w:vAlign w:val="center"/>
          </w:tcPr>
          <w:p>
            <w:pPr>
              <w:pStyle w:val="TableContents"/>
              <w:bidi w:val="0"/>
              <w:spacing w:before="0" w:after="0"/>
              <w:jc w:val="right"/>
              <w:rPr>
                <w:b/>
                <w:spacing w:val="0"/>
              </w:rPr>
            </w:pPr>
            <w:r>
              <w:rPr>
                <w:b/>
                <w:spacing w:val="0"/>
              </w:rPr>
              <w:t>AVERAGE</w:t>
              <w:br/>
              <w:t>EQUITY AWARD</w:t>
              <w:br/>
              <w:t>    ADJUSTMENTS</w:t>
            </w:r>
          </w:p>
          <w:p>
            <w:pPr>
              <w:pStyle w:val="TableContents"/>
              <w:bidi w:val="0"/>
              <w:spacing w:before="0" w:after="0"/>
              <w:jc w:val="right"/>
              <w:rPr>
                <w:b/>
                <w:spacing w:val="0"/>
                <w:sz w:val="8"/>
              </w:rPr>
            </w:pPr>
            <w:r>
              <w:rPr>
                <w:b/>
                <w:spacing w:val="0"/>
                <w:sz w:val="8"/>
              </w:rPr>
              <w:t>(b)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0"/>
              <w:jc w:val="right"/>
              <w:rPr>
                <w:rFonts w:ascii="ARIAL" w:hAnsi="ARIAL"/>
                <w:b/>
                <w:sz w:val="14"/>
              </w:rPr>
            </w:pPr>
            <w:r>
              <w:rPr>
                <w:rFonts w:ascii="ARIAL" w:hAnsi="ARIAL"/>
                <w:b/>
                <w:sz w:val="14"/>
              </w:rPr>
              <w:t>AVERAGE</w:t>
              <w:br/>
              <w:t>    COMPENSATION</w:t>
              <w:br/>
              <w:t>ACTUALLY PAID</w:t>
            </w:r>
          </w:p>
          <w:p>
            <w:pPr>
              <w:pStyle w:val="TableContents"/>
              <w:bidi w:val="0"/>
              <w:spacing w:before="0" w:after="0"/>
              <w:jc w:val="right"/>
              <w:rPr>
                <w:rFonts w:ascii="ARIAL" w:hAnsi="ARIAL"/>
                <w:b/>
                <w:spacing w:val="0"/>
                <w:sz w:val="14"/>
              </w:rPr>
            </w:pPr>
            <w:r>
              <w:rPr>
                <w:rFonts w:ascii="ARIAL" w:hAnsi="ARIAL"/>
                <w:b/>
                <w:spacing w:val="0"/>
                <w:sz w:val="14"/>
              </w:rPr>
              <w:t>TO NON-PEO</w:t>
            </w:r>
          </w:p>
          <w:p>
            <w:pPr>
              <w:pStyle w:val="TableContents"/>
              <w:bidi w:val="0"/>
              <w:spacing w:before="0" w:after="20"/>
              <w:jc w:val="right"/>
              <w:rPr>
                <w:rFonts w:ascii="ARIAL" w:hAnsi="ARIAL"/>
                <w:b/>
                <w:sz w:val="14"/>
              </w:rPr>
            </w:pPr>
            <w:r>
              <w:rPr>
                <w:rFonts w:ascii="ARIAL" w:hAnsi="ARIAL"/>
                <w:b/>
                <w:sz w:val="14"/>
              </w:rPr>
              <w:t>NEOS</w:t>
            </w:r>
          </w:p>
        </w:tc>
        <w:tc>
          <w:tcPr>
            <w:tcW w:w="75" w:type="dxa"/>
            <w:tcBorders/>
            <w:vAlign w:val="center"/>
          </w:tcPr>
          <w:p>
            <w:pPr>
              <w:pStyle w:val="TableContents"/>
              <w:bidi w:val="0"/>
              <w:spacing w:before="0" w:after="283"/>
              <w:jc w:val="left"/>
              <w:rPr/>
            </w:pPr>
            <w:r>
              <w:rPr/>
              <w:t> </w:t>
            </w:r>
          </w:p>
        </w:tc>
      </w:tr>
      <w:tr>
        <w:trPr/>
        <w:tc>
          <w:tcPr>
            <w:tcW w:w="860" w:type="dxa"/>
            <w:tcBorders/>
            <w:shd w:fill="E8F4FF" w:val="clear"/>
            <w:vAlign w:val="center"/>
          </w:tcPr>
          <w:p>
            <w:pPr>
              <w:pStyle w:val="TableContents"/>
              <w:bidi w:val="0"/>
              <w:spacing w:before="0" w:after="283"/>
              <w:jc w:val="left"/>
              <w:rPr>
                <w:sz w:val="4"/>
                <w:szCs w:val="4"/>
              </w:rPr>
            </w:pPr>
            <w:r>
              <w:rPr>
                <w:sz w:val="4"/>
                <w:szCs w:val="4"/>
              </w:rPr>
            </w:r>
          </w:p>
        </w:tc>
        <w:tc>
          <w:tcPr>
            <w:tcW w:w="2210" w:type="dxa"/>
            <w:gridSpan w:val="4"/>
            <w:tcBorders/>
            <w:shd w:fill="E8F4FF" w:val="clear"/>
            <w:vAlign w:val="center"/>
          </w:tcPr>
          <w:p>
            <w:pPr>
              <w:pStyle w:val="TableContents"/>
              <w:bidi w:val="0"/>
              <w:spacing w:before="0" w:after="283"/>
              <w:jc w:val="left"/>
              <w:rPr>
                <w:sz w:val="4"/>
                <w:szCs w:val="4"/>
              </w:rPr>
            </w:pPr>
            <w:r>
              <w:rPr>
                <w:sz w:val="4"/>
                <w:szCs w:val="4"/>
              </w:rPr>
            </w:r>
          </w:p>
        </w:tc>
        <w:tc>
          <w:tcPr>
            <w:tcW w:w="1610" w:type="dxa"/>
            <w:gridSpan w:val="4"/>
            <w:tcBorders/>
            <w:shd w:fill="E8F4FF" w:val="clear"/>
            <w:vAlign w:val="center"/>
          </w:tcPr>
          <w:p>
            <w:pPr>
              <w:pStyle w:val="TableContents"/>
              <w:bidi w:val="0"/>
              <w:spacing w:before="0" w:after="283"/>
              <w:jc w:val="left"/>
              <w:rPr>
                <w:sz w:val="4"/>
                <w:szCs w:val="4"/>
              </w:rPr>
            </w:pPr>
            <w:r>
              <w:rPr>
                <w:sz w:val="4"/>
                <w:szCs w:val="4"/>
              </w:rPr>
            </w:r>
          </w:p>
        </w:tc>
        <w:tc>
          <w:tcPr>
            <w:tcW w:w="2930" w:type="dxa"/>
            <w:gridSpan w:val="4"/>
            <w:tcBorders/>
            <w:shd w:fill="E8F4FF" w:val="clear"/>
            <w:vAlign w:val="center"/>
          </w:tcPr>
          <w:p>
            <w:pPr>
              <w:pStyle w:val="TableContents"/>
              <w:bidi w:val="0"/>
              <w:spacing w:before="0" w:after="283"/>
              <w:jc w:val="left"/>
              <w:rPr>
                <w:sz w:val="4"/>
                <w:szCs w:val="4"/>
              </w:rPr>
            </w:pPr>
            <w:r>
              <w:rPr>
                <w:sz w:val="4"/>
                <w:szCs w:val="4"/>
              </w:rPr>
            </w:r>
          </w:p>
        </w:tc>
        <w:tc>
          <w:tcPr>
            <w:tcW w:w="1820"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860" w:type="dxa"/>
            <w:tcBorders>
              <w:bottom w:val="single" w:sz="6" w:space="0" w:color="2393FF"/>
            </w:tcBorders>
            <w:shd w:fill="E8F4FF" w:val="clear"/>
            <w:tcMar>
              <w:bottom w:w="120" w:type="dxa"/>
            </w:tcMar>
            <w:vAlign w:val="center"/>
          </w:tcPr>
          <w:p>
            <w:pPr>
              <w:pStyle w:val="TableContents"/>
              <w:bidi w:val="0"/>
              <w:spacing w:before="0" w:after="0"/>
              <w:jc w:val="left"/>
              <w:rPr>
                <w:rFonts w:ascii="ARIAL" w:hAnsi="ARIAL"/>
                <w:b/>
                <w:color w:val="2393FF"/>
                <w:spacing w:val="0"/>
                <w:sz w:val="16"/>
              </w:rPr>
            </w:pPr>
            <w:r>
              <w:rPr>
                <w:rFonts w:ascii="ARIAL" w:hAnsi="ARIAL"/>
                <w:b/>
                <w:color w:val="2393FF"/>
                <w:spacing w:val="0"/>
                <w:sz w:val="16"/>
              </w:rPr>
              <w:t>2024</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253" w:type="dxa"/>
            <w:tcBorders>
              <w:bottom w:val="single" w:sz="6" w:space="0" w:color="2393FF"/>
            </w:tcBorders>
            <w:shd w:fill="E8F4FF" w:val="clear"/>
            <w:tcMar>
              <w:bottom w:w="120" w:type="dxa"/>
            </w:tcMar>
            <w:vAlign w:val="center"/>
          </w:tcPr>
          <w:p>
            <w:pPr>
              <w:pStyle w:val="TableContents"/>
              <w:bidi w:val="0"/>
              <w:spacing w:before="0" w:after="283"/>
              <w:jc w:val="left"/>
              <w:rPr/>
            </w:pPr>
            <w:r>
              <w:rPr/>
              <w:t>$</w:t>
            </w:r>
          </w:p>
        </w:tc>
        <w:tc>
          <w:tcPr>
            <w:tcW w:w="1777" w:type="dxa"/>
            <w:tcBorders>
              <w:bottom w:val="single" w:sz="6" w:space="0" w:color="2393FF"/>
            </w:tcBorders>
            <w:shd w:fill="E8F4FF" w:val="clear"/>
            <w:tcMar>
              <w:bottom w:w="120" w:type="dxa"/>
            </w:tcMar>
            <w:vAlign w:val="center"/>
          </w:tcPr>
          <w:p>
            <w:pPr>
              <w:pStyle w:val="TableContents"/>
              <w:bidi w:val="0"/>
              <w:spacing w:before="0" w:after="283"/>
              <w:jc w:val="right"/>
              <w:rPr/>
            </w:pPr>
            <w:r>
              <w:rPr/>
              <w:t>5,129,615</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215" w:type="dxa"/>
            <w:tcBorders>
              <w:bottom w:val="single" w:sz="6" w:space="0" w:color="2393FF"/>
            </w:tcBorders>
            <w:shd w:fill="E8F4FF" w:val="clear"/>
            <w:tcMar>
              <w:bottom w:w="120" w:type="dxa"/>
            </w:tcMar>
            <w:vAlign w:val="center"/>
          </w:tcPr>
          <w:p>
            <w:pPr>
              <w:pStyle w:val="TableContents"/>
              <w:bidi w:val="0"/>
              <w:spacing w:before="0" w:after="283"/>
              <w:jc w:val="left"/>
              <w:rPr/>
            </w:pPr>
            <w:r>
              <w:rPr/>
              <w:t>($</w:t>
            </w:r>
          </w:p>
        </w:tc>
        <w:tc>
          <w:tcPr>
            <w:tcW w:w="1120" w:type="dxa"/>
            <w:tcBorders>
              <w:bottom w:val="single" w:sz="6" w:space="0" w:color="2393FF"/>
            </w:tcBorders>
            <w:shd w:fill="E8F4FF" w:val="clear"/>
            <w:tcMar>
              <w:bottom w:w="120" w:type="dxa"/>
            </w:tcMar>
            <w:vAlign w:val="center"/>
          </w:tcPr>
          <w:p>
            <w:pPr>
              <w:pStyle w:val="TableContents"/>
              <w:bidi w:val="0"/>
              <w:spacing w:before="0" w:after="283"/>
              <w:jc w:val="right"/>
              <w:rPr/>
            </w:pPr>
            <w:r>
              <w:rPr/>
              <w:t>4,681,744</w:t>
            </w:r>
          </w:p>
        </w:tc>
        <w:tc>
          <w:tcPr>
            <w:tcW w:w="155"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351" w:type="dxa"/>
            <w:tcBorders>
              <w:bottom w:val="single" w:sz="6" w:space="0" w:color="2393FF"/>
            </w:tcBorders>
            <w:shd w:fill="E8F4FF" w:val="clear"/>
            <w:tcMar>
              <w:bottom w:w="120" w:type="dxa"/>
            </w:tcMar>
            <w:vAlign w:val="center"/>
          </w:tcPr>
          <w:p>
            <w:pPr>
              <w:pStyle w:val="TableContents"/>
              <w:bidi w:val="0"/>
              <w:spacing w:before="0" w:after="283"/>
              <w:jc w:val="left"/>
              <w:rPr/>
            </w:pPr>
            <w:r>
              <w:rPr/>
              <w:t>$</w:t>
            </w:r>
          </w:p>
        </w:tc>
        <w:tc>
          <w:tcPr>
            <w:tcW w:w="2459" w:type="dxa"/>
            <w:tcBorders>
              <w:bottom w:val="single" w:sz="6" w:space="0" w:color="2393FF"/>
            </w:tcBorders>
            <w:shd w:fill="E8F4FF" w:val="clear"/>
            <w:tcMar>
              <w:bottom w:w="120" w:type="dxa"/>
            </w:tcMar>
            <w:vAlign w:val="center"/>
          </w:tcPr>
          <w:p>
            <w:pPr>
              <w:pStyle w:val="TableContents"/>
              <w:bidi w:val="0"/>
              <w:spacing w:before="0" w:after="283"/>
              <w:jc w:val="right"/>
              <w:rPr/>
            </w:pPr>
            <w:r>
              <w:rPr/>
              <w:t>2,682,311</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203" w:type="dxa"/>
            <w:tcBorders>
              <w:bottom w:val="single" w:sz="6" w:space="0" w:color="2393FF"/>
            </w:tcBorders>
            <w:shd w:fill="E8F4FF" w:val="clear"/>
            <w:tcMar>
              <w:bottom w:w="120" w:type="dxa"/>
            </w:tcMar>
            <w:vAlign w:val="center"/>
          </w:tcPr>
          <w:p>
            <w:pPr>
              <w:pStyle w:val="TableContents"/>
              <w:bidi w:val="0"/>
              <w:spacing w:before="0" w:after="283"/>
              <w:jc w:val="left"/>
              <w:rPr/>
            </w:pPr>
            <w:r>
              <w:rPr/>
              <w:t>$</w:t>
            </w:r>
          </w:p>
        </w:tc>
        <w:tc>
          <w:tcPr>
            <w:tcW w:w="1422" w:type="dxa"/>
            <w:tcBorders>
              <w:bottom w:val="single" w:sz="6" w:space="0" w:color="2393FF"/>
            </w:tcBorders>
            <w:shd w:fill="E8F4FF" w:val="clear"/>
            <w:tcMar>
              <w:bottom w:w="120" w:type="dxa"/>
            </w:tcMar>
            <w:vAlign w:val="center"/>
          </w:tcPr>
          <w:p>
            <w:pPr>
              <w:pStyle w:val="TableContents"/>
              <w:bidi w:val="0"/>
              <w:spacing w:before="0" w:after="283"/>
              <w:jc w:val="right"/>
              <w:rPr/>
            </w:pPr>
            <w:r>
              <w:rPr/>
              <w:t>3,130,182</w:t>
            </w:r>
          </w:p>
        </w:tc>
        <w:tc>
          <w:tcPr>
            <w:tcW w:w="75"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color w:val="333333"/>
                <w:spacing w:val="0"/>
              </w:rPr>
            </w:pPr>
            <w:r>
              <w:rPr>
                <w:color w:val="333333"/>
                <w:spacing w:val="0"/>
              </w:rPr>
              <w:t>(a)</w:t>
            </w:r>
          </w:p>
        </w:tc>
        <w:tc>
          <w:tcPr>
            <w:tcW w:w="9871" w:type="dxa"/>
            <w:tcBorders/>
            <w:vAlign w:val="center"/>
          </w:tcPr>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grant date fair value of equity awards represents the total of the amounts reported in the Stock Awards and Option Awards columns in the Summary Compensation Table for the applicable year.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290"/>
        <w:gridCol w:w="65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color w:val="333333"/>
                <w:spacing w:val="0"/>
              </w:rPr>
            </w:pPr>
            <w:r>
              <w:rPr>
                <w:color w:val="333333"/>
                <w:spacing w:val="0"/>
              </w:rPr>
              <w:t>(b)</w:t>
            </w:r>
          </w:p>
        </w:tc>
        <w:tc>
          <w:tcPr>
            <w:tcW w:w="6590" w:type="dxa"/>
            <w:tcBorders/>
            <w:vAlign w:val="center"/>
          </w:tcPr>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amounts deducted or added in calculating the total average equity award adjustments are as follows: </w:t>
            </w:r>
          </w:p>
        </w:tc>
      </w:tr>
    </w:tbl>
    <w:p>
      <w:pPr>
        <w:pStyle w:val="TextBody"/>
        <w:bidi w:val="0"/>
        <w:spacing w:before="0" w:after="0"/>
        <w:jc w:val="left"/>
        <w:rPr/>
      </w:pPr>
      <w:r>
        <w:rPr/>
        <w:t> </w:t>
      </w:r>
    </w:p>
    <w:tbl>
      <w:tblPr>
        <w:tblW w:w="15805" w:type="dxa"/>
        <w:jc w:val="left"/>
        <w:tblInd w:w="0" w:type="dxa"/>
        <w:tblLayout w:type="fixed"/>
        <w:tblCellMar>
          <w:top w:w="0" w:type="dxa"/>
          <w:left w:w="0" w:type="dxa"/>
          <w:bottom w:w="0" w:type="dxa"/>
          <w:right w:w="0" w:type="dxa"/>
        </w:tblCellMar>
      </w:tblPr>
      <w:tblGrid>
        <w:gridCol w:w="740"/>
        <w:gridCol w:w="60"/>
        <w:gridCol w:w="246"/>
        <w:gridCol w:w="1724"/>
        <w:gridCol w:w="60"/>
        <w:gridCol w:w="60"/>
        <w:gridCol w:w="190"/>
        <w:gridCol w:w="1090"/>
        <w:gridCol w:w="155"/>
        <w:gridCol w:w="60"/>
        <w:gridCol w:w="1157"/>
        <w:gridCol w:w="1158"/>
        <w:gridCol w:w="60"/>
        <w:gridCol w:w="60"/>
        <w:gridCol w:w="275"/>
        <w:gridCol w:w="1575"/>
        <w:gridCol w:w="155"/>
        <w:gridCol w:w="60"/>
        <w:gridCol w:w="317"/>
        <w:gridCol w:w="1818"/>
        <w:gridCol w:w="155"/>
        <w:gridCol w:w="60"/>
        <w:gridCol w:w="1262"/>
        <w:gridCol w:w="1263"/>
        <w:gridCol w:w="60"/>
        <w:gridCol w:w="60"/>
        <w:gridCol w:w="231"/>
        <w:gridCol w:w="1619"/>
        <w:gridCol w:w="75"/>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spacing w:val="0"/>
              </w:rPr>
            </w:pPr>
            <w:r>
              <w:rPr>
                <w:spacing w:val="0"/>
              </w:rPr>
              <w:t> </w:t>
            </w:r>
            <w:r>
              <w:rPr>
                <w:b/>
                <w:spacing w:val="0"/>
              </w:rPr>
              <w:t>YEAR</w:t>
            </w:r>
          </w:p>
        </w:tc>
        <w:tc>
          <w:tcPr>
            <w:tcW w:w="60" w:type="dxa"/>
            <w:tcBorders/>
            <w:vAlign w:val="center"/>
          </w:tcPr>
          <w:p>
            <w:pPr>
              <w:pStyle w:val="TableContents"/>
              <w:bidi w:val="0"/>
              <w:spacing w:before="0" w:after="283"/>
              <w:jc w:val="left"/>
              <w:rPr/>
            </w:pPr>
            <w:r>
              <w:rPr/>
              <w:t> </w:t>
            </w:r>
          </w:p>
        </w:tc>
        <w:tc>
          <w:tcPr>
            <w:tcW w:w="1970" w:type="dxa"/>
            <w:gridSpan w:val="2"/>
            <w:tcBorders/>
            <w:vAlign w:val="center"/>
          </w:tcPr>
          <w:p>
            <w:pPr>
              <w:pStyle w:val="TableContents"/>
              <w:bidi w:val="0"/>
              <w:spacing w:before="0" w:after="0"/>
              <w:jc w:val="right"/>
              <w:rPr>
                <w:b/>
                <w:spacing w:val="0"/>
              </w:rPr>
            </w:pPr>
            <w:r>
              <w:rPr>
                <w:b/>
                <w:spacing w:val="0"/>
              </w:rPr>
              <w:t>YEAR END FAIR</w:t>
              <w:br/>
              <w:t>VALUE OF</w:t>
              <w:br/>
              <w:t>UNVESTED</w:t>
              <w:br/>
              <w:t>EQUITY</w:t>
              <w:br/>
              <w:t>AWARDS</w:t>
              <w:br/>
              <w:t>GRANTED IN</w:t>
              <w:br/>
              <w:t>THE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right"/>
              <w:rPr>
                <w:rFonts w:ascii="ARIAL" w:hAnsi="ARIAL"/>
                <w:b/>
                <w:sz w:val="14"/>
              </w:rPr>
            </w:pPr>
            <w:r>
              <w:rPr>
                <w:rFonts w:ascii="ARIAL" w:hAnsi="ARIAL"/>
                <w:b/>
                <w:sz w:val="14"/>
              </w:rPr>
              <w:t>YEAR OVER YEAR</w:t>
              <w:br/>
              <w:t>CHANGE IN FAIR</w:t>
              <w:br/>
              <w:t>VALUE OF</w:t>
              <w:br/>
              <w:t>OUTSTANDING AND</w:t>
              <w:br/>
              <w:t>UNVESTED EQUITY</w:t>
              <w:br/>
              <w:t>AWARDS</w:t>
            </w:r>
          </w:p>
          <w:p>
            <w:pPr>
              <w:pStyle w:val="TableContents"/>
              <w:bidi w:val="0"/>
              <w:spacing w:before="0" w:after="20"/>
              <w:jc w:val="right"/>
              <w:rPr>
                <w:rFonts w:ascii="ARIAL" w:hAnsi="ARIAL"/>
                <w:b/>
                <w:sz w:val="14"/>
              </w:rPr>
            </w:pPr>
            <w:r>
              <w:rPr>
                <w:rFonts w:ascii="ARIAL" w:hAnsi="ARIAL"/>
                <w:b/>
                <w:sz w:val="14"/>
              </w:rPr>
              <w:t>GRANTED IN</w:t>
              <w:br/>
              <w:t>PRIOR YEARS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gridSpan w:val="2"/>
            <w:tcBorders/>
            <w:vAlign w:val="center"/>
          </w:tcPr>
          <w:p>
            <w:pPr>
              <w:pStyle w:val="TableContents"/>
              <w:bidi w:val="0"/>
              <w:spacing w:before="0" w:after="0"/>
              <w:jc w:val="right"/>
              <w:rPr>
                <w:b/>
                <w:spacing w:val="0"/>
              </w:rPr>
            </w:pPr>
            <w:r>
              <w:rPr>
                <w:b/>
                <w:spacing w:val="0"/>
              </w:rPr>
              <w:t>FAIR VALUE AS OF</w:t>
              <w:br/>
              <w:t>VESTING DATE OF</w:t>
              <w:br/>
              <w:t>EQUITY AWARDS</w:t>
              <w:br/>
              <w:t>GRANTED AND</w:t>
              <w:br/>
              <w:t>VESTED IN THE</w:t>
              <w:b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0"/>
              <w:jc w:val="right"/>
              <w:rPr>
                <w:b/>
                <w:spacing w:val="0"/>
              </w:rPr>
            </w:pPr>
            <w:r>
              <w:rPr>
                <w:b/>
                <w:spacing w:val="0"/>
              </w:rPr>
              <w:t>YEAR OVER</w:t>
              <w:br/>
              <w:t>YEAR CHANGE</w:t>
              <w:br/>
              <w:t>IN FAIR VALUE</w:t>
              <w:br/>
              <w:t>OF EQUITY</w:t>
              <w:br/>
              <w:t>AWARDS</w:t>
              <w:br/>
              <w:t>GRANTED IN</w:t>
              <w:br/>
              <w:t>PRIOR YEARS</w:t>
              <w:br/>
              <w:t>THAT VESTED</w:t>
              <w:br/>
              <w:t>IN THE YEAR</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0"/>
              <w:jc w:val="right"/>
              <w:rPr>
                <w:b/>
                <w:spacing w:val="0"/>
              </w:rPr>
            </w:pPr>
            <w:r>
              <w:rPr>
                <w:b/>
                <w:spacing w:val="0"/>
              </w:rPr>
              <w:t>FAIR VALUE AT</w:t>
              <w:br/>
              <w:t>THE END OF THE</w:t>
              <w:br/>
              <w:t>PRIOR YEAR OF</w:t>
              <w:br/>
              <w:t>EQUITY AWARDS</w:t>
              <w:br/>
              <w:t>THAT FAILED TO</w:t>
              <w:br/>
              <w:t>MEET VESTING</w:t>
              <w:br/>
              <w:t>CONDITIONS IN</w:t>
              <w:br/>
              <w:t>THE YEAR</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5" w:type="dxa"/>
            <w:gridSpan w:val="2"/>
            <w:tcBorders/>
            <w:vAlign w:val="center"/>
          </w:tcPr>
          <w:p>
            <w:pPr>
              <w:pStyle w:val="TableContents"/>
              <w:bidi w:val="0"/>
              <w:spacing w:before="0" w:after="0"/>
              <w:jc w:val="right"/>
              <w:rPr>
                <w:b/>
                <w:spacing w:val="0"/>
              </w:rPr>
            </w:pPr>
            <w:r>
              <w:rPr>
                <w:b/>
                <w:spacing w:val="0"/>
              </w:rPr>
              <w:t>VALUE OF</w:t>
              <w:br/>
              <w:t>DIVIDENDS OR</w:t>
              <w:br/>
              <w:t>OTHER EARNINGS</w:t>
              <w:br/>
              <w:t>PAID ON STOCK OR</w:t>
              <w:br/>
              <w:t>OPTION AWARDS</w:t>
              <w:br/>
              <w:t>NOT OTHERWISE</w:t>
              <w:br/>
              <w:t>REFLECTED IN FAIR</w:t>
              <w:br/>
              <w:t>VALUE OR TOTAL</w:t>
              <w:b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0"/>
              <w:jc w:val="right"/>
              <w:rPr>
                <w:b/>
                <w:spacing w:val="0"/>
              </w:rPr>
            </w:pPr>
            <w:r>
              <w:rPr>
                <w:b/>
                <w:spacing w:val="0"/>
              </w:rPr>
              <w:t>TOTAL EQUITY</w:t>
              <w:br/>
              <w:t>AWARD</w:t>
              <w:br/>
              <w:t>ADJUSTMENTS</w:t>
            </w:r>
          </w:p>
        </w:tc>
        <w:tc>
          <w:tcPr>
            <w:tcW w:w="75" w:type="dxa"/>
            <w:tcBorders/>
            <w:vAlign w:val="center"/>
          </w:tcPr>
          <w:p>
            <w:pPr>
              <w:pStyle w:val="TableContents"/>
              <w:bidi w:val="0"/>
              <w:spacing w:before="0" w:after="283"/>
              <w:jc w:val="left"/>
              <w:rPr/>
            </w:pPr>
            <w:r>
              <w:rPr/>
              <w:t> </w:t>
            </w:r>
          </w:p>
        </w:tc>
      </w:tr>
      <w:tr>
        <w:trPr/>
        <w:tc>
          <w:tcPr>
            <w:tcW w:w="740" w:type="dxa"/>
            <w:tcBorders/>
            <w:shd w:fill="E8F4FF" w:val="clear"/>
            <w:vAlign w:val="center"/>
          </w:tcPr>
          <w:p>
            <w:pPr>
              <w:pStyle w:val="TableContents"/>
              <w:bidi w:val="0"/>
              <w:spacing w:before="0" w:after="283"/>
              <w:jc w:val="left"/>
              <w:rPr>
                <w:sz w:val="4"/>
                <w:szCs w:val="4"/>
              </w:rPr>
            </w:pPr>
            <w:r>
              <w:rPr>
                <w:sz w:val="4"/>
                <w:szCs w:val="4"/>
              </w:rPr>
            </w:r>
          </w:p>
        </w:tc>
        <w:tc>
          <w:tcPr>
            <w:tcW w:w="2090" w:type="dxa"/>
            <w:gridSpan w:val="4"/>
            <w:tcBorders/>
            <w:shd w:fill="E8F4FF" w:val="clear"/>
            <w:vAlign w:val="center"/>
          </w:tcPr>
          <w:p>
            <w:pPr>
              <w:pStyle w:val="TableContents"/>
              <w:bidi w:val="0"/>
              <w:spacing w:before="0" w:after="283"/>
              <w:jc w:val="left"/>
              <w:rPr>
                <w:sz w:val="4"/>
                <w:szCs w:val="4"/>
              </w:rPr>
            </w:pPr>
            <w:r>
              <w:rPr>
                <w:sz w:val="4"/>
                <w:szCs w:val="4"/>
              </w:rPr>
            </w:r>
          </w:p>
        </w:tc>
        <w:tc>
          <w:tcPr>
            <w:tcW w:w="1495" w:type="dxa"/>
            <w:gridSpan w:val="4"/>
            <w:tcBorders/>
            <w:shd w:fill="E8F4FF" w:val="clear"/>
            <w:vAlign w:val="center"/>
          </w:tcPr>
          <w:p>
            <w:pPr>
              <w:pStyle w:val="TableContents"/>
              <w:bidi w:val="0"/>
              <w:spacing w:before="0" w:after="283"/>
              <w:jc w:val="left"/>
              <w:rPr>
                <w:sz w:val="4"/>
                <w:szCs w:val="4"/>
              </w:rPr>
            </w:pPr>
            <w:r>
              <w:rPr>
                <w:sz w:val="4"/>
                <w:szCs w:val="4"/>
              </w:rPr>
            </w:r>
          </w:p>
        </w:tc>
        <w:tc>
          <w:tcPr>
            <w:tcW w:w="2435" w:type="dxa"/>
            <w:gridSpan w:val="4"/>
            <w:tcBorders/>
            <w:shd w:fill="E8F4FF" w:val="clear"/>
            <w:vAlign w:val="center"/>
          </w:tcPr>
          <w:p>
            <w:pPr>
              <w:pStyle w:val="TableContents"/>
              <w:bidi w:val="0"/>
              <w:spacing w:before="0" w:after="283"/>
              <w:jc w:val="left"/>
              <w:rPr>
                <w:sz w:val="4"/>
                <w:szCs w:val="4"/>
              </w:rPr>
            </w:pPr>
            <w:r>
              <w:rPr>
                <w:sz w:val="4"/>
                <w:szCs w:val="4"/>
              </w:rPr>
            </w:r>
          </w:p>
        </w:tc>
        <w:tc>
          <w:tcPr>
            <w:tcW w:w="2065" w:type="dxa"/>
            <w:gridSpan w:val="4"/>
            <w:tcBorders/>
            <w:shd w:fill="E8F4FF" w:val="clear"/>
            <w:vAlign w:val="center"/>
          </w:tcPr>
          <w:p>
            <w:pPr>
              <w:pStyle w:val="TableContents"/>
              <w:bidi w:val="0"/>
              <w:spacing w:before="0" w:after="283"/>
              <w:jc w:val="left"/>
              <w:rPr>
                <w:sz w:val="4"/>
                <w:szCs w:val="4"/>
              </w:rPr>
            </w:pPr>
            <w:r>
              <w:rPr>
                <w:sz w:val="4"/>
                <w:szCs w:val="4"/>
              </w:rPr>
            </w:r>
          </w:p>
        </w:tc>
        <w:tc>
          <w:tcPr>
            <w:tcW w:w="2350" w:type="dxa"/>
            <w:gridSpan w:val="4"/>
            <w:tcBorders/>
            <w:shd w:fill="E8F4FF" w:val="clear"/>
            <w:vAlign w:val="center"/>
          </w:tcPr>
          <w:p>
            <w:pPr>
              <w:pStyle w:val="TableContents"/>
              <w:bidi w:val="0"/>
              <w:spacing w:before="0" w:after="283"/>
              <w:jc w:val="left"/>
              <w:rPr>
                <w:sz w:val="4"/>
                <w:szCs w:val="4"/>
              </w:rPr>
            </w:pPr>
            <w:r>
              <w:rPr>
                <w:sz w:val="4"/>
                <w:szCs w:val="4"/>
              </w:rPr>
            </w:r>
          </w:p>
        </w:tc>
        <w:tc>
          <w:tcPr>
            <w:tcW w:w="2645" w:type="dxa"/>
            <w:gridSpan w:val="4"/>
            <w:tcBorders/>
            <w:shd w:fill="E8F4FF" w:val="clear"/>
            <w:vAlign w:val="center"/>
          </w:tcPr>
          <w:p>
            <w:pPr>
              <w:pStyle w:val="TableContents"/>
              <w:bidi w:val="0"/>
              <w:spacing w:before="0" w:after="283"/>
              <w:jc w:val="left"/>
              <w:rPr>
                <w:sz w:val="4"/>
                <w:szCs w:val="4"/>
              </w:rPr>
            </w:pPr>
            <w:r>
              <w:rPr>
                <w:sz w:val="4"/>
                <w:szCs w:val="4"/>
              </w:rPr>
            </w:r>
          </w:p>
        </w:tc>
        <w:tc>
          <w:tcPr>
            <w:tcW w:w="1985" w:type="dxa"/>
            <w:gridSpan w:val="4"/>
            <w:tcBorders/>
            <w:shd w:fill="E8F4FF" w:val="clear"/>
            <w:vAlign w:val="center"/>
          </w:tcPr>
          <w:p>
            <w:pPr>
              <w:pStyle w:val="TableContents"/>
              <w:bidi w:val="0"/>
              <w:spacing w:before="0" w:after="283"/>
              <w:jc w:val="left"/>
              <w:rPr>
                <w:sz w:val="4"/>
                <w:szCs w:val="4"/>
              </w:rPr>
            </w:pPr>
            <w:r>
              <w:rPr>
                <w:sz w:val="4"/>
                <w:szCs w:val="4"/>
              </w:rPr>
            </w:r>
          </w:p>
        </w:tc>
      </w:tr>
      <w:tr>
        <w:trPr/>
        <w:tc>
          <w:tcPr>
            <w:tcW w:w="740" w:type="dxa"/>
            <w:tcBorders>
              <w:bottom w:val="single" w:sz="6" w:space="0" w:color="2393FF"/>
            </w:tcBorders>
            <w:shd w:fill="E8F4FF" w:val="clear"/>
            <w:tcMar>
              <w:bottom w:w="120" w:type="dxa"/>
            </w:tcMar>
            <w:vAlign w:val="center"/>
          </w:tcPr>
          <w:p>
            <w:pPr>
              <w:pStyle w:val="TableContents"/>
              <w:bidi w:val="0"/>
              <w:spacing w:before="0" w:after="0"/>
              <w:jc w:val="left"/>
              <w:rPr>
                <w:rFonts w:ascii="ARIAL" w:hAnsi="ARIAL"/>
                <w:b/>
                <w:color w:val="2393FF"/>
                <w:spacing w:val="0"/>
                <w:sz w:val="16"/>
              </w:rPr>
            </w:pPr>
            <w:r>
              <w:rPr>
                <w:rFonts w:ascii="ARIAL" w:hAnsi="ARIAL"/>
                <w:b/>
                <w:color w:val="2393FF"/>
                <w:spacing w:val="0"/>
                <w:sz w:val="16"/>
              </w:rPr>
              <w:t>2024</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246" w:type="dxa"/>
            <w:tcBorders>
              <w:bottom w:val="single" w:sz="6" w:space="0" w:color="2393FF"/>
            </w:tcBorders>
            <w:shd w:fill="E8F4FF" w:val="clear"/>
            <w:tcMar>
              <w:bottom w:w="120" w:type="dxa"/>
            </w:tcMar>
            <w:vAlign w:val="center"/>
          </w:tcPr>
          <w:p>
            <w:pPr>
              <w:pStyle w:val="TableContents"/>
              <w:bidi w:val="0"/>
              <w:spacing w:before="0" w:after="283"/>
              <w:jc w:val="left"/>
              <w:rPr/>
            </w:pPr>
            <w:r>
              <w:rPr/>
              <w:t>$</w:t>
            </w:r>
          </w:p>
        </w:tc>
        <w:tc>
          <w:tcPr>
            <w:tcW w:w="1724" w:type="dxa"/>
            <w:tcBorders>
              <w:bottom w:val="single" w:sz="6" w:space="0" w:color="2393FF"/>
            </w:tcBorders>
            <w:shd w:fill="E8F4FF" w:val="clear"/>
            <w:tcMar>
              <w:bottom w:w="120" w:type="dxa"/>
            </w:tcMar>
            <w:vAlign w:val="center"/>
          </w:tcPr>
          <w:p>
            <w:pPr>
              <w:pStyle w:val="TableContents"/>
              <w:bidi w:val="0"/>
              <w:spacing w:before="0" w:after="283"/>
              <w:jc w:val="right"/>
              <w:rPr/>
            </w:pPr>
            <w:r>
              <w:rPr/>
              <w:t>3,338,625</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90" w:type="dxa"/>
            <w:tcBorders>
              <w:bottom w:val="single" w:sz="6" w:space="0" w:color="2393FF"/>
            </w:tcBorders>
            <w:shd w:fill="E8F4FF" w:val="clear"/>
            <w:tcMar>
              <w:bottom w:w="120" w:type="dxa"/>
            </w:tcMar>
            <w:vAlign w:val="center"/>
          </w:tcPr>
          <w:p>
            <w:pPr>
              <w:pStyle w:val="TableContents"/>
              <w:bidi w:val="0"/>
              <w:spacing w:before="0" w:after="283"/>
              <w:jc w:val="left"/>
              <w:rPr/>
            </w:pPr>
            <w:r>
              <w:rPr/>
              <w:t>($</w:t>
            </w:r>
          </w:p>
        </w:tc>
        <w:tc>
          <w:tcPr>
            <w:tcW w:w="1090" w:type="dxa"/>
            <w:tcBorders>
              <w:bottom w:val="single" w:sz="6" w:space="0" w:color="2393FF"/>
            </w:tcBorders>
            <w:shd w:fill="E8F4FF" w:val="clear"/>
            <w:tcMar>
              <w:bottom w:w="120" w:type="dxa"/>
            </w:tcMar>
            <w:vAlign w:val="center"/>
          </w:tcPr>
          <w:p>
            <w:pPr>
              <w:pStyle w:val="TableContents"/>
              <w:bidi w:val="0"/>
              <w:spacing w:before="0" w:after="283"/>
              <w:jc w:val="right"/>
              <w:rPr/>
            </w:pPr>
            <w:r>
              <w:rPr/>
              <w:t>153,222</w:t>
            </w:r>
          </w:p>
        </w:tc>
        <w:tc>
          <w:tcPr>
            <w:tcW w:w="155"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157" w:type="dxa"/>
            <w:tcBorders>
              <w:bottom w:val="single" w:sz="6" w:space="0" w:color="2393FF"/>
            </w:tcBorders>
            <w:shd w:fill="E8F4FF" w:val="clear"/>
            <w:tcMar>
              <w:bottom w:w="120" w:type="dxa"/>
            </w:tcMar>
            <w:vAlign w:val="center"/>
          </w:tcPr>
          <w:p>
            <w:pPr>
              <w:pStyle w:val="TableContents"/>
              <w:bidi w:val="0"/>
              <w:spacing w:before="0" w:after="283"/>
              <w:jc w:val="left"/>
              <w:rPr/>
            </w:pPr>
            <w:r>
              <w:rPr/>
              <w:t>$</w:t>
            </w:r>
          </w:p>
        </w:tc>
        <w:tc>
          <w:tcPr>
            <w:tcW w:w="1158" w:type="dxa"/>
            <w:tcBorders>
              <w:bottom w:val="single" w:sz="6" w:space="0" w:color="2393FF"/>
            </w:tcBorders>
            <w:shd w:fill="E8F4FF" w:val="clear"/>
            <w:tcMar>
              <w:bottom w:w="120" w:type="dxa"/>
            </w:tcMar>
            <w:vAlign w:val="center"/>
          </w:tcPr>
          <w:p>
            <w:pPr>
              <w:pStyle w:val="TableContents"/>
              <w:bidi w:val="0"/>
              <w:spacing w:before="0" w:after="283"/>
              <w:jc w:val="right"/>
              <w:rPr/>
            </w:pPr>
            <w:r>
              <w:rPr/>
              <w:t>0</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275" w:type="dxa"/>
            <w:tcBorders>
              <w:bottom w:val="single" w:sz="6" w:space="0" w:color="2393FF"/>
            </w:tcBorders>
            <w:shd w:fill="E8F4FF" w:val="clear"/>
            <w:tcMar>
              <w:bottom w:w="120" w:type="dxa"/>
            </w:tcMar>
            <w:vAlign w:val="center"/>
          </w:tcPr>
          <w:p>
            <w:pPr>
              <w:pStyle w:val="TableContents"/>
              <w:bidi w:val="0"/>
              <w:spacing w:before="0" w:after="283"/>
              <w:jc w:val="left"/>
              <w:rPr/>
            </w:pPr>
            <w:r>
              <w:rPr/>
              <w:t>($</w:t>
            </w:r>
          </w:p>
        </w:tc>
        <w:tc>
          <w:tcPr>
            <w:tcW w:w="1575" w:type="dxa"/>
            <w:tcBorders>
              <w:bottom w:val="single" w:sz="6" w:space="0" w:color="2393FF"/>
            </w:tcBorders>
            <w:shd w:fill="E8F4FF" w:val="clear"/>
            <w:tcMar>
              <w:bottom w:w="120" w:type="dxa"/>
            </w:tcMar>
            <w:vAlign w:val="center"/>
          </w:tcPr>
          <w:p>
            <w:pPr>
              <w:pStyle w:val="TableContents"/>
              <w:bidi w:val="0"/>
              <w:spacing w:before="0" w:after="283"/>
              <w:jc w:val="right"/>
              <w:rPr/>
            </w:pPr>
            <w:r>
              <w:rPr/>
              <w:t>122,132</w:t>
            </w:r>
          </w:p>
        </w:tc>
        <w:tc>
          <w:tcPr>
            <w:tcW w:w="155"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317" w:type="dxa"/>
            <w:tcBorders>
              <w:bottom w:val="single" w:sz="6" w:space="0" w:color="2393FF"/>
            </w:tcBorders>
            <w:shd w:fill="E8F4FF" w:val="clear"/>
            <w:tcMar>
              <w:bottom w:w="120" w:type="dxa"/>
            </w:tcMar>
            <w:vAlign w:val="center"/>
          </w:tcPr>
          <w:p>
            <w:pPr>
              <w:pStyle w:val="TableContents"/>
              <w:bidi w:val="0"/>
              <w:spacing w:before="0" w:after="283"/>
              <w:jc w:val="left"/>
              <w:rPr/>
            </w:pPr>
            <w:r>
              <w:rPr/>
              <w:t>($</w:t>
            </w:r>
          </w:p>
        </w:tc>
        <w:tc>
          <w:tcPr>
            <w:tcW w:w="1818" w:type="dxa"/>
            <w:tcBorders>
              <w:bottom w:val="single" w:sz="6" w:space="0" w:color="2393FF"/>
            </w:tcBorders>
            <w:shd w:fill="E8F4FF" w:val="clear"/>
            <w:tcMar>
              <w:bottom w:w="120" w:type="dxa"/>
            </w:tcMar>
            <w:vAlign w:val="center"/>
          </w:tcPr>
          <w:p>
            <w:pPr>
              <w:pStyle w:val="TableContents"/>
              <w:bidi w:val="0"/>
              <w:spacing w:before="0" w:after="283"/>
              <w:jc w:val="right"/>
              <w:rPr/>
            </w:pPr>
            <w:r>
              <w:rPr/>
              <w:t>380,961</w:t>
            </w:r>
          </w:p>
        </w:tc>
        <w:tc>
          <w:tcPr>
            <w:tcW w:w="155"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262" w:type="dxa"/>
            <w:tcBorders>
              <w:bottom w:val="single" w:sz="6" w:space="0" w:color="2393FF"/>
            </w:tcBorders>
            <w:shd w:fill="E8F4FF" w:val="clear"/>
            <w:tcMar>
              <w:bottom w:w="120" w:type="dxa"/>
            </w:tcMar>
            <w:vAlign w:val="center"/>
          </w:tcPr>
          <w:p>
            <w:pPr>
              <w:pStyle w:val="TableContents"/>
              <w:bidi w:val="0"/>
              <w:spacing w:before="0" w:after="283"/>
              <w:jc w:val="left"/>
              <w:rPr/>
            </w:pPr>
            <w:r>
              <w:rPr/>
              <w:t>$</w:t>
            </w:r>
          </w:p>
        </w:tc>
        <w:tc>
          <w:tcPr>
            <w:tcW w:w="1263" w:type="dxa"/>
            <w:tcBorders>
              <w:bottom w:val="single" w:sz="6" w:space="0" w:color="2393FF"/>
            </w:tcBorders>
            <w:shd w:fill="E8F4FF" w:val="clear"/>
            <w:tcMar>
              <w:bottom w:w="120" w:type="dxa"/>
            </w:tcMar>
            <w:vAlign w:val="center"/>
          </w:tcPr>
          <w:p>
            <w:pPr>
              <w:pStyle w:val="TableContents"/>
              <w:bidi w:val="0"/>
              <w:spacing w:before="0" w:after="283"/>
              <w:jc w:val="right"/>
              <w:rPr/>
            </w:pPr>
            <w:r>
              <w:rPr/>
              <w:t>0</w:t>
            </w:r>
          </w:p>
        </w:tc>
        <w:tc>
          <w:tcPr>
            <w:tcW w:w="60"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c>
          <w:tcPr>
            <w:tcW w:w="6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231" w:type="dxa"/>
            <w:tcBorders>
              <w:bottom w:val="single" w:sz="6" w:space="0" w:color="2393FF"/>
            </w:tcBorders>
            <w:shd w:fill="E8F4FF" w:val="clear"/>
            <w:tcMar>
              <w:bottom w:w="120" w:type="dxa"/>
            </w:tcMar>
            <w:vAlign w:val="center"/>
          </w:tcPr>
          <w:p>
            <w:pPr>
              <w:pStyle w:val="TableContents"/>
              <w:bidi w:val="0"/>
              <w:spacing w:before="0" w:after="283"/>
              <w:jc w:val="left"/>
              <w:rPr/>
            </w:pPr>
            <w:r>
              <w:rPr/>
              <w:t>$</w:t>
            </w:r>
          </w:p>
        </w:tc>
        <w:tc>
          <w:tcPr>
            <w:tcW w:w="1619" w:type="dxa"/>
            <w:tcBorders>
              <w:bottom w:val="single" w:sz="6" w:space="0" w:color="2393FF"/>
            </w:tcBorders>
            <w:shd w:fill="E8F4FF" w:val="clear"/>
            <w:tcMar>
              <w:bottom w:w="120" w:type="dxa"/>
            </w:tcMar>
            <w:vAlign w:val="center"/>
          </w:tcPr>
          <w:p>
            <w:pPr>
              <w:pStyle w:val="TableContents"/>
              <w:bidi w:val="0"/>
              <w:spacing w:before="0" w:after="283"/>
              <w:jc w:val="right"/>
              <w:rPr/>
            </w:pPr>
            <w:r>
              <w:rPr/>
              <w:t>2,682,311</w:t>
            </w:r>
          </w:p>
        </w:tc>
        <w:tc>
          <w:tcPr>
            <w:tcW w:w="75" w:type="dxa"/>
            <w:tcBorders>
              <w:bottom w:val="single" w:sz="6" w:space="0" w:color="2393FF"/>
            </w:tcBorders>
            <w:shd w:fill="E8F4FF" w:val="clear"/>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color w:val="333333"/>
                <w:spacing w:val="0"/>
              </w:rPr>
            </w:pPr>
            <w:r>
              <w:rPr>
                <w:color w:val="333333"/>
                <w:spacing w:val="0"/>
              </w:rPr>
              <w:t>(5)</w:t>
            </w:r>
          </w:p>
        </w:tc>
        <w:tc>
          <w:tcPr>
            <w:tcW w:w="9955" w:type="dxa"/>
            <w:tcBorders/>
            <w:vAlign w:val="center"/>
          </w:tcPr>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dollar amounts reported in column (f) represent our cumulative total shareholder return (TSR). Cumulative TSR is calculated by dividing the sum of the cumulative amount of dividends for the measurement period, assuming dividend reinvestment, and the difference between the price per share of our common stock at the end and the beginning of the measurement period by the price per share of our common stock at the beginning of the measurement period. For this purpose, the measurement period begins at the initial public offering in May 2021.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305"/>
        <w:gridCol w:w="6005"/>
      </w:tblGrid>
      <w:tr>
        <w:trPr/>
        <w:tc>
          <w:tcPr>
            <w:tcW w:w="305" w:type="dxa"/>
            <w:tcBorders/>
            <w:vAlign w:val="center"/>
          </w:tcPr>
          <w:p>
            <w:pPr>
              <w:pStyle w:val="TableContents"/>
              <w:bidi w:val="0"/>
              <w:spacing w:before="0" w:after="0"/>
              <w:jc w:val="left"/>
              <w:rPr>
                <w:color w:val="333333"/>
                <w:spacing w:val="0"/>
              </w:rPr>
            </w:pPr>
            <w:r>
              <w:rPr>
                <w:color w:val="333333"/>
                <w:spacing w:val="0"/>
              </w:rPr>
              <w:t>(6)</w:t>
            </w:r>
          </w:p>
        </w:tc>
        <w:tc>
          <w:tcPr>
            <w:tcW w:w="6005" w:type="dxa"/>
            <w:tcBorders/>
            <w:vAlign w:val="center"/>
          </w:tcPr>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peer group used for purposes of column (g) is the S&amp;P 500 - Information Technology index.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305"/>
        <w:gridCol w:w="8675"/>
      </w:tblGrid>
      <w:tr>
        <w:trPr/>
        <w:tc>
          <w:tcPr>
            <w:tcW w:w="305" w:type="dxa"/>
            <w:tcBorders/>
            <w:vAlign w:val="center"/>
          </w:tcPr>
          <w:p>
            <w:pPr>
              <w:pStyle w:val="TableContents"/>
              <w:bidi w:val="0"/>
              <w:spacing w:before="0" w:after="0"/>
              <w:jc w:val="left"/>
              <w:rPr>
                <w:color w:val="333333"/>
                <w:spacing w:val="0"/>
              </w:rPr>
            </w:pPr>
            <w:r>
              <w:rPr>
                <w:color w:val="333333"/>
                <w:spacing w:val="0"/>
              </w:rPr>
              <w:t>(7)</w:t>
            </w:r>
          </w:p>
        </w:tc>
        <w:tc>
          <w:tcPr>
            <w:tcW w:w="8675" w:type="dxa"/>
            <w:tcBorders/>
            <w:vAlign w:val="center"/>
          </w:tcPr>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The dollar amounts reported represent the amount of net income (loss) reflected in our audited financial statements for the applicable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color w:val="333333"/>
                <w:spacing w:val="0"/>
              </w:rPr>
            </w:pPr>
            <w:r>
              <w:rPr>
                <w:color w:val="333333"/>
                <w:spacing w:val="0"/>
              </w:rPr>
              <w:t>(8)</w:t>
            </w:r>
          </w:p>
        </w:tc>
        <w:tc>
          <w:tcPr>
            <w:tcW w:w="9952" w:type="dxa"/>
            <w:tcBorders/>
            <w:vAlign w:val="center"/>
          </w:tcPr>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Our People &amp; Compensation Committee utilized Revenue Less Ancillary Services for the year ended December 31, 2024 of $474.2 million, which excludes revenue from the Invoiced acquisition and adjusts to remove foreign currency exchange rate fluctuations. Our Revenue Less Ancillary Services for the year ended December 31, 2023 was adjusted to $377.1 million based on </w:t>
            </w:r>
          </w:p>
          <w:p>
            <w:pPr>
              <w:pStyle w:val="TableContents"/>
              <w:bidi w:val="0"/>
              <w:spacing w:before="0" w:after="0"/>
              <w:jc w:val="left"/>
              <w:rPr>
                <w:rFonts w:ascii="ARIAL" w:hAnsi="ARIAL"/>
                <w:color w:val="333333"/>
                <w:spacing w:val="0"/>
                <w:sz w:val="14"/>
              </w:rPr>
            </w:pPr>
            <w:r>
              <w:rPr>
                <w:rFonts w:ascii="ARIAL" w:hAnsi="ARIAL"/>
                <w:color w:val="333333"/>
                <w:spacing w:val="0"/>
                <w:sz w:val="14"/>
              </w:rPr>
              <w:t>pre-determined</w:t>
            </w:r>
          </w:p>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adjustments related to excluding revenue from the StudyLink acquisition and the revenue portion for the Travel business above an internal target was discounted 50%. While we use numerous financial and </w:t>
            </w:r>
          </w:p>
          <w:p>
            <w:pPr>
              <w:pStyle w:val="TableContents"/>
              <w:bidi w:val="0"/>
              <w:spacing w:before="0" w:after="0"/>
              <w:jc w:val="left"/>
              <w:rPr>
                <w:rFonts w:ascii="ARIAL" w:hAnsi="ARIAL"/>
                <w:color w:val="333333"/>
                <w:spacing w:val="0"/>
                <w:sz w:val="14"/>
              </w:rPr>
            </w:pPr>
            <w:r>
              <w:rPr>
                <w:rFonts w:ascii="ARIAL" w:hAnsi="ARIAL"/>
                <w:color w:val="333333"/>
                <w:spacing w:val="0"/>
                <w:sz w:val="14"/>
              </w:rPr>
              <w:t>non-financial</w:t>
            </w:r>
          </w:p>
          <w:p>
            <w:pPr>
              <w:pStyle w:val="TableContents"/>
              <w:bidi w:val="0"/>
              <w:spacing w:before="0" w:after="0"/>
              <w:jc w:val="left"/>
              <w:rPr>
                <w:rFonts w:ascii="ARIAL" w:hAnsi="ARIAL"/>
                <w:color w:val="333333"/>
                <w:spacing w:val="0"/>
                <w:sz w:val="14"/>
              </w:rPr>
            </w:pPr>
            <w:r>
              <w:rPr>
                <w:rFonts w:ascii="ARIAL" w:hAnsi="ARIAL"/>
                <w:color w:val="333333"/>
                <w:spacing w:val="0"/>
                <w:sz w:val="14"/>
              </w:rPr>
              <w:t xml:space="preserve">performance measures for the purpose of evaluating performance for our compensation programs, we have determined that Revenue Less Ancillary Services is the financial performance measure that, in our assessment, represents the most important performance measure (that is not otherwise required to be disclosed in the table) used by us to link compensation actually paid to the our NEOs, for the most recently completed fiscal year, to our performance. </w:t>
            </w:r>
          </w:p>
        </w:tc>
      </w:tr>
    </w:tbl>
    <w:p>
      <w:pPr>
        <w:pStyle w:val="TextBody"/>
        <w:bidi w:val="0"/>
        <w:spacing w:before="0" w:after="0"/>
        <w:jc w:val="left"/>
        <w:rPr/>
      </w:pPr>
      <w:r>
        <w:rPr/>
        <w:t> </w:t>
      </w:r>
    </w:p>
    <w:p>
      <w:pPr>
        <w:pStyle w:val="TextBody"/>
        <w:bidi w:val="0"/>
        <w:spacing w:before="0" w:after="0"/>
        <w:jc w:val="center"/>
        <w:rPr>
          <w:rFonts w:ascii="ARIAL" w:hAnsi="ARIAL"/>
          <w:b/>
          <w:spacing w:val="0"/>
          <w:sz w:val="14"/>
        </w:rPr>
      </w:pPr>
      <w:r>
        <w:rPr>
          <w:rFonts w:ascii="ARIAL" w:hAnsi="ARIAL"/>
          <w:b/>
          <w:spacing w:val="0"/>
          <w:sz w:val="14"/>
        </w:rPr>
        <w:t>Flywire Corporation   44   2025 Proxy Statement</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FINANCIAL PERFORMANCE MEASURES </w:t>
      </w:r>
    </w:p>
    <w:p>
      <w:pPr>
        <w:pStyle w:val="TextBody"/>
        <w:bidi w:val="0"/>
        <w:spacing w:before="200" w:after="0"/>
        <w:jc w:val="left"/>
        <w:rPr>
          <w:rFonts w:ascii="ARIAL" w:hAnsi="ARIAL"/>
          <w:sz w:val="18"/>
        </w:rPr>
      </w:pPr>
      <w:r>
        <w:rPr>
          <w:rFonts w:ascii="ARIAL" w:hAnsi="ARIAL"/>
          <w:sz w:val="18"/>
        </w:rPr>
        <w:t xml:space="preserve">As described in greater detail in the section “Executive Compensation – Compensation Discussion and Analysis” above, our executive compensation program reflects a pay for performance philosophy. Annual performance-based cash bonuses are tied primarily to achievement of corporate short-term financial goals and, for certain executives, individual performance. Long term incentive awards deliver value based on the performance of our common stock. The most important financial performance measures used by us to link executive compensation actually paid to our NEOs, for the most recently completed fiscal year, to our performance are as follows: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75"/>
        <w:gridCol w:w="110"/>
        <w:gridCol w:w="60"/>
        <w:gridCol w:w="3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jc w:val="left"/>
              <w:rPr>
                <w:rFonts w:ascii="ARIAL" w:hAnsi="ARIAL"/>
                <w:sz w:val="18"/>
              </w:rPr>
            </w:pPr>
            <w:r>
              <w:rPr>
                <w:rFonts w:ascii="ARIAL" w:hAnsi="ARIAL"/>
                <w:sz w:val="18"/>
              </w:rPr>
              <w:t xml:space="preserve">Revenue Less Ancillary Services; and </w:t>
            </w:r>
          </w:p>
        </w:tc>
      </w:tr>
    </w:tbl>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75"/>
        <w:gridCol w:w="110"/>
        <w:gridCol w:w="60"/>
        <w:gridCol w:w="1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rFonts w:ascii="ARIAL" w:hAnsi="ARIAL"/>
                <w:sz w:val="18"/>
              </w:rPr>
            </w:pPr>
            <w:r>
              <w:rPr>
                <w:rFonts w:ascii="ARIAL" w:hAnsi="ARIAL"/>
                <w:sz w:val="18"/>
              </w:rPr>
              <w:t xml:space="preserve">Adjusted EBITDA </w:t>
            </w:r>
          </w:p>
        </w:tc>
      </w:tr>
    </w:tbl>
    <w:p>
      <w:pPr>
        <w:pStyle w:val="TextBody"/>
        <w:bidi w:val="0"/>
        <w:spacing w:before="200" w:after="0"/>
        <w:jc w:val="left"/>
        <w:rPr>
          <w:rFonts w:ascii="ARIAL" w:hAnsi="ARIAL"/>
          <w:sz w:val="18"/>
        </w:rPr>
      </w:pPr>
      <w:r>
        <w:rPr>
          <w:rFonts w:ascii="ARIAL" w:hAnsi="ARIAL"/>
          <w:sz w:val="18"/>
        </w:rPr>
        <w:t xml:space="preserve">ANALYSIS OF THE INFORMATION PRESENTED IN THE PAY VERSUS PERFORMANCE TABLE </w:t>
      </w:r>
    </w:p>
    <w:p>
      <w:pPr>
        <w:pStyle w:val="TextBody"/>
        <w:bidi w:val="0"/>
        <w:spacing w:before="200" w:after="0"/>
        <w:jc w:val="left"/>
        <w:rPr>
          <w:rFonts w:ascii="ARIAL" w:hAnsi="ARIAL"/>
          <w:sz w:val="18"/>
        </w:rPr>
      </w:pPr>
      <w:r>
        <w:rPr>
          <w:rFonts w:ascii="ARIAL" w:hAnsi="ARIAL"/>
          <w:sz w:val="18"/>
        </w:rPr>
        <w:t xml:space="preserve">As described in more detail in the section “Executive Compensation – Compensation Discussion and Analysis” above, our executive compensation program reflects a pay for performance philosophy. While we utilize several performance measures to align executive compensation with our performance, all of those measures are not presented in the Pay versus Performance table. Moreover, we generally seek to incentivize long-term performance, and therefore do not specifically align our performance measures with compensation that is actually paid (as computed in accordance with Item 402(v) of Regulation </w:t>
      </w:r>
    </w:p>
    <w:p>
      <w:pPr>
        <w:pStyle w:val="TextBody"/>
        <w:bidi w:val="0"/>
        <w:spacing w:before="200" w:after="0"/>
        <w:jc w:val="left"/>
        <w:rPr>
          <w:rFonts w:ascii="ARIAL" w:hAnsi="ARIAL"/>
          <w:spacing w:val="0"/>
          <w:sz w:val="18"/>
        </w:rPr>
      </w:pPr>
      <w:r>
        <w:rPr>
          <w:rFonts w:ascii="ARIAL" w:hAnsi="ARIAL"/>
          <w:spacing w:val="0"/>
          <w:sz w:val="18"/>
        </w:rPr>
        <w:t>S-K)</w:t>
      </w:r>
    </w:p>
    <w:p>
      <w:pPr>
        <w:pStyle w:val="TextBody"/>
        <w:bidi w:val="0"/>
        <w:spacing w:before="200" w:after="0"/>
        <w:jc w:val="left"/>
        <w:rPr>
          <w:rFonts w:ascii="ARIAL" w:hAnsi="ARIAL"/>
          <w:sz w:val="18"/>
        </w:rPr>
      </w:pPr>
      <w:r>
        <w:rPr>
          <w:rFonts w:ascii="ARIAL" w:hAnsi="ARIAL"/>
          <w:sz w:val="18"/>
        </w:rPr>
        <w:t xml:space="preserve">for a particular year. In accordance with Item 402(v) of Regulation </w:t>
      </w:r>
    </w:p>
    <w:p>
      <w:pPr>
        <w:pStyle w:val="TextBody"/>
        <w:bidi w:val="0"/>
        <w:spacing w:before="200" w:after="0"/>
        <w:jc w:val="left"/>
        <w:rPr>
          <w:rFonts w:ascii="ARIAL" w:hAnsi="ARIAL"/>
          <w:spacing w:val="0"/>
          <w:sz w:val="18"/>
        </w:rPr>
      </w:pPr>
      <w:r>
        <w:rPr>
          <w:rFonts w:ascii="ARIAL" w:hAnsi="ARIAL"/>
          <w:spacing w:val="0"/>
          <w:sz w:val="18"/>
        </w:rPr>
        <w:t>S-K,</w:t>
      </w:r>
    </w:p>
    <w:p>
      <w:pPr>
        <w:pStyle w:val="TextBody"/>
        <w:bidi w:val="0"/>
        <w:spacing w:before="200" w:after="0"/>
        <w:jc w:val="left"/>
        <w:rPr>
          <w:rFonts w:ascii="ARIAL" w:hAnsi="ARIAL"/>
          <w:sz w:val="18"/>
        </w:rPr>
      </w:pPr>
      <w:r>
        <w:rPr>
          <w:rFonts w:ascii="ARIAL" w:hAnsi="ARIAL"/>
          <w:sz w:val="18"/>
        </w:rPr>
        <w:t xml:space="preserve">we are providing the following descriptions of the relationships between information presented in the Pay versus Performance table. </w:t>
      </w:r>
    </w:p>
    <w:p>
      <w:pPr>
        <w:pStyle w:val="TextBody"/>
        <w:bidi w:val="0"/>
        <w:spacing w:before="200" w:after="0"/>
        <w:jc w:val="left"/>
        <w:rPr>
          <w:rFonts w:ascii="ARIAL" w:hAnsi="ARIAL"/>
          <w:sz w:val="18"/>
        </w:rPr>
      </w:pPr>
      <w:r>
        <w:rPr>
          <w:rFonts w:ascii="ARIAL" w:hAnsi="ARIAL"/>
          <w:sz w:val="18"/>
        </w:rPr>
        <w:t xml:space="preserve">COMPENSATION ACTUALLY PAID AND CUMULATIVE TSR </w:t>
      </w:r>
    </w:p>
    <w:p>
      <w:pPr>
        <w:pStyle w:val="TextBody"/>
        <w:bidi w:val="0"/>
        <w:spacing w:before="200" w:after="0"/>
        <w:jc w:val="left"/>
        <w:rPr>
          <w:rFonts w:ascii="ARIAL" w:hAnsi="ARIAL"/>
          <w:sz w:val="18"/>
        </w:rPr>
      </w:pPr>
      <w:r>
        <w:rPr>
          <w:rFonts w:ascii="ARIAL" w:hAnsi="ARIAL"/>
          <w:sz w:val="18"/>
        </w:rPr>
        <w:t xml:space="preserve">As demonstrated by the following graph, the amount of compensation actually paid (CAP) to Mr. Massaro and the average amount of compensation actually paid to our NEOs as a group (excluding Mr. Massaro) is aligned with our cumulative TSR over the four years presented in the table. The alignment of compensation actually paid with our cumulative TSR over the period presented is because a significant portion of the compensation actually paid to Mr. Massaro and to the other NEOs is comprised of equity awards. As described in more detail in the section “Executive Compensation – Compensation Discussion and Analysis” above, in Fiscal 2024, we granted an average of over 80% of our NEOs’ target direct compensation as equity-based compensation in the form of RSUs. </w:t>
      </w:r>
    </w:p>
    <w:p>
      <w:pPr>
        <w:pStyle w:val="TextBody"/>
        <w:bidi w:val="0"/>
        <w:spacing w:before="0" w:after="0"/>
        <w:jc w:val="left"/>
        <w:rPr/>
      </w:pPr>
      <w:r>
        <w:rPr/>
        <w:t> </w:t>
      </w:r>
    </w:p>
    <w:p>
      <w:pPr>
        <w:pStyle w:val="TextBody"/>
        <w:bidi w:val="0"/>
        <w:spacing w:before="0" w:after="0"/>
        <w:jc w:val="center"/>
        <w:rPr/>
      </w:pPr>
      <w:r>
        <w:rPr/>
        <w:drawing>
          <wp:inline distT="0" distB="0" distL="0" distR="0">
            <wp:extent cx="5038725" cy="2752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038725" cy="2752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b/>
          <w:spacing w:val="0"/>
          <w:sz w:val="14"/>
        </w:rPr>
      </w:pPr>
      <w:r>
        <w:rPr>
          <w:rFonts w:ascii="ARIAL" w:hAnsi="ARIAL"/>
          <w:b/>
          <w:spacing w:val="0"/>
          <w:sz w:val="14"/>
        </w:rPr>
        <w:t>Flywire Corporation   45   2025 Proxy Statement</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COMPENSATION ACTUALLY PAID AND NET INCOME (LOSS) </w:t>
      </w:r>
    </w:p>
    <w:p>
      <w:pPr>
        <w:pStyle w:val="TextBody"/>
        <w:bidi w:val="0"/>
        <w:spacing w:before="200" w:after="0"/>
        <w:jc w:val="left"/>
        <w:rPr>
          <w:rFonts w:ascii="ARIAL" w:hAnsi="ARIAL"/>
          <w:sz w:val="18"/>
        </w:rPr>
      </w:pPr>
      <w:r>
        <w:rPr>
          <w:rFonts w:ascii="ARIAL" w:hAnsi="ARIAL"/>
          <w:sz w:val="18"/>
        </w:rPr>
        <w:t>As demonstrated by the following table, the amount of compensation actually paid (CAP) to Mr. Massaro and the average amount of compensation actually paid to our NEOs as a group (excluding Mr. Massaro) is generally aligned with our net income (loss) over the four years presented in the table. Due to the emphasis we place on equity compen</w:t>
      </w:r>
    </w:p>
    <w:p>
      <w:pPr>
        <w:pStyle w:val="TextBody"/>
        <w:bidi w:val="0"/>
        <w:spacing w:before="200" w:after="0"/>
        <w:jc w:val="left"/>
        <w:rPr>
          <w:rFonts w:ascii="ARIAL" w:hAnsi="ARIAL"/>
          <w:spacing w:val="0"/>
          <w:sz w:val="18"/>
        </w:rPr>
      </w:pPr>
      <w:r>
        <w:rPr>
          <w:rFonts w:ascii="ARIAL" w:hAnsi="ARIAL"/>
          <w:spacing w:val="0"/>
          <w:sz w:val="18"/>
        </w:rPr>
        <w:t>satio</w:t>
      </w:r>
    </w:p>
    <w:p>
      <w:pPr>
        <w:pStyle w:val="TextBody"/>
        <w:bidi w:val="0"/>
        <w:spacing w:before="200" w:after="0"/>
        <w:jc w:val="left"/>
        <w:rPr>
          <w:rFonts w:ascii="ARIAL" w:hAnsi="ARIAL"/>
          <w:sz w:val="18"/>
        </w:rPr>
      </w:pPr>
      <w:r>
        <w:rPr>
          <w:rFonts w:ascii="ARIAL" w:hAnsi="ARIAL"/>
          <w:sz w:val="18"/>
        </w:rPr>
        <w:t xml:space="preserve">n, stock return is the primary driver of CAP for the four years shown in the chart. Equity compensation is sensitive to stock prices.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038725" cy="27527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038725" cy="2752725"/>
                    </a:xfrm>
                    <a:prstGeom prst="rect">
                      <a:avLst/>
                    </a:prstGeom>
                  </pic:spPr>
                </pic:pic>
              </a:graphicData>
            </a:graphic>
          </wp:inline>
        </w:drawing>
      </w:r>
      <w:r>
        <w:rPr/>
        <w:t xml:space="preserve"> </w:t>
      </w:r>
    </w:p>
    <w:p>
      <w:pPr>
        <w:pStyle w:val="TextBody"/>
        <w:bidi w:val="0"/>
        <w:spacing w:before="200" w:after="0"/>
        <w:jc w:val="left"/>
        <w:rPr>
          <w:rFonts w:ascii="ARIAL" w:hAnsi="ARIAL"/>
          <w:sz w:val="18"/>
        </w:rPr>
      </w:pPr>
      <w:r>
        <w:rPr>
          <w:rFonts w:ascii="ARIAL" w:hAnsi="ARIAL"/>
          <w:sz w:val="18"/>
        </w:rPr>
        <w:t xml:space="preserve">COMPENSATION ACTUALLY PAID AND REVENUE LESS ANCILLARY SERVICES </w:t>
      </w:r>
    </w:p>
    <w:p>
      <w:pPr>
        <w:pStyle w:val="TextBody"/>
        <w:bidi w:val="0"/>
        <w:spacing w:before="200" w:after="0"/>
        <w:jc w:val="left"/>
        <w:rPr>
          <w:rFonts w:ascii="ARIAL" w:hAnsi="ARIAL"/>
          <w:sz w:val="18"/>
        </w:rPr>
      </w:pPr>
      <w:r>
        <w:rPr>
          <w:rFonts w:ascii="ARIAL" w:hAnsi="ARIAL"/>
          <w:sz w:val="18"/>
        </w:rPr>
        <w:t xml:space="preserve">As demonstrated by the following graph, the amount of compensation actually paid to Mr. Massaro and the average amount of compensation actually paid to our NEOs as a group (excluding Mr. Massaro) is not aligned with our Revenue Less Ancillary Services, as modified by our Compensation Committee, over the four years presented in the table. This is largely due to the emphasis we place on equity compensation, which is sensitive to stock price changes.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038725" cy="27527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038725" cy="275272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center"/>
        <w:rPr>
          <w:rFonts w:ascii="ARIAL" w:hAnsi="ARIAL"/>
          <w:b/>
          <w:spacing w:val="0"/>
          <w:sz w:val="14"/>
        </w:rPr>
      </w:pPr>
      <w:r>
        <w:rPr>
          <w:rFonts w:ascii="ARIAL" w:hAnsi="ARIAL"/>
          <w:b/>
          <w:spacing w:val="0"/>
          <w:sz w:val="14"/>
        </w:rPr>
        <w:t>Flywire Corporation   46   2025 Proxy Statement</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OUR CUMULATIVE TSR AND CUMULATIVE TSR OF THE PEER GROUP </w:t>
      </w:r>
    </w:p>
    <w:p>
      <w:pPr>
        <w:pStyle w:val="TextBody"/>
        <w:bidi w:val="0"/>
        <w:spacing w:before="200" w:after="0"/>
        <w:jc w:val="left"/>
        <w:rPr>
          <w:rFonts w:ascii="ARIAL" w:hAnsi="ARIAL"/>
          <w:sz w:val="18"/>
        </w:rPr>
      </w:pPr>
      <w:r>
        <w:rPr>
          <w:rFonts w:ascii="ARIAL" w:hAnsi="ARIAL"/>
          <w:sz w:val="18"/>
        </w:rPr>
        <w:t xml:space="preserve">As demonstrated by the following graph, our cumulative TSR over the four-year period presented in the table was </w:t>
      </w:r>
    </w:p>
    <w:p>
      <w:pPr>
        <w:pStyle w:val="TextBody"/>
        <w:bidi w:val="0"/>
        <w:spacing w:before="200" w:after="0"/>
        <w:jc w:val="left"/>
        <w:rPr>
          <w:rFonts w:ascii="ARIAL" w:hAnsi="ARIAL"/>
          <w:spacing w:val="0"/>
          <w:sz w:val="18"/>
        </w:rPr>
      </w:pPr>
      <w:r>
        <w:rPr>
          <w:rFonts w:ascii="ARIAL" w:hAnsi="ARIAL"/>
          <w:spacing w:val="0"/>
          <w:sz w:val="18"/>
        </w:rPr>
        <w:t>-14.1%,</w:t>
      </w:r>
    </w:p>
    <w:p>
      <w:pPr>
        <w:pStyle w:val="TextBody"/>
        <w:bidi w:val="0"/>
        <w:spacing w:before="200" w:after="0"/>
        <w:jc w:val="left"/>
        <w:rPr>
          <w:rFonts w:ascii="ARIAL" w:hAnsi="ARIAL"/>
          <w:sz w:val="18"/>
        </w:rPr>
      </w:pPr>
      <w:r>
        <w:rPr>
          <w:rFonts w:ascii="ARIAL" w:hAnsi="ARIAL"/>
          <w:sz w:val="18"/>
        </w:rPr>
        <w:t xml:space="preserve">while the cumulative TSR of the peer group presented for this purpose, S&amp;P 500 – Information Technology Sector, was 89.5% over the four years presented in the table. Our cumulative TSR underperformed the S&amp;P 500 – Information Technology Sector during the four years presented in the table. For more information regarding our performance and the peer group of companies that our Compensation Committee considers when determining compensation, refer to Executive Compensation – Compensation Discussion and Analysis. </w:t>
      </w:r>
    </w:p>
    <w:p>
      <w:pPr>
        <w:pStyle w:val="TextBody"/>
        <w:bidi w:val="0"/>
        <w:spacing w:before="0" w:after="0"/>
        <w:jc w:val="left"/>
        <w:rPr/>
      </w:pPr>
      <w:r>
        <w:rPr/>
        <w:t> </w:t>
      </w:r>
    </w:p>
    <w:p>
      <w:pPr>
        <w:pStyle w:val="TextBody"/>
        <w:bidi w:val="0"/>
        <w:spacing w:before="0" w:after="0"/>
        <w:jc w:val="center"/>
        <w:rPr/>
      </w:pPr>
      <w:r>
        <w:rPr/>
        <w:drawing>
          <wp:inline distT="0" distB="0" distL="0" distR="0">
            <wp:extent cx="5038725" cy="27527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038725" cy="2752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center"/>
        <w:rPr>
          <w:rFonts w:ascii="ARIAL" w:hAnsi="ARIAL"/>
          <w:b/>
          <w:spacing w:val="0"/>
          <w:sz w:val="14"/>
        </w:rPr>
      </w:pPr>
      <w:r>
        <w:rPr>
          <w:rFonts w:ascii="ARIAL" w:hAnsi="ARIAL"/>
          <w:b/>
          <w:spacing w:val="0"/>
          <w:sz w:val="14"/>
        </w:rPr>
        <w:t>Flywire Corporation   47   2025 Proxy Statement</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393FF"/>
          <w:sz w:val="56"/>
        </w:rPr>
      </w:pPr>
      <w:bookmarkStart w:id="45" w:name="toc917810_44"/>
      <w:bookmarkEnd w:id="45"/>
      <w:r>
        <w:rPr>
          <w:rFonts w:ascii="ARIAL" w:hAnsi="ARIAL"/>
          <w:b/>
          <w:color w:val="2393FF"/>
          <w:sz w:val="56"/>
        </w:rPr>
        <w:t xml:space="preserve">Security Ownership of Certain Beneficial Owners and Management </w:t>
      </w:r>
    </w:p>
    <w:p>
      <w:pPr>
        <w:pStyle w:val="TextBody"/>
        <w:bidi w:val="0"/>
        <w:spacing w:before="0" w:after="0"/>
        <w:jc w:val="left"/>
        <w:rPr/>
      </w:pPr>
      <w:r>
        <w:rPr/>
        <w:t> </w:t>
      </w:r>
    </w:p>
    <w:p>
      <w:pPr>
        <w:pStyle w:val="TextBody"/>
        <w:bidi w:val="0"/>
        <w:spacing w:lineRule="atLeast" w:line="142" w:before="0" w:after="40"/>
        <w:jc w:val="left"/>
        <w:rPr>
          <w:bdr w:val="single" w:sz="8" w:space="1" w:color="2393FF"/>
        </w:rPr>
      </w:pPr>
      <w:r>
        <w:rPr>
          <w:bdr w:val="single" w:sz="8" w:space="1" w:color="2393FF"/>
        </w:rPr>
        <w:t> </w:t>
      </w:r>
    </w:p>
    <w:p>
      <w:pPr>
        <w:pStyle w:val="TextBody"/>
        <w:bidi w:val="0"/>
        <w:spacing w:before="200" w:after="0"/>
        <w:jc w:val="left"/>
        <w:rPr>
          <w:rFonts w:ascii="ARIAL" w:hAnsi="ARIAL"/>
          <w:sz w:val="18"/>
        </w:rPr>
      </w:pPr>
      <w:r>
        <w:rPr>
          <w:rFonts w:ascii="ARIAL" w:hAnsi="ARIAL"/>
          <w:sz w:val="18"/>
        </w:rPr>
        <w:t xml:space="preserve">The following table sets forth certain information with respect to the beneficial ownership of our voting common stock as of April 8, 2025 for: </w:t>
      </w:r>
    </w:p>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ARIAL" w:hAnsi="ARIAL"/>
                <w:sz w:val="18"/>
              </w:rPr>
            </w:pPr>
            <w:r>
              <w:rPr>
                <w:rFonts w:ascii="ARIAL" w:hAnsi="ARIAL"/>
                <w:sz w:val="18"/>
              </w:rPr>
              <w:t xml:space="preserve">each of our named executive officers; </w:t>
            </w:r>
          </w:p>
        </w:tc>
      </w:tr>
    </w:tbl>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75"/>
        <w:gridCol w:w="110"/>
        <w:gridCol w:w="60"/>
        <w:gridCol w:w="2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left"/>
              <w:rPr>
                <w:rFonts w:ascii="ARIAL" w:hAnsi="ARIAL"/>
                <w:sz w:val="18"/>
              </w:rPr>
            </w:pPr>
            <w:r>
              <w:rPr>
                <w:rFonts w:ascii="ARIAL" w:hAnsi="ARIAL"/>
                <w:sz w:val="18"/>
              </w:rPr>
              <w:t xml:space="preserve">each of our current directors; </w:t>
            </w:r>
          </w:p>
        </w:tc>
      </w:tr>
    </w:tbl>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75"/>
        <w:gridCol w:w="110"/>
        <w:gridCol w:w="60"/>
        <w:gridCol w:w="5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left"/>
              <w:rPr>
                <w:rFonts w:ascii="ARIAL" w:hAnsi="ARIAL"/>
                <w:sz w:val="18"/>
              </w:rPr>
            </w:pPr>
            <w:r>
              <w:rPr>
                <w:rFonts w:ascii="ARIAL" w:hAnsi="ARIAL"/>
                <w:sz w:val="18"/>
              </w:rPr>
              <w:t xml:space="preserve">all of our current executive officers and directors as a group;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each stockholder known by us to be the beneficial owner of more than 5% of our outstanding shares of voting common stock </w:t>
            </w:r>
          </w:p>
        </w:tc>
      </w:tr>
    </w:tbl>
    <w:p>
      <w:pPr>
        <w:pStyle w:val="TextBody"/>
        <w:bidi w:val="0"/>
        <w:spacing w:before="200" w:after="0"/>
        <w:jc w:val="left"/>
        <w:rPr>
          <w:rFonts w:ascii="ARIAL" w:hAnsi="ARIAL"/>
          <w:sz w:val="18"/>
        </w:rPr>
      </w:pPr>
      <w:r>
        <w:rPr>
          <w:rFonts w:ascii="ARIAL" w:hAnsi="ARIAL"/>
          <w:sz w:val="18"/>
        </w:rPr>
        <w:t xml:space="preserve">The table below is based upon information supplied by officers, directors and principal stockholders and Schedule 13Gs and 13Ds filed with the SEC through April 8, 2025. </w:t>
      </w:r>
    </w:p>
    <w:p>
      <w:pPr>
        <w:pStyle w:val="TextBody"/>
        <w:bidi w:val="0"/>
        <w:spacing w:before="200" w:after="0"/>
        <w:jc w:val="left"/>
        <w:rPr>
          <w:rFonts w:ascii="ARIAL" w:hAnsi="ARIAL"/>
          <w:sz w:val="18"/>
        </w:rPr>
      </w:pPr>
      <w:r>
        <w:rPr>
          <w:rFonts w:ascii="ARIAL" w:hAnsi="ARIAL"/>
          <w:sz w:val="18"/>
        </w:rPr>
        <w:t xml:space="preserve">The percentage ownership is based upon 120,004,210 shares of voting common stock outstanding as of April 8, 2025. For purposes of the table below, we deem shares of common stock subject to options that are currently exercisable or exercisable within sixty (60) days of April 8, 2025 and common stock subject to restricted stock unit awards that will vest within sixty (60) days of April 8, 2025 to be outstanding and to be beneficially owned by the person holding the options or restricted stock unit award for the purpose of computing the percentage ownership of that person, but we do not treat them as outstanding for the purpose of computing the percentage ownership of any other person. Except as otherwise noted, the persons or entities in this table have sole voting and investing power with respect to all of the shares of common stock beneficially owned by them, subject to community property laws, where applicable. Certain stockholders listed in the table also hold non-voting common stock, which are not entitled to vote at the Annual Meeting, as described in the relevant footnotes to the table below. Unless otherwise indicated, the address of each beneficial owner listed in the table below is c/o Flywire Corporation, 141 Tremont St., 10th Floor, Boston, Massachusetts 02111.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  48  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COMMON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90"/>
        <w:gridCol w:w="120"/>
        <w:gridCol w:w="1385"/>
        <w:gridCol w:w="120"/>
        <w:gridCol w:w="2990"/>
      </w:tblGrid>
      <w:tr>
        <w:trPr/>
        <w:tc>
          <w:tcPr>
            <w:tcW w:w="5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283"/>
              <w:jc w:val="left"/>
              <w:rPr/>
            </w:pPr>
            <w:r>
              <w:rPr/>
              <w:t> </w:t>
            </w:r>
            <w:r>
              <w:rPr>
                <w:b/>
              </w:rPr>
              <w:t>NAME OF BENEFICIAL OWNER</w:t>
            </w:r>
          </w:p>
        </w:tc>
        <w:tc>
          <w:tcPr>
            <w:tcW w:w="1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rFonts w:ascii="ARIAL" w:hAnsi="ARIAL"/>
                <w:b/>
                <w:sz w:val="14"/>
              </w:rPr>
            </w:pPr>
            <w:r>
              <w:rPr>
                <w:rFonts w:ascii="ARIAL" w:hAnsi="ARIAL"/>
                <w:b/>
                <w:sz w:val="14"/>
              </w:rPr>
              <w:t>NUMBER OF SHARES</w:t>
            </w:r>
          </w:p>
          <w:p>
            <w:pPr>
              <w:pStyle w:val="TableContents"/>
              <w:bidi w:val="0"/>
              <w:spacing w:before="0" w:after="0"/>
              <w:jc w:val="center"/>
              <w:rPr>
                <w:rFonts w:ascii="ARIAL" w:hAnsi="ARIAL"/>
                <w:b/>
                <w:sz w:val="14"/>
              </w:rPr>
            </w:pPr>
            <w:r>
              <w:rPr>
                <w:rFonts w:ascii="ARIAL" w:hAnsi="ARIAL"/>
                <w:b/>
                <w:sz w:val="14"/>
              </w:rPr>
              <w:t>OF VOTING</w:t>
            </w:r>
          </w:p>
          <w:p>
            <w:pPr>
              <w:pStyle w:val="TableContents"/>
              <w:bidi w:val="0"/>
              <w:spacing w:before="0" w:after="0"/>
              <w:jc w:val="center"/>
              <w:rPr>
                <w:rFonts w:ascii="ARIAL" w:hAnsi="ARIAL"/>
                <w:b/>
                <w:sz w:val="14"/>
              </w:rPr>
            </w:pPr>
            <w:r>
              <w:rPr>
                <w:rFonts w:ascii="ARIAL" w:hAnsi="ARIAL"/>
                <w:b/>
                <w:sz w:val="14"/>
              </w:rPr>
              <w:t>COMMON</w:t>
            </w:r>
          </w:p>
          <w:p>
            <w:pPr>
              <w:pStyle w:val="TableContents"/>
              <w:bidi w:val="0"/>
              <w:spacing w:before="0" w:after="20"/>
              <w:jc w:val="center"/>
              <w:rPr>
                <w:rFonts w:ascii="ARIAL" w:hAnsi="ARIAL"/>
                <w:b/>
                <w:sz w:val="14"/>
              </w:rPr>
            </w:pPr>
            <w:r>
              <w:rPr>
                <w:rFonts w:ascii="ARIAL" w:hAnsi="ARIAL"/>
                <w:b/>
                <w:sz w:val="14"/>
              </w:rPr>
              <w:t>STOCK</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b/>
              </w:rPr>
            </w:pPr>
            <w:r>
              <w:rPr>
                <w:b/>
              </w:rPr>
              <w:t>PERCENTAGE OF CLASS</w:t>
            </w:r>
          </w:p>
        </w:tc>
      </w:tr>
      <w:tr>
        <w:trPr/>
        <w:tc>
          <w:tcPr>
            <w:tcW w:w="5590" w:type="dxa"/>
            <w:tcBorders/>
            <w:shd w:fill="2393FF" w:val="clear"/>
            <w:vAlign w:val="center"/>
          </w:tcPr>
          <w:p>
            <w:pPr>
              <w:pStyle w:val="TableContents"/>
              <w:bidi w:val="0"/>
              <w:spacing w:before="0" w:after="283"/>
              <w:jc w:val="left"/>
              <w:rPr>
                <w:sz w:val="4"/>
                <w:szCs w:val="4"/>
              </w:rPr>
            </w:pPr>
            <w:r>
              <w:rPr>
                <w:sz w:val="4"/>
                <w:szCs w:val="4"/>
              </w:rPr>
            </w:r>
          </w:p>
        </w:tc>
        <w:tc>
          <w:tcPr>
            <w:tcW w:w="1505" w:type="dxa"/>
            <w:gridSpan w:val="2"/>
            <w:tcBorders/>
            <w:shd w:fill="2393FF" w:val="clear"/>
            <w:vAlign w:val="center"/>
          </w:tcPr>
          <w:p>
            <w:pPr>
              <w:pStyle w:val="TableContents"/>
              <w:bidi w:val="0"/>
              <w:spacing w:before="0" w:after="283"/>
              <w:jc w:val="left"/>
              <w:rPr>
                <w:sz w:val="4"/>
                <w:szCs w:val="4"/>
              </w:rPr>
            </w:pPr>
            <w:r>
              <w:rPr>
                <w:sz w:val="4"/>
                <w:szCs w:val="4"/>
              </w:rPr>
            </w:r>
          </w:p>
        </w:tc>
        <w:tc>
          <w:tcPr>
            <w:tcW w:w="3110" w:type="dxa"/>
            <w:gridSpan w:val="2"/>
            <w:tcBorders/>
            <w:shd w:fill="2393FF" w:val="clear"/>
            <w:vAlign w:val="center"/>
          </w:tcPr>
          <w:p>
            <w:pPr>
              <w:pStyle w:val="TableContents"/>
              <w:bidi w:val="0"/>
              <w:spacing w:before="0" w:after="283"/>
              <w:jc w:val="left"/>
              <w:rPr>
                <w:sz w:val="4"/>
                <w:szCs w:val="4"/>
              </w:rPr>
            </w:pPr>
            <w:r>
              <w:rPr>
                <w:sz w:val="4"/>
                <w:szCs w:val="4"/>
              </w:rPr>
            </w:r>
          </w:p>
        </w:tc>
      </w:tr>
      <w:tr>
        <w:trPr/>
        <w:tc>
          <w:tcPr>
            <w:tcW w:w="5590" w:type="dxa"/>
            <w:tcBorders/>
            <w:shd w:fill="2393FF" w:val="clear"/>
            <w:vAlign w:val="center"/>
          </w:tcPr>
          <w:p>
            <w:pPr>
              <w:pStyle w:val="TableContents"/>
              <w:bidi w:val="0"/>
              <w:spacing w:before="0" w:after="0"/>
              <w:jc w:val="left"/>
              <w:rPr>
                <w:rFonts w:ascii="ARIAL" w:hAnsi="ARIAL"/>
                <w:b/>
                <w:color w:val="FFFFFF"/>
                <w:sz w:val="16"/>
              </w:rPr>
            </w:pPr>
            <w:r>
              <w:rPr>
                <w:rFonts w:ascii="ARIAL" w:hAnsi="ARIAL"/>
                <w:b/>
                <w:color w:val="FFFFFF"/>
                <w:sz w:val="16"/>
              </w:rPr>
              <w:t>5% or Greater Stockholders</w:t>
            </w:r>
          </w:p>
        </w:tc>
        <w:tc>
          <w:tcPr>
            <w:tcW w:w="120" w:type="dxa"/>
            <w:tcBorders/>
            <w:shd w:fill="2393FF" w:val="clear"/>
            <w:vAlign w:val="center"/>
          </w:tcPr>
          <w:p>
            <w:pPr>
              <w:pStyle w:val="TableContents"/>
              <w:bidi w:val="0"/>
              <w:spacing w:before="0" w:after="283"/>
              <w:jc w:val="left"/>
              <w:rPr/>
            </w:pPr>
            <w:r>
              <w:rPr/>
              <w:t>  </w:t>
            </w:r>
          </w:p>
        </w:tc>
        <w:tc>
          <w:tcPr>
            <w:tcW w:w="1385" w:type="dxa"/>
            <w:tcBorders/>
            <w:shd w:fill="2393FF" w:val="clear"/>
            <w:vAlign w:val="center"/>
          </w:tcPr>
          <w:p>
            <w:pPr>
              <w:pStyle w:val="TableContents"/>
              <w:bidi w:val="0"/>
              <w:spacing w:before="0" w:after="283"/>
              <w:jc w:val="left"/>
              <w:rPr>
                <w:sz w:val="4"/>
                <w:szCs w:val="4"/>
              </w:rPr>
            </w:pPr>
            <w:r>
              <w:rPr>
                <w:sz w:val="4"/>
                <w:szCs w:val="4"/>
              </w:rPr>
            </w:r>
          </w:p>
        </w:tc>
        <w:tc>
          <w:tcPr>
            <w:tcW w:w="120" w:type="dxa"/>
            <w:tcBorders/>
            <w:shd w:fill="2393FF" w:val="clear"/>
            <w:vAlign w:val="center"/>
          </w:tcPr>
          <w:p>
            <w:pPr>
              <w:pStyle w:val="TableContents"/>
              <w:bidi w:val="0"/>
              <w:spacing w:before="0" w:after="283"/>
              <w:jc w:val="left"/>
              <w:rPr/>
            </w:pPr>
            <w:r>
              <w:rPr/>
              <w:t>  </w:t>
            </w:r>
          </w:p>
        </w:tc>
        <w:tc>
          <w:tcPr>
            <w:tcW w:w="2990" w:type="dxa"/>
            <w:tcBorders/>
            <w:shd w:fill="2393FF" w:val="clear"/>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The Vanguard Group, Inc.(1)</w:t>
            </w:r>
          </w:p>
        </w:tc>
        <w:tc>
          <w:tcPr>
            <w:tcW w:w="1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12,186,876</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pPr>
            <w:r>
              <w:rPr/>
              <w:t>10.2%</w:t>
            </w:r>
          </w:p>
        </w:tc>
      </w:tr>
      <w:tr>
        <w:trPr/>
        <w:tc>
          <w:tcPr>
            <w:tcW w:w="5590" w:type="dxa"/>
            <w:tcBorders/>
            <w:shd w:fill="E8F4FF" w:val="clear"/>
            <w:vAlign w:val="center"/>
          </w:tcPr>
          <w:p>
            <w:pPr>
              <w:pStyle w:val="TableContents"/>
              <w:bidi w:val="0"/>
              <w:spacing w:before="0" w:after="283"/>
              <w:jc w:val="left"/>
              <w:rPr>
                <w:sz w:val="4"/>
                <w:szCs w:val="4"/>
              </w:rPr>
            </w:pPr>
            <w:r>
              <w:rPr>
                <w:sz w:val="4"/>
                <w:szCs w:val="4"/>
              </w:rPr>
            </w:r>
          </w:p>
        </w:tc>
        <w:tc>
          <w:tcPr>
            <w:tcW w:w="1505" w:type="dxa"/>
            <w:gridSpan w:val="2"/>
            <w:tcBorders/>
            <w:shd w:fill="E8F4FF" w:val="clear"/>
            <w:vAlign w:val="center"/>
          </w:tcPr>
          <w:p>
            <w:pPr>
              <w:pStyle w:val="TableContents"/>
              <w:bidi w:val="0"/>
              <w:spacing w:before="0" w:after="283"/>
              <w:jc w:val="left"/>
              <w:rPr>
                <w:sz w:val="4"/>
                <w:szCs w:val="4"/>
              </w:rPr>
            </w:pPr>
            <w:r>
              <w:rPr>
                <w:sz w:val="4"/>
                <w:szCs w:val="4"/>
              </w:rPr>
            </w:r>
          </w:p>
        </w:tc>
        <w:tc>
          <w:tcPr>
            <w:tcW w:w="311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559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FMR LLC(2)</w:t>
            </w:r>
          </w:p>
        </w:tc>
        <w:tc>
          <w:tcPr>
            <w:tcW w:w="120" w:type="dxa"/>
            <w:tcBorders/>
            <w:shd w:fill="E8F4FF" w:val="clear"/>
            <w:vAlign w:val="center"/>
          </w:tcPr>
          <w:p>
            <w:pPr>
              <w:pStyle w:val="TableContents"/>
              <w:bidi w:val="0"/>
              <w:spacing w:before="0" w:after="283"/>
              <w:jc w:val="left"/>
              <w:rPr/>
            </w:pPr>
            <w:r>
              <w:rPr/>
              <w:t>  </w:t>
            </w:r>
          </w:p>
        </w:tc>
        <w:tc>
          <w:tcPr>
            <w:tcW w:w="1385" w:type="dxa"/>
            <w:tcBorders/>
            <w:shd w:fill="E8F4FF" w:val="clear"/>
            <w:vAlign w:val="center"/>
          </w:tcPr>
          <w:p>
            <w:pPr>
              <w:pStyle w:val="TableContents"/>
              <w:bidi w:val="0"/>
              <w:spacing w:before="0" w:after="283"/>
              <w:jc w:val="center"/>
              <w:rPr/>
            </w:pPr>
            <w:r>
              <w:rPr/>
              <w:t>11,082,317</w:t>
            </w:r>
          </w:p>
        </w:tc>
        <w:tc>
          <w:tcPr>
            <w:tcW w:w="120" w:type="dxa"/>
            <w:tcBorders/>
            <w:shd w:fill="E8F4FF" w:val="clear"/>
            <w:vAlign w:val="center"/>
          </w:tcPr>
          <w:p>
            <w:pPr>
              <w:pStyle w:val="TableContents"/>
              <w:bidi w:val="0"/>
              <w:spacing w:before="0" w:after="283"/>
              <w:jc w:val="left"/>
              <w:rPr/>
            </w:pPr>
            <w:r>
              <w:rPr/>
              <w:t>  </w:t>
            </w:r>
          </w:p>
        </w:tc>
        <w:tc>
          <w:tcPr>
            <w:tcW w:w="2990" w:type="dxa"/>
            <w:tcBorders/>
            <w:shd w:fill="E8F4FF" w:val="clear"/>
            <w:vAlign w:val="center"/>
          </w:tcPr>
          <w:p>
            <w:pPr>
              <w:pStyle w:val="TableContents"/>
              <w:bidi w:val="0"/>
              <w:spacing w:before="0" w:after="283"/>
              <w:jc w:val="center"/>
              <w:rPr/>
            </w:pPr>
            <w:r>
              <w:rPr/>
              <w:t>9.2%</w:t>
            </w:r>
          </w:p>
        </w:tc>
      </w:tr>
      <w:tr>
        <w:trPr/>
        <w:tc>
          <w:tcPr>
            <w:tcW w:w="559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William Blair Investment Management, LLC(3)</w:t>
            </w:r>
          </w:p>
        </w:tc>
        <w:tc>
          <w:tcPr>
            <w:tcW w:w="1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10,441,790</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pPr>
            <w:r>
              <w:rPr/>
              <w:t>8.7%</w:t>
            </w:r>
          </w:p>
        </w:tc>
      </w:tr>
      <w:tr>
        <w:trPr/>
        <w:tc>
          <w:tcPr>
            <w:tcW w:w="5590" w:type="dxa"/>
            <w:tcBorders/>
            <w:shd w:fill="E8F4FF" w:val="clear"/>
            <w:vAlign w:val="center"/>
          </w:tcPr>
          <w:p>
            <w:pPr>
              <w:pStyle w:val="TableContents"/>
              <w:bidi w:val="0"/>
              <w:spacing w:before="0" w:after="283"/>
              <w:jc w:val="left"/>
              <w:rPr>
                <w:sz w:val="4"/>
                <w:szCs w:val="4"/>
              </w:rPr>
            </w:pPr>
            <w:r>
              <w:rPr>
                <w:sz w:val="4"/>
                <w:szCs w:val="4"/>
              </w:rPr>
            </w:r>
          </w:p>
        </w:tc>
        <w:tc>
          <w:tcPr>
            <w:tcW w:w="1505" w:type="dxa"/>
            <w:gridSpan w:val="2"/>
            <w:tcBorders/>
            <w:shd w:fill="E8F4FF" w:val="clear"/>
            <w:vAlign w:val="center"/>
          </w:tcPr>
          <w:p>
            <w:pPr>
              <w:pStyle w:val="TableContents"/>
              <w:bidi w:val="0"/>
              <w:spacing w:before="0" w:after="283"/>
              <w:jc w:val="left"/>
              <w:rPr>
                <w:sz w:val="4"/>
                <w:szCs w:val="4"/>
              </w:rPr>
            </w:pPr>
            <w:r>
              <w:rPr>
                <w:sz w:val="4"/>
                <w:szCs w:val="4"/>
              </w:rPr>
            </w:r>
          </w:p>
        </w:tc>
        <w:tc>
          <w:tcPr>
            <w:tcW w:w="311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559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Ossa Investments Pte. Ltd(4)</w:t>
            </w:r>
          </w:p>
        </w:tc>
        <w:tc>
          <w:tcPr>
            <w:tcW w:w="120" w:type="dxa"/>
            <w:tcBorders/>
            <w:shd w:fill="E8F4FF" w:val="clear"/>
            <w:vAlign w:val="center"/>
          </w:tcPr>
          <w:p>
            <w:pPr>
              <w:pStyle w:val="TableContents"/>
              <w:bidi w:val="0"/>
              <w:spacing w:before="0" w:after="283"/>
              <w:jc w:val="left"/>
              <w:rPr/>
            </w:pPr>
            <w:r>
              <w:rPr/>
              <w:t>  </w:t>
            </w:r>
          </w:p>
        </w:tc>
        <w:tc>
          <w:tcPr>
            <w:tcW w:w="1385" w:type="dxa"/>
            <w:tcBorders/>
            <w:shd w:fill="E8F4FF" w:val="clear"/>
            <w:vAlign w:val="center"/>
          </w:tcPr>
          <w:p>
            <w:pPr>
              <w:pStyle w:val="TableContents"/>
              <w:bidi w:val="0"/>
              <w:spacing w:before="0" w:after="283"/>
              <w:jc w:val="center"/>
              <w:rPr/>
            </w:pPr>
            <w:r>
              <w:rPr/>
              <w:t>8,684,895</w:t>
            </w:r>
          </w:p>
        </w:tc>
        <w:tc>
          <w:tcPr>
            <w:tcW w:w="120" w:type="dxa"/>
            <w:tcBorders/>
            <w:shd w:fill="E8F4FF" w:val="clear"/>
            <w:vAlign w:val="center"/>
          </w:tcPr>
          <w:p>
            <w:pPr>
              <w:pStyle w:val="TableContents"/>
              <w:bidi w:val="0"/>
              <w:spacing w:before="0" w:after="283"/>
              <w:jc w:val="left"/>
              <w:rPr/>
            </w:pPr>
            <w:r>
              <w:rPr/>
              <w:t>  </w:t>
            </w:r>
          </w:p>
        </w:tc>
        <w:tc>
          <w:tcPr>
            <w:tcW w:w="2990" w:type="dxa"/>
            <w:tcBorders/>
            <w:shd w:fill="E8F4FF" w:val="clear"/>
            <w:vAlign w:val="center"/>
          </w:tcPr>
          <w:p>
            <w:pPr>
              <w:pStyle w:val="TableContents"/>
              <w:bidi w:val="0"/>
              <w:spacing w:before="0" w:after="283"/>
              <w:jc w:val="center"/>
              <w:rPr/>
            </w:pPr>
            <w:r>
              <w:rPr/>
              <w:t>7.2%</w:t>
            </w:r>
          </w:p>
        </w:tc>
      </w:tr>
      <w:tr>
        <w:trPr/>
        <w:tc>
          <w:tcPr>
            <w:tcW w:w="559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BlackRock, Inc.(5)</w:t>
            </w:r>
          </w:p>
        </w:tc>
        <w:tc>
          <w:tcPr>
            <w:tcW w:w="1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7,770,569</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pPr>
            <w:r>
              <w:rPr/>
              <w:t>6.5%</w:t>
            </w:r>
          </w:p>
        </w:tc>
      </w:tr>
      <w:tr>
        <w:trPr/>
        <w:tc>
          <w:tcPr>
            <w:tcW w:w="5590" w:type="dxa"/>
            <w:tcBorders/>
            <w:shd w:fill="2393FF" w:val="clear"/>
            <w:vAlign w:val="center"/>
          </w:tcPr>
          <w:p>
            <w:pPr>
              <w:pStyle w:val="TableContents"/>
              <w:bidi w:val="0"/>
              <w:spacing w:before="0" w:after="283"/>
              <w:jc w:val="left"/>
              <w:rPr>
                <w:sz w:val="4"/>
                <w:szCs w:val="4"/>
              </w:rPr>
            </w:pPr>
            <w:r>
              <w:rPr>
                <w:sz w:val="4"/>
                <w:szCs w:val="4"/>
              </w:rPr>
            </w:r>
          </w:p>
        </w:tc>
        <w:tc>
          <w:tcPr>
            <w:tcW w:w="1505" w:type="dxa"/>
            <w:gridSpan w:val="2"/>
            <w:tcBorders/>
            <w:shd w:fill="2393FF" w:val="clear"/>
            <w:vAlign w:val="center"/>
          </w:tcPr>
          <w:p>
            <w:pPr>
              <w:pStyle w:val="TableContents"/>
              <w:bidi w:val="0"/>
              <w:spacing w:before="0" w:after="283"/>
              <w:jc w:val="left"/>
              <w:rPr>
                <w:sz w:val="4"/>
                <w:szCs w:val="4"/>
              </w:rPr>
            </w:pPr>
            <w:r>
              <w:rPr>
                <w:sz w:val="4"/>
                <w:szCs w:val="4"/>
              </w:rPr>
            </w:r>
          </w:p>
        </w:tc>
        <w:tc>
          <w:tcPr>
            <w:tcW w:w="3110" w:type="dxa"/>
            <w:gridSpan w:val="2"/>
            <w:tcBorders/>
            <w:shd w:fill="2393FF" w:val="clear"/>
            <w:vAlign w:val="center"/>
          </w:tcPr>
          <w:p>
            <w:pPr>
              <w:pStyle w:val="TableContents"/>
              <w:bidi w:val="0"/>
              <w:spacing w:before="0" w:after="283"/>
              <w:jc w:val="left"/>
              <w:rPr>
                <w:sz w:val="4"/>
                <w:szCs w:val="4"/>
              </w:rPr>
            </w:pPr>
            <w:r>
              <w:rPr>
                <w:sz w:val="4"/>
                <w:szCs w:val="4"/>
              </w:rPr>
            </w:r>
          </w:p>
        </w:tc>
      </w:tr>
      <w:tr>
        <w:trPr/>
        <w:tc>
          <w:tcPr>
            <w:tcW w:w="5590" w:type="dxa"/>
            <w:tcBorders/>
            <w:shd w:fill="2393FF"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Named Executive Officers and Directors</w:t>
            </w:r>
          </w:p>
        </w:tc>
        <w:tc>
          <w:tcPr>
            <w:tcW w:w="120" w:type="dxa"/>
            <w:tcBorders/>
            <w:shd w:fill="2393FF" w:val="clear"/>
            <w:vAlign w:val="center"/>
          </w:tcPr>
          <w:p>
            <w:pPr>
              <w:pStyle w:val="TableContents"/>
              <w:bidi w:val="0"/>
              <w:spacing w:before="0" w:after="283"/>
              <w:jc w:val="left"/>
              <w:rPr/>
            </w:pPr>
            <w:r>
              <w:rPr/>
              <w:t>  </w:t>
            </w:r>
          </w:p>
        </w:tc>
        <w:tc>
          <w:tcPr>
            <w:tcW w:w="1385" w:type="dxa"/>
            <w:tcBorders/>
            <w:shd w:fill="2393FF" w:val="clear"/>
            <w:vAlign w:val="center"/>
          </w:tcPr>
          <w:p>
            <w:pPr>
              <w:pStyle w:val="TableContents"/>
              <w:bidi w:val="0"/>
              <w:spacing w:before="0" w:after="283"/>
              <w:jc w:val="left"/>
              <w:rPr>
                <w:sz w:val="4"/>
                <w:szCs w:val="4"/>
              </w:rPr>
            </w:pPr>
            <w:r>
              <w:rPr>
                <w:sz w:val="4"/>
                <w:szCs w:val="4"/>
              </w:rPr>
            </w:r>
          </w:p>
        </w:tc>
        <w:tc>
          <w:tcPr>
            <w:tcW w:w="120" w:type="dxa"/>
            <w:tcBorders/>
            <w:shd w:fill="2393FF" w:val="clear"/>
            <w:vAlign w:val="center"/>
          </w:tcPr>
          <w:p>
            <w:pPr>
              <w:pStyle w:val="TableContents"/>
              <w:bidi w:val="0"/>
              <w:spacing w:before="0" w:after="283"/>
              <w:jc w:val="left"/>
              <w:rPr/>
            </w:pPr>
            <w:r>
              <w:rPr/>
              <w:t>  </w:t>
            </w:r>
          </w:p>
        </w:tc>
        <w:tc>
          <w:tcPr>
            <w:tcW w:w="2990" w:type="dxa"/>
            <w:tcBorders/>
            <w:shd w:fill="2393FF" w:val="clear"/>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Michael Massaro(6)</w:t>
            </w:r>
          </w:p>
        </w:tc>
        <w:tc>
          <w:tcPr>
            <w:tcW w:w="1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2,532,738</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pPr>
            <w:r>
              <w:rPr/>
              <w:t>2.1%</w:t>
            </w:r>
          </w:p>
        </w:tc>
      </w:tr>
      <w:tr>
        <w:trPr/>
        <w:tc>
          <w:tcPr>
            <w:tcW w:w="5590" w:type="dxa"/>
            <w:tcBorders/>
            <w:shd w:fill="E8F4FF" w:val="clear"/>
            <w:vAlign w:val="center"/>
          </w:tcPr>
          <w:p>
            <w:pPr>
              <w:pStyle w:val="TableContents"/>
              <w:bidi w:val="0"/>
              <w:spacing w:before="0" w:after="283"/>
              <w:jc w:val="left"/>
              <w:rPr>
                <w:sz w:val="4"/>
                <w:szCs w:val="4"/>
              </w:rPr>
            </w:pPr>
            <w:r>
              <w:rPr>
                <w:sz w:val="4"/>
                <w:szCs w:val="4"/>
              </w:rPr>
            </w:r>
          </w:p>
        </w:tc>
        <w:tc>
          <w:tcPr>
            <w:tcW w:w="1505" w:type="dxa"/>
            <w:gridSpan w:val="2"/>
            <w:tcBorders/>
            <w:shd w:fill="E8F4FF" w:val="clear"/>
            <w:vAlign w:val="center"/>
          </w:tcPr>
          <w:p>
            <w:pPr>
              <w:pStyle w:val="TableContents"/>
              <w:bidi w:val="0"/>
              <w:spacing w:before="0" w:after="283"/>
              <w:jc w:val="left"/>
              <w:rPr>
                <w:sz w:val="4"/>
                <w:szCs w:val="4"/>
              </w:rPr>
            </w:pPr>
            <w:r>
              <w:rPr>
                <w:sz w:val="4"/>
                <w:szCs w:val="4"/>
              </w:rPr>
            </w:r>
          </w:p>
        </w:tc>
        <w:tc>
          <w:tcPr>
            <w:tcW w:w="311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559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Robert Orgel(7)</w:t>
            </w:r>
          </w:p>
        </w:tc>
        <w:tc>
          <w:tcPr>
            <w:tcW w:w="120" w:type="dxa"/>
            <w:tcBorders/>
            <w:shd w:fill="E8F4FF" w:val="clear"/>
            <w:vAlign w:val="center"/>
          </w:tcPr>
          <w:p>
            <w:pPr>
              <w:pStyle w:val="TableContents"/>
              <w:bidi w:val="0"/>
              <w:spacing w:before="0" w:after="283"/>
              <w:jc w:val="left"/>
              <w:rPr/>
            </w:pPr>
            <w:r>
              <w:rPr/>
              <w:t>  </w:t>
            </w:r>
          </w:p>
        </w:tc>
        <w:tc>
          <w:tcPr>
            <w:tcW w:w="1385" w:type="dxa"/>
            <w:tcBorders/>
            <w:shd w:fill="E8F4FF" w:val="clear"/>
            <w:vAlign w:val="center"/>
          </w:tcPr>
          <w:p>
            <w:pPr>
              <w:pStyle w:val="TableContents"/>
              <w:bidi w:val="0"/>
              <w:spacing w:before="0" w:after="283"/>
              <w:jc w:val="center"/>
              <w:rPr/>
            </w:pPr>
            <w:r>
              <w:rPr/>
              <w:t>830,066</w:t>
            </w:r>
          </w:p>
        </w:tc>
        <w:tc>
          <w:tcPr>
            <w:tcW w:w="120" w:type="dxa"/>
            <w:tcBorders/>
            <w:shd w:fill="E8F4FF" w:val="clear"/>
            <w:vAlign w:val="center"/>
          </w:tcPr>
          <w:p>
            <w:pPr>
              <w:pStyle w:val="TableContents"/>
              <w:bidi w:val="0"/>
              <w:spacing w:before="0" w:after="283"/>
              <w:jc w:val="left"/>
              <w:rPr/>
            </w:pPr>
            <w:r>
              <w:rPr/>
              <w:t>  </w:t>
            </w:r>
          </w:p>
        </w:tc>
        <w:tc>
          <w:tcPr>
            <w:tcW w:w="2990" w:type="dxa"/>
            <w:tcBorders/>
            <w:shd w:fill="E8F4FF" w:val="clear"/>
            <w:vAlign w:val="center"/>
          </w:tcPr>
          <w:p>
            <w:pPr>
              <w:pStyle w:val="TableContents"/>
              <w:bidi w:val="0"/>
              <w:spacing w:before="0" w:after="283"/>
              <w:jc w:val="center"/>
              <w:rPr/>
            </w:pPr>
            <w:r>
              <w:rPr/>
              <w:t>*</w:t>
            </w:r>
          </w:p>
        </w:tc>
      </w:tr>
      <w:tr>
        <w:trPr/>
        <w:tc>
          <w:tcPr>
            <w:tcW w:w="559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Cosmin Pitigoi(8)</w:t>
            </w:r>
          </w:p>
        </w:tc>
        <w:tc>
          <w:tcPr>
            <w:tcW w:w="1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116,037</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pPr>
            <w:r>
              <w:rPr/>
              <w:t>*</w:t>
            </w:r>
          </w:p>
        </w:tc>
      </w:tr>
      <w:tr>
        <w:trPr/>
        <w:tc>
          <w:tcPr>
            <w:tcW w:w="5590" w:type="dxa"/>
            <w:tcBorders/>
            <w:shd w:fill="E8F4FF" w:val="clear"/>
            <w:vAlign w:val="center"/>
          </w:tcPr>
          <w:p>
            <w:pPr>
              <w:pStyle w:val="TableContents"/>
              <w:bidi w:val="0"/>
              <w:spacing w:before="0" w:after="283"/>
              <w:jc w:val="left"/>
              <w:rPr>
                <w:sz w:val="4"/>
                <w:szCs w:val="4"/>
              </w:rPr>
            </w:pPr>
            <w:r>
              <w:rPr>
                <w:sz w:val="4"/>
                <w:szCs w:val="4"/>
              </w:rPr>
            </w:r>
          </w:p>
        </w:tc>
        <w:tc>
          <w:tcPr>
            <w:tcW w:w="1505" w:type="dxa"/>
            <w:gridSpan w:val="2"/>
            <w:tcBorders/>
            <w:shd w:fill="E8F4FF" w:val="clear"/>
            <w:vAlign w:val="center"/>
          </w:tcPr>
          <w:p>
            <w:pPr>
              <w:pStyle w:val="TableContents"/>
              <w:bidi w:val="0"/>
              <w:spacing w:before="0" w:after="283"/>
              <w:jc w:val="left"/>
              <w:rPr>
                <w:sz w:val="4"/>
                <w:szCs w:val="4"/>
              </w:rPr>
            </w:pPr>
            <w:r>
              <w:rPr>
                <w:sz w:val="4"/>
                <w:szCs w:val="4"/>
              </w:rPr>
            </w:r>
          </w:p>
        </w:tc>
        <w:tc>
          <w:tcPr>
            <w:tcW w:w="311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559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Peter Butterfield(9)</w:t>
            </w:r>
          </w:p>
        </w:tc>
        <w:tc>
          <w:tcPr>
            <w:tcW w:w="120" w:type="dxa"/>
            <w:tcBorders/>
            <w:shd w:fill="E8F4FF" w:val="clear"/>
            <w:vAlign w:val="center"/>
          </w:tcPr>
          <w:p>
            <w:pPr>
              <w:pStyle w:val="TableContents"/>
              <w:bidi w:val="0"/>
              <w:spacing w:before="0" w:after="283"/>
              <w:jc w:val="left"/>
              <w:rPr/>
            </w:pPr>
            <w:r>
              <w:rPr/>
              <w:t>  </w:t>
            </w:r>
          </w:p>
        </w:tc>
        <w:tc>
          <w:tcPr>
            <w:tcW w:w="1385" w:type="dxa"/>
            <w:tcBorders/>
            <w:shd w:fill="E8F4FF" w:val="clear"/>
            <w:vAlign w:val="center"/>
          </w:tcPr>
          <w:p>
            <w:pPr>
              <w:pStyle w:val="TableContents"/>
              <w:bidi w:val="0"/>
              <w:spacing w:before="0" w:after="283"/>
              <w:jc w:val="center"/>
              <w:rPr/>
            </w:pPr>
            <w:r>
              <w:rPr/>
              <w:t>459,002</w:t>
            </w:r>
          </w:p>
        </w:tc>
        <w:tc>
          <w:tcPr>
            <w:tcW w:w="120" w:type="dxa"/>
            <w:tcBorders/>
            <w:shd w:fill="E8F4FF" w:val="clear"/>
            <w:vAlign w:val="center"/>
          </w:tcPr>
          <w:p>
            <w:pPr>
              <w:pStyle w:val="TableContents"/>
              <w:bidi w:val="0"/>
              <w:spacing w:before="0" w:after="283"/>
              <w:jc w:val="left"/>
              <w:rPr/>
            </w:pPr>
            <w:r>
              <w:rPr/>
              <w:t>  </w:t>
            </w:r>
          </w:p>
        </w:tc>
        <w:tc>
          <w:tcPr>
            <w:tcW w:w="2990" w:type="dxa"/>
            <w:tcBorders/>
            <w:shd w:fill="E8F4FF" w:val="clear"/>
            <w:vAlign w:val="center"/>
          </w:tcPr>
          <w:p>
            <w:pPr>
              <w:pStyle w:val="TableContents"/>
              <w:bidi w:val="0"/>
              <w:spacing w:before="0" w:after="283"/>
              <w:jc w:val="center"/>
              <w:rPr/>
            </w:pPr>
            <w:r>
              <w:rPr/>
              <w:t>*</w:t>
            </w:r>
          </w:p>
        </w:tc>
      </w:tr>
      <w:tr>
        <w:trPr/>
        <w:tc>
          <w:tcPr>
            <w:tcW w:w="559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David King(10)</w:t>
            </w:r>
          </w:p>
        </w:tc>
        <w:tc>
          <w:tcPr>
            <w:tcW w:w="1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710,688</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pPr>
            <w:r>
              <w:rPr/>
              <w:t>*</w:t>
            </w:r>
          </w:p>
        </w:tc>
      </w:tr>
      <w:tr>
        <w:trPr/>
        <w:tc>
          <w:tcPr>
            <w:tcW w:w="5590" w:type="dxa"/>
            <w:tcBorders/>
            <w:shd w:fill="E8F4FF" w:val="clear"/>
            <w:vAlign w:val="center"/>
          </w:tcPr>
          <w:p>
            <w:pPr>
              <w:pStyle w:val="TableContents"/>
              <w:bidi w:val="0"/>
              <w:spacing w:before="0" w:after="283"/>
              <w:jc w:val="left"/>
              <w:rPr>
                <w:sz w:val="4"/>
                <w:szCs w:val="4"/>
              </w:rPr>
            </w:pPr>
            <w:r>
              <w:rPr>
                <w:sz w:val="4"/>
                <w:szCs w:val="4"/>
              </w:rPr>
            </w:r>
          </w:p>
        </w:tc>
        <w:tc>
          <w:tcPr>
            <w:tcW w:w="1505" w:type="dxa"/>
            <w:gridSpan w:val="2"/>
            <w:tcBorders/>
            <w:shd w:fill="E8F4FF" w:val="clear"/>
            <w:vAlign w:val="center"/>
          </w:tcPr>
          <w:p>
            <w:pPr>
              <w:pStyle w:val="TableContents"/>
              <w:bidi w:val="0"/>
              <w:spacing w:before="0" w:after="283"/>
              <w:jc w:val="left"/>
              <w:rPr>
                <w:sz w:val="4"/>
                <w:szCs w:val="4"/>
              </w:rPr>
            </w:pPr>
            <w:r>
              <w:rPr>
                <w:sz w:val="4"/>
                <w:szCs w:val="4"/>
              </w:rPr>
            </w:r>
          </w:p>
        </w:tc>
        <w:tc>
          <w:tcPr>
            <w:tcW w:w="311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559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Alex Finkelstein(11)</w:t>
            </w:r>
          </w:p>
        </w:tc>
        <w:tc>
          <w:tcPr>
            <w:tcW w:w="120" w:type="dxa"/>
            <w:tcBorders/>
            <w:shd w:fill="E8F4FF" w:val="clear"/>
            <w:vAlign w:val="center"/>
          </w:tcPr>
          <w:p>
            <w:pPr>
              <w:pStyle w:val="TableContents"/>
              <w:bidi w:val="0"/>
              <w:spacing w:before="0" w:after="283"/>
              <w:jc w:val="left"/>
              <w:rPr/>
            </w:pPr>
            <w:r>
              <w:rPr/>
              <w:t>  </w:t>
            </w:r>
          </w:p>
        </w:tc>
        <w:tc>
          <w:tcPr>
            <w:tcW w:w="1385" w:type="dxa"/>
            <w:tcBorders/>
            <w:shd w:fill="E8F4FF" w:val="clear"/>
            <w:vAlign w:val="center"/>
          </w:tcPr>
          <w:p>
            <w:pPr>
              <w:pStyle w:val="TableContents"/>
              <w:bidi w:val="0"/>
              <w:spacing w:before="0" w:after="283"/>
              <w:jc w:val="center"/>
              <w:rPr/>
            </w:pPr>
            <w:r>
              <w:rPr/>
              <w:t>242,283</w:t>
            </w:r>
          </w:p>
        </w:tc>
        <w:tc>
          <w:tcPr>
            <w:tcW w:w="120" w:type="dxa"/>
            <w:tcBorders/>
            <w:shd w:fill="E8F4FF" w:val="clear"/>
            <w:vAlign w:val="center"/>
          </w:tcPr>
          <w:p>
            <w:pPr>
              <w:pStyle w:val="TableContents"/>
              <w:bidi w:val="0"/>
              <w:spacing w:before="0" w:after="283"/>
              <w:jc w:val="left"/>
              <w:rPr/>
            </w:pPr>
            <w:r>
              <w:rPr/>
              <w:t>  </w:t>
            </w:r>
          </w:p>
        </w:tc>
        <w:tc>
          <w:tcPr>
            <w:tcW w:w="2990" w:type="dxa"/>
            <w:tcBorders/>
            <w:shd w:fill="E8F4FF" w:val="clear"/>
            <w:vAlign w:val="center"/>
          </w:tcPr>
          <w:p>
            <w:pPr>
              <w:pStyle w:val="TableContents"/>
              <w:bidi w:val="0"/>
              <w:spacing w:before="0" w:after="283"/>
              <w:jc w:val="center"/>
              <w:rPr/>
            </w:pPr>
            <w:r>
              <w:rPr/>
              <w:t>*</w:t>
            </w:r>
          </w:p>
        </w:tc>
      </w:tr>
      <w:tr>
        <w:trPr/>
        <w:tc>
          <w:tcPr>
            <w:tcW w:w="559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Matthew Harris(12)</w:t>
            </w:r>
          </w:p>
        </w:tc>
        <w:tc>
          <w:tcPr>
            <w:tcW w:w="1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10,466</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pPr>
            <w:r>
              <w:rPr/>
              <w:t>*</w:t>
            </w:r>
          </w:p>
        </w:tc>
      </w:tr>
      <w:tr>
        <w:trPr/>
        <w:tc>
          <w:tcPr>
            <w:tcW w:w="5590" w:type="dxa"/>
            <w:tcBorders/>
            <w:shd w:fill="E8F4FF" w:val="clear"/>
            <w:vAlign w:val="center"/>
          </w:tcPr>
          <w:p>
            <w:pPr>
              <w:pStyle w:val="TableContents"/>
              <w:bidi w:val="0"/>
              <w:spacing w:before="0" w:after="283"/>
              <w:jc w:val="left"/>
              <w:rPr>
                <w:sz w:val="4"/>
                <w:szCs w:val="4"/>
              </w:rPr>
            </w:pPr>
            <w:r>
              <w:rPr>
                <w:sz w:val="4"/>
                <w:szCs w:val="4"/>
              </w:rPr>
            </w:r>
          </w:p>
        </w:tc>
        <w:tc>
          <w:tcPr>
            <w:tcW w:w="1505" w:type="dxa"/>
            <w:gridSpan w:val="2"/>
            <w:tcBorders/>
            <w:shd w:fill="E8F4FF" w:val="clear"/>
            <w:vAlign w:val="center"/>
          </w:tcPr>
          <w:p>
            <w:pPr>
              <w:pStyle w:val="TableContents"/>
              <w:bidi w:val="0"/>
              <w:spacing w:before="0" w:after="283"/>
              <w:jc w:val="left"/>
              <w:rPr>
                <w:sz w:val="4"/>
                <w:szCs w:val="4"/>
              </w:rPr>
            </w:pPr>
            <w:r>
              <w:rPr>
                <w:sz w:val="4"/>
                <w:szCs w:val="4"/>
              </w:rPr>
            </w:r>
          </w:p>
        </w:tc>
        <w:tc>
          <w:tcPr>
            <w:tcW w:w="311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559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Gretchen Howard(13)</w:t>
            </w:r>
          </w:p>
        </w:tc>
        <w:tc>
          <w:tcPr>
            <w:tcW w:w="120" w:type="dxa"/>
            <w:tcBorders/>
            <w:shd w:fill="E8F4FF" w:val="clear"/>
            <w:vAlign w:val="center"/>
          </w:tcPr>
          <w:p>
            <w:pPr>
              <w:pStyle w:val="TableContents"/>
              <w:bidi w:val="0"/>
              <w:spacing w:before="0" w:after="283"/>
              <w:jc w:val="left"/>
              <w:rPr/>
            </w:pPr>
            <w:r>
              <w:rPr/>
              <w:t>  </w:t>
            </w:r>
          </w:p>
        </w:tc>
        <w:tc>
          <w:tcPr>
            <w:tcW w:w="1385" w:type="dxa"/>
            <w:tcBorders/>
            <w:shd w:fill="E8F4FF" w:val="clear"/>
            <w:vAlign w:val="center"/>
          </w:tcPr>
          <w:p>
            <w:pPr>
              <w:pStyle w:val="TableContents"/>
              <w:bidi w:val="0"/>
              <w:spacing w:before="0" w:after="283"/>
              <w:jc w:val="center"/>
              <w:rPr/>
            </w:pPr>
            <w:r>
              <w:rPr/>
              <w:t>23,160</w:t>
            </w:r>
          </w:p>
        </w:tc>
        <w:tc>
          <w:tcPr>
            <w:tcW w:w="120" w:type="dxa"/>
            <w:tcBorders/>
            <w:shd w:fill="E8F4FF" w:val="clear"/>
            <w:vAlign w:val="center"/>
          </w:tcPr>
          <w:p>
            <w:pPr>
              <w:pStyle w:val="TableContents"/>
              <w:bidi w:val="0"/>
              <w:spacing w:before="0" w:after="283"/>
              <w:jc w:val="left"/>
              <w:rPr/>
            </w:pPr>
            <w:r>
              <w:rPr/>
              <w:t>  </w:t>
            </w:r>
          </w:p>
        </w:tc>
        <w:tc>
          <w:tcPr>
            <w:tcW w:w="2990" w:type="dxa"/>
            <w:tcBorders/>
            <w:shd w:fill="E8F4FF" w:val="clear"/>
            <w:vAlign w:val="center"/>
          </w:tcPr>
          <w:p>
            <w:pPr>
              <w:pStyle w:val="TableContents"/>
              <w:bidi w:val="0"/>
              <w:spacing w:before="0" w:after="283"/>
              <w:jc w:val="center"/>
              <w:rPr/>
            </w:pPr>
            <w:r>
              <w:rPr/>
              <w:t>*</w:t>
            </w:r>
          </w:p>
        </w:tc>
      </w:tr>
      <w:tr>
        <w:trPr/>
        <w:tc>
          <w:tcPr>
            <w:tcW w:w="559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Carleigh Jaques(14)</w:t>
            </w:r>
          </w:p>
        </w:tc>
        <w:tc>
          <w:tcPr>
            <w:tcW w:w="1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pPr>
            <w:r>
              <w:rPr/>
              <w:t>*</w:t>
            </w:r>
          </w:p>
        </w:tc>
      </w:tr>
      <w:tr>
        <w:trPr/>
        <w:tc>
          <w:tcPr>
            <w:tcW w:w="5590" w:type="dxa"/>
            <w:tcBorders/>
            <w:shd w:fill="E8F4FF" w:val="clear"/>
            <w:vAlign w:val="center"/>
          </w:tcPr>
          <w:p>
            <w:pPr>
              <w:pStyle w:val="TableContents"/>
              <w:bidi w:val="0"/>
              <w:spacing w:before="0" w:after="283"/>
              <w:jc w:val="left"/>
              <w:rPr>
                <w:sz w:val="4"/>
                <w:szCs w:val="4"/>
              </w:rPr>
            </w:pPr>
            <w:r>
              <w:rPr>
                <w:sz w:val="4"/>
                <w:szCs w:val="4"/>
              </w:rPr>
            </w:r>
          </w:p>
        </w:tc>
        <w:tc>
          <w:tcPr>
            <w:tcW w:w="1505" w:type="dxa"/>
            <w:gridSpan w:val="2"/>
            <w:tcBorders/>
            <w:shd w:fill="E8F4FF" w:val="clear"/>
            <w:vAlign w:val="center"/>
          </w:tcPr>
          <w:p>
            <w:pPr>
              <w:pStyle w:val="TableContents"/>
              <w:bidi w:val="0"/>
              <w:spacing w:before="0" w:after="283"/>
              <w:jc w:val="left"/>
              <w:rPr>
                <w:sz w:val="4"/>
                <w:szCs w:val="4"/>
              </w:rPr>
            </w:pPr>
            <w:r>
              <w:rPr>
                <w:sz w:val="4"/>
                <w:szCs w:val="4"/>
              </w:rPr>
            </w:r>
          </w:p>
        </w:tc>
        <w:tc>
          <w:tcPr>
            <w:tcW w:w="311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559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Diane Offereins(15)</w:t>
            </w:r>
          </w:p>
        </w:tc>
        <w:tc>
          <w:tcPr>
            <w:tcW w:w="120" w:type="dxa"/>
            <w:tcBorders/>
            <w:shd w:fill="E8F4FF" w:val="clear"/>
            <w:vAlign w:val="center"/>
          </w:tcPr>
          <w:p>
            <w:pPr>
              <w:pStyle w:val="TableContents"/>
              <w:bidi w:val="0"/>
              <w:spacing w:before="0" w:after="283"/>
              <w:jc w:val="left"/>
              <w:rPr/>
            </w:pPr>
            <w:r>
              <w:rPr/>
              <w:t>  </w:t>
            </w:r>
          </w:p>
        </w:tc>
        <w:tc>
          <w:tcPr>
            <w:tcW w:w="1385" w:type="dxa"/>
            <w:tcBorders/>
            <w:shd w:fill="E8F4FF" w:val="clear"/>
            <w:vAlign w:val="center"/>
          </w:tcPr>
          <w:p>
            <w:pPr>
              <w:pStyle w:val="TableContents"/>
              <w:bidi w:val="0"/>
              <w:spacing w:before="0" w:after="283"/>
              <w:jc w:val="center"/>
              <w:rPr/>
            </w:pPr>
            <w:r>
              <w:rPr/>
              <w:t>25,503</w:t>
            </w:r>
          </w:p>
        </w:tc>
        <w:tc>
          <w:tcPr>
            <w:tcW w:w="120" w:type="dxa"/>
            <w:tcBorders/>
            <w:shd w:fill="E8F4FF" w:val="clear"/>
            <w:vAlign w:val="center"/>
          </w:tcPr>
          <w:p>
            <w:pPr>
              <w:pStyle w:val="TableContents"/>
              <w:bidi w:val="0"/>
              <w:spacing w:before="0" w:after="283"/>
              <w:jc w:val="left"/>
              <w:rPr/>
            </w:pPr>
            <w:r>
              <w:rPr/>
              <w:t>  </w:t>
            </w:r>
          </w:p>
        </w:tc>
        <w:tc>
          <w:tcPr>
            <w:tcW w:w="2990" w:type="dxa"/>
            <w:tcBorders/>
            <w:shd w:fill="E8F4FF" w:val="clear"/>
            <w:vAlign w:val="center"/>
          </w:tcPr>
          <w:p>
            <w:pPr>
              <w:pStyle w:val="TableContents"/>
              <w:bidi w:val="0"/>
              <w:spacing w:before="0" w:after="283"/>
              <w:jc w:val="center"/>
              <w:rPr/>
            </w:pPr>
            <w:r>
              <w:rPr/>
              <w:t>*</w:t>
            </w:r>
          </w:p>
        </w:tc>
      </w:tr>
      <w:tr>
        <w:trPr/>
        <w:tc>
          <w:tcPr>
            <w:tcW w:w="559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Phillip Riese(16)</w:t>
            </w:r>
          </w:p>
        </w:tc>
        <w:tc>
          <w:tcPr>
            <w:tcW w:w="1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415,503</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pPr>
            <w:r>
              <w:rPr/>
              <w:t>*</w:t>
            </w:r>
          </w:p>
        </w:tc>
      </w:tr>
      <w:tr>
        <w:trPr/>
        <w:tc>
          <w:tcPr>
            <w:tcW w:w="5590" w:type="dxa"/>
            <w:tcBorders/>
            <w:shd w:fill="E8F4FF" w:val="clear"/>
            <w:vAlign w:val="center"/>
          </w:tcPr>
          <w:p>
            <w:pPr>
              <w:pStyle w:val="TableContents"/>
              <w:bidi w:val="0"/>
              <w:spacing w:before="0" w:after="283"/>
              <w:jc w:val="left"/>
              <w:rPr>
                <w:sz w:val="4"/>
                <w:szCs w:val="4"/>
              </w:rPr>
            </w:pPr>
            <w:r>
              <w:rPr>
                <w:sz w:val="4"/>
                <w:szCs w:val="4"/>
              </w:rPr>
            </w:r>
          </w:p>
        </w:tc>
        <w:tc>
          <w:tcPr>
            <w:tcW w:w="1505" w:type="dxa"/>
            <w:gridSpan w:val="2"/>
            <w:tcBorders/>
            <w:shd w:fill="E8F4FF" w:val="clear"/>
            <w:vAlign w:val="center"/>
          </w:tcPr>
          <w:p>
            <w:pPr>
              <w:pStyle w:val="TableContents"/>
              <w:bidi w:val="0"/>
              <w:spacing w:before="0" w:after="283"/>
              <w:jc w:val="left"/>
              <w:rPr>
                <w:sz w:val="4"/>
                <w:szCs w:val="4"/>
              </w:rPr>
            </w:pPr>
            <w:r>
              <w:rPr>
                <w:sz w:val="4"/>
                <w:szCs w:val="4"/>
              </w:rPr>
            </w:r>
          </w:p>
        </w:tc>
        <w:tc>
          <w:tcPr>
            <w:tcW w:w="311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5590" w:type="dxa"/>
            <w:tcBorders/>
            <w:shd w:fill="E8F4FF" w:val="clear"/>
            <w:vAlign w:val="center"/>
          </w:tcPr>
          <w:p>
            <w:pPr>
              <w:pStyle w:val="TableContents"/>
              <w:bidi w:val="0"/>
              <w:spacing w:before="0" w:after="0"/>
              <w:jc w:val="left"/>
              <w:rPr>
                <w:rFonts w:ascii="ARIAL" w:hAnsi="ARIAL"/>
                <w:b/>
                <w:color w:val="2393FF"/>
                <w:sz w:val="16"/>
              </w:rPr>
            </w:pPr>
            <w:r>
              <w:rPr>
                <w:rFonts w:ascii="ARIAL" w:hAnsi="ARIAL"/>
                <w:b/>
                <w:color w:val="2393FF"/>
                <w:sz w:val="16"/>
              </w:rPr>
              <w:t>Edwin Santos(17)</w:t>
            </w:r>
          </w:p>
        </w:tc>
        <w:tc>
          <w:tcPr>
            <w:tcW w:w="120" w:type="dxa"/>
            <w:tcBorders/>
            <w:shd w:fill="E8F4FF" w:val="clear"/>
            <w:vAlign w:val="center"/>
          </w:tcPr>
          <w:p>
            <w:pPr>
              <w:pStyle w:val="TableContents"/>
              <w:bidi w:val="0"/>
              <w:spacing w:before="0" w:after="283"/>
              <w:jc w:val="left"/>
              <w:rPr/>
            </w:pPr>
            <w:r>
              <w:rPr/>
              <w:t>  </w:t>
            </w:r>
          </w:p>
        </w:tc>
        <w:tc>
          <w:tcPr>
            <w:tcW w:w="1385" w:type="dxa"/>
            <w:tcBorders/>
            <w:shd w:fill="E8F4FF" w:val="clear"/>
            <w:vAlign w:val="center"/>
          </w:tcPr>
          <w:p>
            <w:pPr>
              <w:pStyle w:val="TableContents"/>
              <w:bidi w:val="0"/>
              <w:spacing w:before="0" w:after="283"/>
              <w:jc w:val="center"/>
              <w:rPr/>
            </w:pPr>
            <w:r>
              <w:rPr/>
              <w:t>10,466</w:t>
            </w:r>
          </w:p>
        </w:tc>
        <w:tc>
          <w:tcPr>
            <w:tcW w:w="120" w:type="dxa"/>
            <w:tcBorders/>
            <w:shd w:fill="E8F4FF" w:val="clear"/>
            <w:vAlign w:val="center"/>
          </w:tcPr>
          <w:p>
            <w:pPr>
              <w:pStyle w:val="TableContents"/>
              <w:bidi w:val="0"/>
              <w:spacing w:before="0" w:after="283"/>
              <w:jc w:val="left"/>
              <w:rPr/>
            </w:pPr>
            <w:r>
              <w:rPr/>
              <w:t>  </w:t>
            </w:r>
          </w:p>
        </w:tc>
        <w:tc>
          <w:tcPr>
            <w:tcW w:w="2990" w:type="dxa"/>
            <w:tcBorders/>
            <w:shd w:fill="E8F4FF" w:val="clear"/>
            <w:vAlign w:val="center"/>
          </w:tcPr>
          <w:p>
            <w:pPr>
              <w:pStyle w:val="TableContents"/>
              <w:bidi w:val="0"/>
              <w:spacing w:before="0" w:after="283"/>
              <w:jc w:val="center"/>
              <w:rPr/>
            </w:pPr>
            <w:r>
              <w:rPr/>
              <w:t>*</w:t>
            </w:r>
          </w:p>
        </w:tc>
      </w:tr>
      <w:tr>
        <w:trPr/>
        <w:tc>
          <w:tcPr>
            <w:tcW w:w="5590"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0"/>
              <w:jc w:val="left"/>
              <w:rPr>
                <w:rFonts w:ascii="ARIAL" w:hAnsi="ARIAL"/>
                <w:b/>
                <w:color w:val="2393FF"/>
                <w:sz w:val="16"/>
              </w:rPr>
            </w:pPr>
            <w:r>
              <w:rPr>
                <w:rFonts w:ascii="ARIAL" w:hAnsi="ARIAL"/>
                <w:b/>
                <w:color w:val="2393FF"/>
                <w:sz w:val="16"/>
              </w:rPr>
              <w:t>Michael Ellis(18)</w:t>
            </w:r>
          </w:p>
        </w:tc>
        <w:tc>
          <w:tcPr>
            <w:tcW w:w="1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766,855</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pPr>
            <w:r>
              <w:rPr/>
              <w:t>*</w:t>
            </w:r>
          </w:p>
        </w:tc>
      </w:tr>
      <w:tr>
        <w:trPr/>
        <w:tc>
          <w:tcPr>
            <w:tcW w:w="5590" w:type="dxa"/>
            <w:tcBorders/>
            <w:shd w:fill="E8F4FF" w:val="clear"/>
            <w:vAlign w:val="center"/>
          </w:tcPr>
          <w:p>
            <w:pPr>
              <w:pStyle w:val="TableContents"/>
              <w:bidi w:val="0"/>
              <w:spacing w:before="0" w:after="283"/>
              <w:jc w:val="left"/>
              <w:rPr>
                <w:sz w:val="4"/>
                <w:szCs w:val="4"/>
              </w:rPr>
            </w:pPr>
            <w:r>
              <w:rPr>
                <w:sz w:val="4"/>
                <w:szCs w:val="4"/>
              </w:rPr>
            </w:r>
          </w:p>
        </w:tc>
        <w:tc>
          <w:tcPr>
            <w:tcW w:w="1505" w:type="dxa"/>
            <w:gridSpan w:val="2"/>
            <w:tcBorders/>
            <w:shd w:fill="E8F4FF" w:val="clear"/>
            <w:vAlign w:val="center"/>
          </w:tcPr>
          <w:p>
            <w:pPr>
              <w:pStyle w:val="TableContents"/>
              <w:bidi w:val="0"/>
              <w:spacing w:before="0" w:after="283"/>
              <w:jc w:val="left"/>
              <w:rPr>
                <w:sz w:val="4"/>
                <w:szCs w:val="4"/>
              </w:rPr>
            </w:pPr>
            <w:r>
              <w:rPr>
                <w:sz w:val="4"/>
                <w:szCs w:val="4"/>
              </w:rPr>
            </w:r>
          </w:p>
        </w:tc>
        <w:tc>
          <w:tcPr>
            <w:tcW w:w="3110" w:type="dxa"/>
            <w:gridSpan w:val="2"/>
            <w:tcBorders/>
            <w:shd w:fill="E8F4FF" w:val="clear"/>
            <w:vAlign w:val="center"/>
          </w:tcPr>
          <w:p>
            <w:pPr>
              <w:pStyle w:val="TableContents"/>
              <w:bidi w:val="0"/>
              <w:spacing w:before="0" w:after="283"/>
              <w:jc w:val="left"/>
              <w:rPr>
                <w:sz w:val="4"/>
                <w:szCs w:val="4"/>
              </w:rPr>
            </w:pPr>
            <w:r>
              <w:rPr>
                <w:sz w:val="4"/>
                <w:szCs w:val="4"/>
              </w:rPr>
            </w:r>
          </w:p>
        </w:tc>
      </w:tr>
      <w:tr>
        <w:trPr/>
        <w:tc>
          <w:tcPr>
            <w:tcW w:w="5590" w:type="dxa"/>
            <w:tcBorders>
              <w:bottom w:val="single" w:sz="6" w:space="0" w:color="2393FF"/>
            </w:tcBorders>
            <w:shd w:fill="E8F4FF" w:val="clear"/>
            <w:tcMar>
              <w:bottom w:w="120" w:type="dxa"/>
            </w:tcMar>
            <w:vAlign w:val="center"/>
          </w:tcPr>
          <w:p>
            <w:pPr>
              <w:pStyle w:val="TableContents"/>
              <w:bidi w:val="0"/>
              <w:spacing w:before="0" w:after="0"/>
              <w:jc w:val="left"/>
              <w:rPr>
                <w:rFonts w:ascii="ARIAL" w:hAnsi="ARIAL"/>
                <w:b/>
                <w:color w:val="2393FF"/>
                <w:sz w:val="16"/>
              </w:rPr>
            </w:pPr>
            <w:r>
              <w:rPr>
                <w:rFonts w:ascii="ARIAL" w:hAnsi="ARIAL"/>
                <w:b/>
                <w:color w:val="2393FF"/>
                <w:sz w:val="16"/>
              </w:rPr>
              <w:t>All current executive officers and directors as a group (12 persons)(19)</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1385" w:type="dxa"/>
            <w:tcBorders>
              <w:bottom w:val="single" w:sz="6" w:space="0" w:color="2393FF"/>
            </w:tcBorders>
            <w:shd w:fill="E8F4FF" w:val="clear"/>
            <w:tcMar>
              <w:bottom w:w="120" w:type="dxa"/>
            </w:tcMar>
            <w:vAlign w:val="center"/>
          </w:tcPr>
          <w:p>
            <w:pPr>
              <w:pStyle w:val="TableContents"/>
              <w:bidi w:val="0"/>
              <w:spacing w:before="0" w:after="283"/>
              <w:jc w:val="center"/>
              <w:rPr/>
            </w:pPr>
            <w:r>
              <w:rPr/>
              <w:t>5,375,912</w:t>
            </w:r>
          </w:p>
        </w:tc>
        <w:tc>
          <w:tcPr>
            <w:tcW w:w="120" w:type="dxa"/>
            <w:tcBorders>
              <w:bottom w:val="single" w:sz="6" w:space="0" w:color="2393FF"/>
            </w:tcBorders>
            <w:shd w:fill="E8F4FF" w:val="clear"/>
            <w:tcMar>
              <w:bottom w:w="28" w:type="dxa"/>
            </w:tcMar>
            <w:vAlign w:val="center"/>
          </w:tcPr>
          <w:p>
            <w:pPr>
              <w:pStyle w:val="TableContents"/>
              <w:bidi w:val="0"/>
              <w:spacing w:before="0" w:after="283"/>
              <w:jc w:val="left"/>
              <w:rPr/>
            </w:pPr>
            <w:r>
              <w:rPr/>
              <w:t>  </w:t>
            </w:r>
          </w:p>
        </w:tc>
        <w:tc>
          <w:tcPr>
            <w:tcW w:w="2990" w:type="dxa"/>
            <w:tcBorders>
              <w:bottom w:val="single" w:sz="6" w:space="0" w:color="2393FF"/>
            </w:tcBorders>
            <w:shd w:fill="E8F4FF" w:val="clear"/>
            <w:tcMar>
              <w:bottom w:w="120" w:type="dxa"/>
            </w:tcMar>
            <w:vAlign w:val="center"/>
          </w:tcPr>
          <w:p>
            <w:pPr>
              <w:pStyle w:val="TableContents"/>
              <w:bidi w:val="0"/>
              <w:spacing w:before="0" w:after="283"/>
              <w:jc w:val="center"/>
              <w:rPr/>
            </w:pPr>
            <w:r>
              <w:rPr/>
              <w:t>4.4%</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155"/>
        <w:gridCol w:w="4145"/>
      </w:tblGrid>
      <w:tr>
        <w:trPr/>
        <w:tc>
          <w:tcPr>
            <w:tcW w:w="155" w:type="dxa"/>
            <w:tcBorders/>
            <w:vAlign w:val="center"/>
          </w:tcPr>
          <w:p>
            <w:pPr>
              <w:pStyle w:val="TableContents"/>
              <w:bidi w:val="0"/>
              <w:spacing w:before="0" w:after="283"/>
              <w:jc w:val="left"/>
              <w:rPr>
                <w:color w:val="333333"/>
              </w:rPr>
            </w:pPr>
            <w:r>
              <w:rPr>
                <w:color w:val="333333"/>
              </w:rPr>
              <w:t>*</w:t>
            </w:r>
          </w:p>
        </w:tc>
        <w:tc>
          <w:tcPr>
            <w:tcW w:w="414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Less than 1% of the outstanding shares of voting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color w:val="333333"/>
              </w:rPr>
            </w:pPr>
            <w:r>
              <w:rPr>
                <w:color w:val="333333"/>
              </w:rPr>
              <w:t>(1)</w:t>
            </w:r>
          </w:p>
        </w:tc>
        <w:tc>
          <w:tcPr>
            <w:tcW w:w="9957"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Consists of shares of our common stock held by The Vanguard Group, Inc. The Vanguard Group, Inc. has shared power to vote or direct the vote with respect to 353,049 shares of our common stock, sole power to dispose or to direct the disposition of 11,833,827 shares of our common stock, and shared power to dispose or to direct the disposition of 138,360 shares of our common stock. The business address of The Vanguard Group, Inc. is 100 Vanguard Blvd., Malvern, PA 19355. The foregoing information in this footnote is based on a Schedule 13G/A filed by The Vanguard Group, Inc. on March 6,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color w:val="333333"/>
              </w:rPr>
            </w:pPr>
            <w:r>
              <w:rPr>
                <w:color w:val="333333"/>
              </w:rPr>
              <w:t>(2)</w:t>
            </w:r>
          </w:p>
        </w:tc>
        <w:tc>
          <w:tcPr>
            <w:tcW w:w="9942"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Consists of shares of our common stock held by FMR LLC. FMR LLC has the sole power to vote or direct the vote with respect to all of such shares. The business address of FMR LLC is 245 Summer Street, Boston, MA 02210. The foregoing information in this footnote is based on a Schedule 13G/A filed by FMR LLC on November 12,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color w:val="333333"/>
              </w:rPr>
            </w:pPr>
            <w:r>
              <w:rPr>
                <w:color w:val="333333"/>
              </w:rPr>
              <w:t>(3)</w:t>
            </w:r>
          </w:p>
        </w:tc>
        <w:tc>
          <w:tcPr>
            <w:tcW w:w="9952"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Consists of shares of our common stock held by William Blair Investment Management, LLC. William Blair Investment Management, LLC has the sole power to vote or direct the vote with respect to all of such shares. The business address of William Blair Investment Management, LLC is 150 North Riverside Plaza, Chicago, IL 60606. The foregoing information in this footnote is based on a Schedule 13G filed by William Blair Investment Management, LLC on November 14,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color w:val="333333"/>
              </w:rPr>
            </w:pPr>
            <w:r>
              <w:rPr>
                <w:color w:val="333333"/>
              </w:rPr>
              <w:t>(4)</w:t>
            </w:r>
          </w:p>
        </w:tc>
        <w:tc>
          <w:tcPr>
            <w:tcW w:w="9961"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These securities are held by Ossa Investments Pte. Ltd. Ossa Investments Pte. Ltd. is a direct wholly-owned subsidiary of Hotham Investments Pte Ltd (Hotham), which in turn is a direct wholly-owned subsidiary of Fullerton Management Pte Ltd (Fullerton), which in turn is a direct wholly-owned subsidiary of Temasek Holdings (Private) Limited (Temasek). In such capacities, each of Hotham, Fullerton and Temasek may be deemed to have voting and dispositive power over the shares held by Ossa Investments Pte. Ltd. Ossa Investments Pte. Ltd. also owns 1,873,320 shares of our non-voting common stock. The address for Ossa Investments Pte. Ltd., Fullerton and Temasek is 60B Orchard Road #06-18 Tower 2, The Atrium@Orchard, Singapore 238891. The foregoing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  49  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information in this footnote is based on a Schedule 13G/A filed by Ossa Investments Pte. Ltd, Temasek Holdings (Private) Limited, Hotham Investments Pte Ltd and Fullerton Management Pte Ltd, on October 25,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color w:val="333333"/>
              </w:rPr>
            </w:pPr>
            <w:r>
              <w:rPr>
                <w:color w:val="333333"/>
              </w:rPr>
              <w:t>(5)</w:t>
            </w:r>
          </w:p>
        </w:tc>
        <w:tc>
          <w:tcPr>
            <w:tcW w:w="9944"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Consists of shares of our common stock held by BlackRock, Inc. BlackRock, Inc. has the sole power to vote or direct the vote with respect to all of such shares. The business address of BlackRock, Inc. is 50 Hudson Yards New York, NY 10001. The foregoing information in this footnote is based on a Schedule 13G filed by BlackRock, Inc. on January 29,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color w:val="333333"/>
              </w:rPr>
            </w:pPr>
            <w:r>
              <w:rPr>
                <w:color w:val="333333"/>
              </w:rPr>
              <w:t>(6)</w:t>
            </w:r>
          </w:p>
        </w:tc>
        <w:tc>
          <w:tcPr>
            <w:tcW w:w="9933"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Includes options to purchase 821,137 shares of common stock held by Mr. Massaro that may be exercised within 60 days of the Record Date and 54,833 shares underlying restricted stock unit awards held by Mr. Massaro which may vest within 60 days of the Record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color w:val="333333"/>
              </w:rPr>
            </w:pPr>
            <w:r>
              <w:rPr>
                <w:color w:val="333333"/>
              </w:rPr>
              <w:t>(7)</w:t>
            </w:r>
          </w:p>
        </w:tc>
        <w:tc>
          <w:tcPr>
            <w:tcW w:w="9932"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Includes options to purchase 619,115 shares of common stock held by Mr. Orgel that may be exercised within 60 days of the Record Date and 29,638 shares underlying restricted stock unit awards held by Mr. Orgel which may vest within 60 days of the Record Date.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305"/>
        <w:gridCol w:w="8330"/>
      </w:tblGrid>
      <w:tr>
        <w:trPr/>
        <w:tc>
          <w:tcPr>
            <w:tcW w:w="305" w:type="dxa"/>
            <w:tcBorders/>
            <w:vAlign w:val="center"/>
          </w:tcPr>
          <w:p>
            <w:pPr>
              <w:pStyle w:val="TableContents"/>
              <w:bidi w:val="0"/>
              <w:spacing w:before="0" w:after="283"/>
              <w:jc w:val="left"/>
              <w:rPr>
                <w:color w:val="333333"/>
              </w:rPr>
            </w:pPr>
            <w:r>
              <w:rPr>
                <w:color w:val="333333"/>
              </w:rPr>
              <w:t>(8)</w:t>
            </w:r>
          </w:p>
        </w:tc>
        <w:tc>
          <w:tcPr>
            <w:tcW w:w="833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Includes 27,588 shares underlying restricted stock unit awards held by Mr. Pitigoi which may vest within 60 days of the Record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333333"/>
              </w:rPr>
            </w:pPr>
            <w:r>
              <w:rPr>
                <w:color w:val="333333"/>
              </w:rPr>
              <w:t>(9)</w:t>
            </w:r>
          </w:p>
        </w:tc>
        <w:tc>
          <w:tcPr>
            <w:tcW w:w="9934"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Includes options to purchase 305,623 shares of common stock held by Mr. Butterfield that may be exercised within 60 days of the Record Date and 12,643 shares underlying restricted stock unit awards held by Mr. Butterfield which may vest within 60 days of the Record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color w:val="333333"/>
              </w:rPr>
            </w:pPr>
            <w:r>
              <w:rPr>
                <w:color w:val="333333"/>
              </w:rPr>
              <w:t>(10)</w:t>
            </w:r>
          </w:p>
        </w:tc>
        <w:tc>
          <w:tcPr>
            <w:tcW w:w="9812"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Includes options to purchase 13,125 shares of common stock held by Mr. King that may be exercised within 60 days of the Record Date and 24,204 shares underlying restricted stock unit awards held by Mr. King which may vest within 60 days of the Record Date.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425"/>
        <w:gridCol w:w="8615"/>
      </w:tblGrid>
      <w:tr>
        <w:trPr/>
        <w:tc>
          <w:tcPr>
            <w:tcW w:w="425" w:type="dxa"/>
            <w:tcBorders/>
            <w:vAlign w:val="center"/>
          </w:tcPr>
          <w:p>
            <w:pPr>
              <w:pStyle w:val="TableContents"/>
              <w:bidi w:val="0"/>
              <w:spacing w:before="0" w:after="283"/>
              <w:jc w:val="left"/>
              <w:rPr>
                <w:color w:val="333333"/>
              </w:rPr>
            </w:pPr>
            <w:r>
              <w:rPr>
                <w:color w:val="333333"/>
              </w:rPr>
              <w:t>(11)</w:t>
            </w:r>
          </w:p>
        </w:tc>
        <w:tc>
          <w:tcPr>
            <w:tcW w:w="861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Includes 10,466 shares underlying restricted stock unit awards held by Mr. Finkelstein which may vest within 60 days of the Record Date.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425"/>
        <w:gridCol w:w="8315"/>
      </w:tblGrid>
      <w:tr>
        <w:trPr/>
        <w:tc>
          <w:tcPr>
            <w:tcW w:w="425" w:type="dxa"/>
            <w:tcBorders/>
            <w:vAlign w:val="center"/>
          </w:tcPr>
          <w:p>
            <w:pPr>
              <w:pStyle w:val="TableContents"/>
              <w:bidi w:val="0"/>
              <w:spacing w:before="0" w:after="283"/>
              <w:jc w:val="left"/>
              <w:rPr>
                <w:color w:val="333333"/>
              </w:rPr>
            </w:pPr>
            <w:r>
              <w:rPr>
                <w:color w:val="333333"/>
              </w:rPr>
              <w:t>(12)</w:t>
            </w:r>
          </w:p>
        </w:tc>
        <w:tc>
          <w:tcPr>
            <w:tcW w:w="831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Includes 10,466 shares underlying restricted stock unit awards held by Mr. Harris which may vest within 60 days of the Record Date.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425"/>
        <w:gridCol w:w="8435"/>
      </w:tblGrid>
      <w:tr>
        <w:trPr/>
        <w:tc>
          <w:tcPr>
            <w:tcW w:w="425" w:type="dxa"/>
            <w:tcBorders/>
            <w:vAlign w:val="center"/>
          </w:tcPr>
          <w:p>
            <w:pPr>
              <w:pStyle w:val="TableContents"/>
              <w:bidi w:val="0"/>
              <w:spacing w:before="0" w:after="283"/>
              <w:jc w:val="left"/>
              <w:rPr>
                <w:color w:val="333333"/>
              </w:rPr>
            </w:pPr>
            <w:r>
              <w:rPr>
                <w:color w:val="333333"/>
              </w:rPr>
              <w:t>(13)</w:t>
            </w:r>
          </w:p>
        </w:tc>
        <w:tc>
          <w:tcPr>
            <w:tcW w:w="843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Includes 10,466 shares underlying restricted stock unit awards held by Ms. Howard which may vest within 60 days of the Record Date.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425"/>
        <w:gridCol w:w="8435"/>
      </w:tblGrid>
      <w:tr>
        <w:trPr/>
        <w:tc>
          <w:tcPr>
            <w:tcW w:w="425" w:type="dxa"/>
            <w:tcBorders/>
            <w:vAlign w:val="center"/>
          </w:tcPr>
          <w:p>
            <w:pPr>
              <w:pStyle w:val="TableContents"/>
              <w:bidi w:val="0"/>
              <w:spacing w:before="0" w:after="283"/>
              <w:jc w:val="left"/>
              <w:rPr>
                <w:color w:val="333333"/>
              </w:rPr>
            </w:pPr>
            <w:r>
              <w:rPr>
                <w:color w:val="333333"/>
              </w:rPr>
              <w:t>(14)</w:t>
            </w:r>
          </w:p>
        </w:tc>
        <w:tc>
          <w:tcPr>
            <w:tcW w:w="843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Includes 10,466 shares underlying restricted stock unit awards held by Ms. Jaques which may vest within 60 days of the Record Date.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425"/>
        <w:gridCol w:w="8555"/>
      </w:tblGrid>
      <w:tr>
        <w:trPr/>
        <w:tc>
          <w:tcPr>
            <w:tcW w:w="425" w:type="dxa"/>
            <w:tcBorders/>
            <w:vAlign w:val="center"/>
          </w:tcPr>
          <w:p>
            <w:pPr>
              <w:pStyle w:val="TableContents"/>
              <w:bidi w:val="0"/>
              <w:spacing w:before="0" w:after="283"/>
              <w:jc w:val="left"/>
              <w:rPr>
                <w:color w:val="333333"/>
              </w:rPr>
            </w:pPr>
            <w:r>
              <w:rPr>
                <w:color w:val="333333"/>
              </w:rPr>
              <w:t>(15)</w:t>
            </w:r>
          </w:p>
        </w:tc>
        <w:tc>
          <w:tcPr>
            <w:tcW w:w="855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Includes 10,466 shares underlying restricted stock unit awards held by Ms. Offereins which may vest within 60 days of the Record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color w:val="333333"/>
              </w:rPr>
            </w:pPr>
            <w:r>
              <w:rPr>
                <w:color w:val="333333"/>
              </w:rPr>
              <w:t>(16)</w:t>
            </w:r>
          </w:p>
        </w:tc>
        <w:tc>
          <w:tcPr>
            <w:tcW w:w="9813"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Includes options to purchase 198,000 shares of common stock held by Mr. Riese that may be exercised within 60 days of the Record Date and 10,466 shares underlying restricted stock unit awards held by Mr. Riese which may vest within 60 days of the Record Date.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425"/>
        <w:gridCol w:w="8390"/>
      </w:tblGrid>
      <w:tr>
        <w:trPr/>
        <w:tc>
          <w:tcPr>
            <w:tcW w:w="425" w:type="dxa"/>
            <w:tcBorders/>
            <w:vAlign w:val="center"/>
          </w:tcPr>
          <w:p>
            <w:pPr>
              <w:pStyle w:val="TableContents"/>
              <w:bidi w:val="0"/>
              <w:spacing w:before="0" w:after="283"/>
              <w:jc w:val="left"/>
              <w:rPr>
                <w:color w:val="333333"/>
              </w:rPr>
            </w:pPr>
            <w:r>
              <w:rPr>
                <w:color w:val="333333"/>
              </w:rPr>
              <w:t>(17)</w:t>
            </w:r>
          </w:p>
        </w:tc>
        <w:tc>
          <w:tcPr>
            <w:tcW w:w="8390"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Includes 10,466 shares underlying restricted stock unit awards held by Mr. Santos which may vest within 60 days of the Record Date.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425"/>
        <w:gridCol w:w="4385"/>
      </w:tblGrid>
      <w:tr>
        <w:trPr/>
        <w:tc>
          <w:tcPr>
            <w:tcW w:w="425" w:type="dxa"/>
            <w:tcBorders/>
            <w:vAlign w:val="center"/>
          </w:tcPr>
          <w:p>
            <w:pPr>
              <w:pStyle w:val="TableContents"/>
              <w:bidi w:val="0"/>
              <w:spacing w:before="0" w:after="283"/>
              <w:jc w:val="left"/>
              <w:rPr>
                <w:color w:val="333333"/>
              </w:rPr>
            </w:pPr>
            <w:r>
              <w:rPr>
                <w:color w:val="333333"/>
              </w:rPr>
              <w:t>(18)</w:t>
            </w:r>
          </w:p>
        </w:tc>
        <w:tc>
          <w:tcPr>
            <w:tcW w:w="4385"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Based upon information known to the Company as of the date 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left"/>
              <w:rPr>
                <w:color w:val="333333"/>
              </w:rPr>
            </w:pPr>
            <w:r>
              <w:rPr>
                <w:color w:val="333333"/>
              </w:rPr>
              <w:t>(19)</w:t>
            </w:r>
          </w:p>
        </w:tc>
        <w:tc>
          <w:tcPr>
            <w:tcW w:w="9806" w:type="dxa"/>
            <w:tcBorders/>
            <w:vAlign w:val="center"/>
          </w:tcPr>
          <w:p>
            <w:pPr>
              <w:pStyle w:val="TableContents"/>
              <w:bidi w:val="0"/>
              <w:spacing w:before="0" w:after="0"/>
              <w:jc w:val="left"/>
              <w:rPr>
                <w:rFonts w:ascii="ARIAL" w:hAnsi="ARIAL"/>
                <w:color w:val="333333"/>
                <w:sz w:val="14"/>
              </w:rPr>
            </w:pPr>
            <w:r>
              <w:rPr>
                <w:rFonts w:ascii="ARIAL" w:hAnsi="ARIAL"/>
                <w:color w:val="333333"/>
                <w:sz w:val="14"/>
              </w:rPr>
              <w:t xml:space="preserve">Includes options to purchase 1,957,000 shares of common stock that may be exercised within 60 days of the Record Date and 211,702 shares underlying restricted stock unit awards which may vest within 60 days of the Record Date. </w:t>
            </w:r>
          </w:p>
        </w:tc>
      </w:tr>
    </w:tbl>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  50  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393FF"/>
          <w:sz w:val="56"/>
        </w:rPr>
      </w:pPr>
      <w:bookmarkStart w:id="46" w:name="toc917810_45"/>
      <w:bookmarkEnd w:id="46"/>
      <w:r>
        <w:rPr>
          <w:rFonts w:ascii="ARIAL" w:hAnsi="ARIAL"/>
          <w:b/>
          <w:color w:val="2393FF"/>
          <w:sz w:val="56"/>
        </w:rPr>
        <w:t xml:space="preserve">Certain Relationships and Related Party Transactions </w:t>
      </w:r>
    </w:p>
    <w:p>
      <w:pPr>
        <w:pStyle w:val="TextBody"/>
        <w:bidi w:val="0"/>
        <w:spacing w:before="0" w:after="0"/>
        <w:jc w:val="left"/>
        <w:rPr/>
      </w:pPr>
      <w:r>
        <w:rPr/>
        <w:t> </w:t>
      </w:r>
    </w:p>
    <w:p>
      <w:pPr>
        <w:pStyle w:val="TextBody"/>
        <w:bidi w:val="0"/>
        <w:spacing w:lineRule="atLeast" w:line="142" w:before="0" w:after="40"/>
        <w:jc w:val="left"/>
        <w:rPr>
          <w:bdr w:val="single" w:sz="8" w:space="1" w:color="2393FF"/>
        </w:rPr>
      </w:pPr>
      <w:r>
        <w:rPr>
          <w:bdr w:val="single" w:sz="8" w:space="1" w:color="2393FF"/>
        </w:rPr>
        <w:t> </w:t>
      </w:r>
    </w:p>
    <w:p>
      <w:pPr>
        <w:pStyle w:val="TextBody"/>
        <w:bidi w:val="0"/>
        <w:spacing w:before="200" w:after="0"/>
        <w:jc w:val="left"/>
        <w:rPr>
          <w:rFonts w:ascii="ARIAL" w:hAnsi="ARIAL"/>
          <w:sz w:val="18"/>
        </w:rPr>
      </w:pPr>
      <w:r>
        <w:rPr>
          <w:rFonts w:ascii="ARIAL" w:hAnsi="ARIAL"/>
          <w:sz w:val="18"/>
        </w:rPr>
        <w:t xml:space="preserve">In addition to the compensation arrangements with our directors and executive officers described elsewhere in this proxy statement, the following is a description of each transaction since January 1, 2024 and each currently proposed transaction in which: </w:t>
      </w:r>
    </w:p>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ARIAL" w:hAnsi="ARIAL"/>
                <w:sz w:val="18"/>
              </w:rPr>
            </w:pPr>
            <w:r>
              <w:rPr>
                <w:rFonts w:ascii="ARIAL" w:hAnsi="ARIAL"/>
                <w:sz w:val="18"/>
              </w:rPr>
              <w:t xml:space="preserve">we have been or are to be a participant;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ARIAL" w:hAnsi="ARIAL"/>
                <w:sz w:val="18"/>
              </w:rPr>
            </w:pPr>
            <w:r>
              <w:rPr>
                <w:rFonts w:ascii="ARIAL" w:hAnsi="ARIAL"/>
                <w:sz w:val="18"/>
              </w:rPr>
              <w:t xml:space="preserve">the amount involved exceeds the lesser of $120,000;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any of our directors, executive officers or holders of more than 5% of our capital stock, or any immediate family member of or person sharing the household with any of these individuals (other than tenants or employees), had or will have a direct or indirect material interest. </w:t>
            </w:r>
          </w:p>
        </w:tc>
      </w:tr>
    </w:tbl>
    <w:p>
      <w:pPr>
        <w:pStyle w:val="TextBody"/>
        <w:bidi w:val="0"/>
        <w:spacing w:before="200" w:after="0"/>
        <w:jc w:val="left"/>
        <w:rPr>
          <w:rFonts w:ascii="ARIAL" w:hAnsi="ARIAL"/>
          <w:sz w:val="18"/>
        </w:rPr>
      </w:pPr>
      <w:r>
        <w:rPr>
          <w:rFonts w:ascii="ARIAL" w:hAnsi="ARIAL"/>
          <w:sz w:val="18"/>
        </w:rPr>
        <w:t xml:space="preserve">INDEMNIFICATION AGREEMENTS </w:t>
      </w:r>
    </w:p>
    <w:p>
      <w:pPr>
        <w:pStyle w:val="TextBody"/>
        <w:bidi w:val="0"/>
        <w:spacing w:before="200" w:after="0"/>
        <w:jc w:val="left"/>
        <w:rPr>
          <w:rFonts w:ascii="ARIAL" w:hAnsi="ARIAL"/>
          <w:sz w:val="18"/>
        </w:rPr>
      </w:pPr>
      <w:r>
        <w:rPr>
          <w:rFonts w:ascii="ARIAL" w:hAnsi="ARIAL"/>
          <w:sz w:val="18"/>
        </w:rPr>
        <w:t xml:space="preserve">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certain expenses, judgments, fines and settlement amounts, among others, incurred by this person in any action or proceeding arising out of this person’s services as a director or executive officer in any capacity with respect to any employee benefit plan or as a director, partner, trustee or agent of another entity at our request. We believe that these provisions in our amended and restated certificate of incorporation and amended and restated bylaws and indemnification agreements are necessary to attract and retain qualified persons as directors and executive officers. </w:t>
      </w:r>
    </w:p>
    <w:p>
      <w:pPr>
        <w:pStyle w:val="TextBody"/>
        <w:bidi w:val="0"/>
        <w:spacing w:before="200" w:after="0"/>
        <w:jc w:val="left"/>
        <w:rPr>
          <w:rFonts w:ascii="ARIAL" w:hAnsi="ARIAL"/>
          <w:sz w:val="18"/>
        </w:rPr>
      </w:pPr>
      <w:r>
        <w:rPr>
          <w:rFonts w:ascii="ARIAL" w:hAnsi="ARIAL"/>
          <w:sz w:val="18"/>
        </w:rPr>
        <w:t xml:space="preserve">POLICIES AND PROCEDURES FOR RELATED PARTY TRANSACTIONS </w:t>
      </w:r>
    </w:p>
    <w:p>
      <w:pPr>
        <w:pStyle w:val="TextBody"/>
        <w:bidi w:val="0"/>
        <w:spacing w:before="200" w:after="0"/>
        <w:jc w:val="left"/>
        <w:rPr>
          <w:rFonts w:ascii="ARIAL" w:hAnsi="ARIAL"/>
          <w:sz w:val="18"/>
        </w:rPr>
      </w:pPr>
      <w:r>
        <w:rPr>
          <w:rFonts w:ascii="ARIAL" w:hAnsi="ARIAL"/>
          <w:sz w:val="18"/>
        </w:rPr>
        <w:t xml:space="preserve">Pursuant to our Code of Conduct and amended and restated Audit Committee charter, any related party transaction or series of transactions with an executive officer, director, or any of such persons’ immediate family members or affiliates, in which the amount, either individually or in the aggregate, involved exceeds $120,000 must be presented to our Audit Committee for review, consideration and approval. All of our directors and executive officers are required to report to our Audit Committee any such related party transaction. In approving or rejecting the proposed transactions, our Audit Committee shall consider the relevant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transactions that, in light of known circumstances, are not inconsistent with Flywire’s best interests, as our Audit Committee determines in the good faith exercise of its discretion.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  51  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393FF"/>
          <w:sz w:val="56"/>
        </w:rPr>
      </w:pPr>
      <w:bookmarkStart w:id="47" w:name="toc917810_46"/>
      <w:bookmarkEnd w:id="47"/>
      <w:r>
        <w:rPr>
          <w:rFonts w:ascii="ARIAL" w:hAnsi="ARIAL"/>
          <w:b/>
          <w:color w:val="2393FF"/>
          <w:sz w:val="56"/>
        </w:rPr>
        <w:t xml:space="preserve">Audit Committee Report </w:t>
      </w:r>
    </w:p>
    <w:p>
      <w:pPr>
        <w:pStyle w:val="TextBody"/>
        <w:bidi w:val="0"/>
        <w:spacing w:before="0" w:after="0"/>
        <w:jc w:val="left"/>
        <w:rPr/>
      </w:pPr>
      <w:r>
        <w:rPr/>
        <w:t> </w:t>
      </w:r>
    </w:p>
    <w:p>
      <w:pPr>
        <w:pStyle w:val="TextBody"/>
        <w:bidi w:val="0"/>
        <w:spacing w:lineRule="atLeast" w:line="142" w:before="0" w:after="40"/>
        <w:jc w:val="left"/>
        <w:rPr>
          <w:bdr w:val="single" w:sz="8" w:space="1" w:color="2393FF"/>
        </w:rPr>
      </w:pPr>
      <w:r>
        <w:rPr>
          <w:bdr w:val="single" w:sz="8" w:space="1" w:color="2393FF"/>
        </w:rPr>
        <w:t> </w:t>
      </w:r>
    </w:p>
    <w:p>
      <w:pPr>
        <w:pStyle w:val="TextBody"/>
        <w:bidi w:val="0"/>
        <w:spacing w:before="200" w:after="0"/>
        <w:jc w:val="left"/>
        <w:rPr>
          <w:rFonts w:ascii="ARIAL" w:hAnsi="ARIAL"/>
          <w:i/>
          <w:sz w:val="20"/>
        </w:rPr>
      </w:pPr>
      <w:r>
        <w:rPr>
          <w:rFonts w:ascii="ARIAL" w:hAnsi="ARIAL"/>
          <w:i/>
          <w:sz w:val="20"/>
        </w:rPr>
        <w:t xml:space="preserve">The information contained in the following report of Flywire’s Audit Committee is not considered to be “soliciting material,” “filed” or incorporated by reference in any past or future filing by us under the Securities Exchange Act of 1934 or the Securities Act of 1933 unless and only to the extent that Flywire specifically incorporates it by reference. </w:t>
      </w:r>
    </w:p>
    <w:p>
      <w:pPr>
        <w:pStyle w:val="TextBody"/>
        <w:bidi w:val="0"/>
        <w:spacing w:before="200" w:after="0"/>
        <w:jc w:val="left"/>
        <w:rPr>
          <w:rFonts w:ascii="ARIAL" w:hAnsi="ARIAL"/>
          <w:sz w:val="18"/>
        </w:rPr>
      </w:pPr>
      <w:r>
        <w:rPr>
          <w:rFonts w:ascii="ARIAL" w:hAnsi="ARIAL"/>
          <w:sz w:val="18"/>
        </w:rPr>
        <w:t xml:space="preserve">REVIEW OF AUDITED FINANCIAL STATEMENTS FOR THE YEAR ENDED DECEMBER 31, 2024 </w:t>
      </w:r>
    </w:p>
    <w:p>
      <w:pPr>
        <w:pStyle w:val="TextBody"/>
        <w:bidi w:val="0"/>
        <w:spacing w:before="200" w:after="0"/>
        <w:jc w:val="left"/>
        <w:rPr>
          <w:rFonts w:ascii="ARIAL" w:hAnsi="ARIAL"/>
          <w:sz w:val="18"/>
        </w:rPr>
      </w:pPr>
      <w:r>
        <w:rPr>
          <w:rFonts w:ascii="ARIAL" w:hAnsi="ARIAL"/>
          <w:sz w:val="18"/>
        </w:rPr>
        <w:t xml:space="preserve">The Audit Committee has reviewed and discussed with Flywire’s management and PricewaterhouseCoopers LLP the audited financial statements of Flywire for the year ended December 31, 2024. The Audit Committee has also discussed with PricewaterhouseCoopers LLP the applicable requirements of the Public Company Accounting Oversight Board (PCAOB) and the SEC. </w:t>
      </w:r>
    </w:p>
    <w:p>
      <w:pPr>
        <w:pStyle w:val="TextBody"/>
        <w:bidi w:val="0"/>
        <w:spacing w:before="200" w:after="0"/>
        <w:jc w:val="left"/>
        <w:rPr>
          <w:rFonts w:ascii="ARIAL" w:hAnsi="ARIAL"/>
          <w:sz w:val="18"/>
        </w:rPr>
      </w:pPr>
      <w:r>
        <w:rPr>
          <w:rFonts w:ascii="ARIAL" w:hAnsi="ARIAL"/>
          <w:sz w:val="18"/>
        </w:rPr>
        <w:t xml:space="preserve">The Audit Committee has received and reviewed the written disclosures and the letter from PricewaterhouseCoopers LLP required by applicable requirements of the PCAOB and the SEC regarding the independent registered public accounting firm’s communications with the Audit Committee concerning independence, and has discussed with PricewaterhouseCoopers LLP its independence from us. </w:t>
      </w:r>
    </w:p>
    <w:p>
      <w:pPr>
        <w:pStyle w:val="TextBody"/>
        <w:bidi w:val="0"/>
        <w:spacing w:before="200" w:after="0"/>
        <w:jc w:val="left"/>
        <w:rPr>
          <w:rFonts w:ascii="ARIAL" w:hAnsi="ARIAL"/>
          <w:sz w:val="18"/>
        </w:rPr>
      </w:pPr>
      <w:r>
        <w:rPr>
          <w:rFonts w:ascii="ARIAL" w:hAnsi="ARIAL"/>
          <w:sz w:val="18"/>
        </w:rPr>
        <w:t xml:space="preserve">Based on the review and discussions referred to above, the Audit Committee recommended to the Board of Directors that the audited financial statements be included in the 2024 Annual Report for filing with the SEC. </w:t>
      </w:r>
    </w:p>
    <w:p>
      <w:pPr>
        <w:pStyle w:val="TextBody"/>
        <w:bidi w:val="0"/>
        <w:spacing w:before="200" w:after="0"/>
        <w:jc w:val="left"/>
        <w:rPr>
          <w:rFonts w:ascii="ARIAL" w:hAnsi="ARIAL"/>
          <w:sz w:val="18"/>
        </w:rPr>
      </w:pPr>
      <w:r>
        <w:rPr>
          <w:rFonts w:ascii="ARIAL" w:hAnsi="ARIAL"/>
          <w:sz w:val="18"/>
        </w:rPr>
        <w:t xml:space="preserve">Submitted by the audit committee of the Board of Directors: </w:t>
      </w:r>
    </w:p>
    <w:p>
      <w:pPr>
        <w:pStyle w:val="TextBody"/>
        <w:bidi w:val="0"/>
        <w:spacing w:before="200" w:after="0"/>
        <w:jc w:val="left"/>
        <w:rPr>
          <w:rFonts w:ascii="ARIAL" w:hAnsi="ARIAL"/>
          <w:b/>
          <w:sz w:val="18"/>
        </w:rPr>
      </w:pPr>
      <w:r>
        <w:rPr>
          <w:rFonts w:ascii="ARIAL" w:hAnsi="ARIAL"/>
          <w:b/>
          <w:sz w:val="18"/>
        </w:rPr>
        <w:t xml:space="preserve">Edwin Santos (Chair) </w:t>
      </w:r>
    </w:p>
    <w:p>
      <w:pPr>
        <w:pStyle w:val="TextBody"/>
        <w:bidi w:val="0"/>
        <w:spacing w:before="0" w:after="0"/>
        <w:jc w:val="left"/>
        <w:rPr>
          <w:rFonts w:ascii="ARIAL" w:hAnsi="ARIAL"/>
          <w:b/>
          <w:sz w:val="18"/>
        </w:rPr>
      </w:pPr>
      <w:r>
        <w:rPr>
          <w:rFonts w:ascii="ARIAL" w:hAnsi="ARIAL"/>
          <w:b/>
          <w:sz w:val="18"/>
        </w:rPr>
        <w:t xml:space="preserve">Phillip Riese </w:t>
      </w:r>
    </w:p>
    <w:p>
      <w:pPr>
        <w:pStyle w:val="TextBody"/>
        <w:bidi w:val="0"/>
        <w:spacing w:before="0" w:after="0"/>
        <w:jc w:val="left"/>
        <w:rPr>
          <w:rFonts w:ascii="ARIAL" w:hAnsi="ARIAL"/>
          <w:b/>
          <w:sz w:val="18"/>
        </w:rPr>
      </w:pPr>
      <w:r>
        <w:rPr>
          <w:rFonts w:ascii="ARIAL" w:hAnsi="ARIAL"/>
          <w:b/>
          <w:sz w:val="18"/>
        </w:rPr>
        <w:t xml:space="preserve">Alex Finkelstein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  52  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393FF"/>
          <w:sz w:val="56"/>
        </w:rPr>
      </w:pPr>
      <w:bookmarkStart w:id="48" w:name="toc917810_47"/>
      <w:bookmarkEnd w:id="48"/>
      <w:r>
        <w:rPr>
          <w:rFonts w:ascii="ARIAL" w:hAnsi="ARIAL"/>
          <w:b/>
          <w:color w:val="2393FF"/>
          <w:sz w:val="56"/>
        </w:rPr>
        <w:t xml:space="preserve">Delinquent Section 16(a) Reports </w:t>
      </w:r>
    </w:p>
    <w:p>
      <w:pPr>
        <w:pStyle w:val="TextBody"/>
        <w:bidi w:val="0"/>
        <w:spacing w:before="0" w:after="0"/>
        <w:jc w:val="left"/>
        <w:rPr/>
      </w:pPr>
      <w:r>
        <w:rPr/>
        <w:t> </w:t>
      </w:r>
    </w:p>
    <w:p>
      <w:pPr>
        <w:pStyle w:val="TextBody"/>
        <w:bidi w:val="0"/>
        <w:spacing w:lineRule="atLeast" w:line="142" w:before="0" w:after="40"/>
        <w:jc w:val="left"/>
        <w:rPr>
          <w:bdr w:val="single" w:sz="8" w:space="1" w:color="2393FF"/>
        </w:rPr>
      </w:pPr>
      <w:r>
        <w:rPr>
          <w:bdr w:val="single" w:sz="8" w:space="1" w:color="2393FF"/>
        </w:rPr>
        <w:t> </w:t>
      </w:r>
    </w:p>
    <w:p>
      <w:pPr>
        <w:pStyle w:val="TextBody"/>
        <w:bidi w:val="0"/>
        <w:spacing w:before="200" w:after="0"/>
        <w:jc w:val="left"/>
        <w:rPr>
          <w:rFonts w:ascii="ARIAL" w:hAnsi="ARIAL"/>
          <w:sz w:val="18"/>
        </w:rPr>
      </w:pPr>
      <w:r>
        <w:rPr>
          <w:rFonts w:ascii="ARIAL" w:hAnsi="ARIAL"/>
          <w:sz w:val="18"/>
        </w:rPr>
        <w:t xml:space="preserve">Section 16(a) of the Exchange Act requires our directors and certain of our officers and any person who beneficially owns more than 10% of our common stock to file with the SEC initial reports of beneficial ownership and reports of subsequent changes in their beneficial ownership of our common stock. Such directors, executive officers and stockholders are required by SEC regulation to furnish us with copies of all Section 16(a) forms they file. The SEC has designated specific due dates for these reports and we must identify in this proxy statement those filings that were not filed when due. </w:t>
      </w:r>
    </w:p>
    <w:p>
      <w:pPr>
        <w:pStyle w:val="TextBody"/>
        <w:bidi w:val="0"/>
        <w:spacing w:before="200" w:after="0"/>
        <w:jc w:val="left"/>
        <w:rPr>
          <w:rFonts w:ascii="ARIAL" w:hAnsi="ARIAL"/>
          <w:sz w:val="18"/>
        </w:rPr>
      </w:pPr>
      <w:r>
        <w:rPr>
          <w:rFonts w:ascii="ARIAL" w:hAnsi="ARIAL"/>
          <w:sz w:val="18"/>
        </w:rPr>
        <w:t xml:space="preserve">To our knowledge, based solely on our review of copies of the reports filed with the SEC pursuant to Section 16(a) of the Exchange Act and the written representations of the reporting persons, we believe that all reporting requirements under Section 16(a) of the Exchange Act during 2024 were complied with by each of our directors and officers and each person who beneficially owned more than 10% of our common stock.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  53  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2393FF"/>
          <w:sz w:val="56"/>
        </w:rPr>
      </w:pPr>
      <w:bookmarkStart w:id="49" w:name="toc917810_48"/>
      <w:bookmarkEnd w:id="49"/>
      <w:r>
        <w:rPr>
          <w:rFonts w:ascii="ARIAL" w:hAnsi="ARIAL"/>
          <w:b/>
          <w:color w:val="2393FF"/>
          <w:sz w:val="56"/>
        </w:rPr>
        <w:t xml:space="preserve">Other Matters </w:t>
      </w:r>
    </w:p>
    <w:p>
      <w:pPr>
        <w:pStyle w:val="TextBody"/>
        <w:bidi w:val="0"/>
        <w:spacing w:before="0" w:after="0"/>
        <w:jc w:val="left"/>
        <w:rPr/>
      </w:pPr>
      <w:r>
        <w:rPr/>
        <w:t> </w:t>
      </w:r>
    </w:p>
    <w:p>
      <w:pPr>
        <w:pStyle w:val="TextBody"/>
        <w:bidi w:val="0"/>
        <w:spacing w:lineRule="atLeast" w:line="142" w:before="0" w:after="40"/>
        <w:jc w:val="left"/>
        <w:rPr>
          <w:bdr w:val="single" w:sz="8" w:space="1" w:color="2393FF"/>
        </w:rPr>
      </w:pPr>
      <w:r>
        <w:rPr>
          <w:bdr w:val="single" w:sz="8" w:space="1" w:color="2393FF"/>
        </w:rPr>
        <w:t> </w:t>
      </w:r>
    </w:p>
    <w:p>
      <w:pPr>
        <w:pStyle w:val="TextBody"/>
        <w:bidi w:val="0"/>
        <w:spacing w:before="200" w:after="0"/>
        <w:jc w:val="left"/>
        <w:rPr>
          <w:rFonts w:ascii="ARIAL" w:hAnsi="ARIAL"/>
          <w:sz w:val="18"/>
        </w:rPr>
      </w:pPr>
      <w:r>
        <w:rPr>
          <w:rFonts w:ascii="ARIAL" w:hAnsi="ARIAL"/>
          <w:sz w:val="18"/>
        </w:rPr>
        <w:t xml:space="preserve">We know of no other matters to be submitted at the Annual Meeting. If any other matters properly come before the Annual Meeting, it is the intention of the persons named in the proxy card to vote the shares they represent as Flywire may recommend. </w:t>
      </w:r>
    </w:p>
    <w:p>
      <w:pPr>
        <w:pStyle w:val="TextBody"/>
        <w:bidi w:val="0"/>
        <w:spacing w:before="200" w:after="0"/>
        <w:jc w:val="left"/>
        <w:rPr>
          <w:rFonts w:ascii="ARIAL" w:hAnsi="ARIAL"/>
          <w:sz w:val="18"/>
        </w:rPr>
      </w:pPr>
      <w:r>
        <w:rPr>
          <w:rFonts w:ascii="ARIAL" w:hAnsi="ARIAL"/>
          <w:sz w:val="18"/>
        </w:rPr>
        <w:t xml:space="preserve">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 </w:t>
      </w:r>
    </w:p>
    <w:p>
      <w:pPr>
        <w:pStyle w:val="TextBody"/>
        <w:bidi w:val="0"/>
        <w:spacing w:before="200" w:after="0"/>
        <w:jc w:val="left"/>
        <w:rPr>
          <w:rFonts w:ascii="ARIAL" w:hAnsi="ARIAL"/>
          <w:sz w:val="18"/>
        </w:rPr>
      </w:pPr>
      <w:r>
        <w:rPr>
          <w:rFonts w:ascii="ARIAL" w:hAnsi="ARIAL"/>
          <w:sz w:val="18"/>
        </w:rPr>
        <w:t xml:space="preserve">THE BOARD OF DIRECTORS </w:t>
      </w:r>
    </w:p>
    <w:p>
      <w:pPr>
        <w:pStyle w:val="TextBody"/>
        <w:bidi w:val="0"/>
        <w:spacing w:before="0" w:after="0"/>
        <w:jc w:val="left"/>
        <w:rPr>
          <w:rFonts w:ascii="ARIAL" w:hAnsi="ARIAL"/>
          <w:b/>
          <w:sz w:val="18"/>
        </w:rPr>
      </w:pPr>
      <w:r>
        <w:rPr>
          <w:rFonts w:ascii="ARIAL" w:hAnsi="ARIAL"/>
          <w:b/>
          <w:sz w:val="18"/>
        </w:rPr>
        <w:t xml:space="preserve">Boston, Massachusetts </w:t>
      </w:r>
    </w:p>
    <w:p>
      <w:pPr>
        <w:pStyle w:val="TextBody"/>
        <w:bidi w:val="0"/>
        <w:spacing w:before="0" w:after="0"/>
        <w:jc w:val="left"/>
        <w:rPr>
          <w:rFonts w:ascii="ARIAL" w:hAnsi="ARIAL"/>
          <w:sz w:val="18"/>
        </w:rPr>
      </w:pPr>
      <w:r>
        <w:rPr>
          <w:rFonts w:ascii="ARIAL" w:hAnsi="ARIAL"/>
          <w:sz w:val="18"/>
        </w:rPr>
        <w:t xml:space="preserve">April 22, 2025 </w:t>
      </w:r>
    </w:p>
    <w:p>
      <w:pPr>
        <w:pStyle w:val="TextBody"/>
        <w:bidi w:val="0"/>
        <w:spacing w:before="0" w:after="0"/>
        <w:jc w:val="left"/>
        <w:rPr/>
      </w:pPr>
      <w:r>
        <w:rPr/>
        <w:t> </w:t>
      </w:r>
    </w:p>
    <w:p>
      <w:pPr>
        <w:pStyle w:val="TextBody"/>
        <w:bidi w:val="0"/>
        <w:spacing w:before="0" w:after="0"/>
        <w:jc w:val="center"/>
        <w:rPr>
          <w:rFonts w:ascii="ARIAL" w:hAnsi="ARIAL"/>
          <w:sz w:val="14"/>
        </w:rPr>
      </w:pPr>
      <w:r>
        <w:rPr>
          <w:rFonts w:ascii="ARIAL" w:hAnsi="ARIAL"/>
          <w:b/>
          <w:sz w:val="14"/>
        </w:rPr>
        <w:t>Flywire Corporation   54   2025 Proxy Statement</w:t>
      </w:r>
      <w:r>
        <w:rPr>
          <w:rFonts w:ascii="ARIAL" w:hAnsi="ARIAL"/>
          <w:sz w:val="14"/>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ARIAL" w:hAnsi="ARIAL"/>
          <w:sz w:val="2"/>
        </w:rPr>
      </w:pPr>
      <w:r>
        <w:rPr>
          <w:rFonts w:ascii="ARIAL" w:hAnsi="ARIAL"/>
          <w:color w:val="FFFFFF"/>
          <w:sz w:val="2"/>
        </w:rPr>
        <w:t xml:space="preserve">Your vote </w:t>
      </w:r>
      <w:r>
        <w:rPr>
          <w:rFonts w:ascii="ARIAL" w:hAnsi="ARIAL"/>
          <w:sz w:val="2"/>
        </w:rPr>
        <w:br/>
      </w:r>
      <w:r>
        <w:rPr>
          <w:rFonts w:ascii="ARIAL" w:hAnsi="ARIAL"/>
          <w:color w:val="FFFFFF"/>
          <w:sz w:val="2"/>
        </w:rPr>
        <w:t xml:space="preserve">P. O. BOX 8016, CARY, NC 27512-9903 matters! </w:t>
      </w:r>
      <w:r>
        <w:rPr>
          <w:rFonts w:ascii="ARIAL" w:hAnsi="ARIAL"/>
          <w:sz w:val="2"/>
        </w:rPr>
        <w:br/>
      </w:r>
      <w:r>
        <w:rPr>
          <w:rFonts w:ascii="ARIAL" w:hAnsi="ARIAL"/>
          <w:color w:val="FFFFFF"/>
          <w:sz w:val="2"/>
        </w:rPr>
        <w:t xml:space="preserve">Have your ballot ready and please use one of the methods below for easy voting: </w:t>
      </w:r>
      <w:r>
        <w:rPr>
          <w:rFonts w:ascii="ARIAL" w:hAnsi="ARIAL"/>
          <w:sz w:val="2"/>
        </w:rPr>
        <w:br/>
      </w:r>
      <w:r>
        <w:rPr>
          <w:rFonts w:ascii="ARIAL" w:hAnsi="ARIAL"/>
          <w:color w:val="FFFFFF"/>
          <w:sz w:val="2"/>
        </w:rPr>
        <w:t xml:space="preserve">Your control number </w:t>
      </w:r>
      <w:r>
        <w:rPr>
          <w:rFonts w:ascii="ARIAL" w:hAnsi="ARIAL"/>
          <w:sz w:val="2"/>
        </w:rPr>
        <w:br/>
      </w:r>
      <w:r>
        <w:rPr>
          <w:rFonts w:ascii="ARIAL" w:hAnsi="ARIAL"/>
          <w:color w:val="FFFFFF"/>
          <w:sz w:val="2"/>
        </w:rPr>
        <w:t xml:space="preserve">Have the 12 digit control number located in the box above available when you access the website and follow the instructions. </w:t>
      </w:r>
      <w:r>
        <w:rPr>
          <w:rFonts w:ascii="ARIAL" w:hAnsi="ARIAL"/>
          <w:sz w:val="2"/>
        </w:rPr>
        <w:br/>
      </w:r>
      <w:r>
        <w:rPr>
          <w:rFonts w:ascii="ARIAL" w:hAnsi="ARIAL"/>
          <w:color w:val="FFFFFF"/>
          <w:sz w:val="2"/>
        </w:rPr>
        <w:t xml:space="preserve">Flywire Corporation Internet: </w:t>
      </w:r>
      <w:r>
        <w:rPr>
          <w:rFonts w:ascii="ARIAL" w:hAnsi="ARIAL"/>
          <w:sz w:val="2"/>
        </w:rPr>
        <w:br/>
      </w:r>
      <w:r>
        <w:rPr>
          <w:rFonts w:ascii="ARIAL" w:hAnsi="ARIAL"/>
          <w:color w:val="FFFFFF"/>
          <w:sz w:val="2"/>
        </w:rPr>
        <w:t xml:space="preserve">www.proxypush.com/FLYW </w:t>
      </w:r>
      <w:r>
        <w:rPr>
          <w:rFonts w:ascii="ARIAL" w:hAnsi="ARIAL"/>
          <w:sz w:val="2"/>
        </w:rPr>
        <w:br/>
      </w:r>
      <w:r>
        <w:rPr>
          <w:rFonts w:ascii="ARIAL" w:hAnsi="ARIAL"/>
          <w:color w:val="FFFFFF"/>
          <w:sz w:val="2"/>
        </w:rPr>
        <w:t xml:space="preserve">• Cast your vote online </w:t>
      </w:r>
      <w:r>
        <w:rPr>
          <w:rFonts w:ascii="ARIAL" w:hAnsi="ARIAL"/>
          <w:sz w:val="2"/>
        </w:rPr>
        <w:br/>
      </w:r>
      <w:r>
        <w:rPr>
          <w:rFonts w:ascii="ARIAL" w:hAnsi="ARIAL"/>
          <w:color w:val="FFFFFF"/>
          <w:sz w:val="2"/>
        </w:rPr>
        <w:t xml:space="preserve">• Have your Proxy Card ready </w:t>
      </w:r>
      <w:r>
        <w:rPr>
          <w:rFonts w:ascii="ARIAL" w:hAnsi="ARIAL"/>
          <w:sz w:val="2"/>
        </w:rPr>
        <w:br/>
      </w:r>
      <w:r>
        <w:rPr>
          <w:rFonts w:ascii="ARIAL" w:hAnsi="ARIAL"/>
          <w:color w:val="FFFFFF"/>
          <w:sz w:val="2"/>
        </w:rPr>
        <w:t xml:space="preserve">• Follow the simple instructions to record your vote </w:t>
      </w:r>
      <w:r>
        <w:rPr>
          <w:rFonts w:ascii="ARIAL" w:hAnsi="ARIAL"/>
          <w:sz w:val="2"/>
        </w:rPr>
        <w:br/>
      </w:r>
      <w:r>
        <w:rPr>
          <w:rFonts w:ascii="ARIAL" w:hAnsi="ARIAL"/>
          <w:color w:val="FFFFFF"/>
          <w:sz w:val="2"/>
        </w:rPr>
        <w:t xml:space="preserve">For Stockholders of record as of April 8, 2025 Phone: </w:t>
      </w:r>
      <w:r>
        <w:rPr>
          <w:rFonts w:ascii="ARIAL" w:hAnsi="ARIAL"/>
          <w:sz w:val="2"/>
        </w:rPr>
        <w:br/>
      </w:r>
      <w:r>
        <w:rPr>
          <w:rFonts w:ascii="ARIAL" w:hAnsi="ARIAL"/>
          <w:color w:val="FFFFFF"/>
          <w:sz w:val="2"/>
        </w:rPr>
        <w:t xml:space="preserve">Tuesday, June 3, 2025 9:30 AM, Eastern Time 1-855-782-8496 </w:t>
      </w:r>
      <w:r>
        <w:rPr>
          <w:rFonts w:ascii="ARIAL" w:hAnsi="ARIAL"/>
          <w:sz w:val="2"/>
        </w:rPr>
        <w:br/>
      </w:r>
      <w:r>
        <w:rPr>
          <w:rFonts w:ascii="ARIAL" w:hAnsi="ARIAL"/>
          <w:color w:val="FFFFFF"/>
          <w:sz w:val="2"/>
        </w:rPr>
        <w:t xml:space="preserve">• Use any touch-tone telephone </w:t>
      </w:r>
      <w:r>
        <w:rPr>
          <w:rFonts w:ascii="ARIAL" w:hAnsi="ARIAL"/>
          <w:sz w:val="2"/>
        </w:rPr>
        <w:br/>
      </w:r>
      <w:r>
        <w:rPr>
          <w:rFonts w:ascii="ARIAL" w:hAnsi="ARIAL"/>
          <w:color w:val="FFFFFF"/>
          <w:sz w:val="2"/>
        </w:rPr>
        <w:t xml:space="preserve">Annual Meeting to be held live via the Internet Please visit • Have your Proxy Card ready </w:t>
      </w:r>
      <w:r>
        <w:rPr>
          <w:rFonts w:ascii="ARIAL" w:hAnsi="ARIAL"/>
          <w:sz w:val="2"/>
        </w:rPr>
        <w:br/>
      </w:r>
      <w:r>
        <w:rPr>
          <w:rFonts w:ascii="ARIAL" w:hAnsi="ARIAL"/>
          <w:color w:val="FFFFFF"/>
          <w:sz w:val="2"/>
        </w:rPr>
        <w:t xml:space="preserve">www.proxydocs.com/FLYW for more details. • Follow the simple recorded instructions </w:t>
      </w:r>
      <w:r>
        <w:rPr>
          <w:rFonts w:ascii="ARIAL" w:hAnsi="ARIAL"/>
          <w:sz w:val="2"/>
        </w:rPr>
        <w:br/>
      </w:r>
      <w:r>
        <w:rPr>
          <w:rFonts w:ascii="ARIAL" w:hAnsi="ARIAL"/>
          <w:color w:val="FFFFFF"/>
          <w:sz w:val="2"/>
        </w:rPr>
        <w:t xml:space="preserve">Mail: </w:t>
      </w:r>
      <w:r>
        <w:rPr>
          <w:rFonts w:ascii="ARIAL" w:hAnsi="ARIAL"/>
          <w:sz w:val="2"/>
        </w:rPr>
        <w:br/>
      </w:r>
      <w:r>
        <w:rPr>
          <w:rFonts w:ascii="ARIAL" w:hAnsi="ARIAL"/>
          <w:color w:val="FFFFFF"/>
          <w:sz w:val="2"/>
        </w:rPr>
        <w:t xml:space="preserve">• Mark, sign and date your Proxy Card </w:t>
      </w:r>
      <w:r>
        <w:rPr>
          <w:rFonts w:ascii="ARIAL" w:hAnsi="ARIAL"/>
          <w:sz w:val="2"/>
        </w:rPr>
        <w:br/>
      </w:r>
      <w:r>
        <w:rPr>
          <w:rFonts w:ascii="ARIAL" w:hAnsi="ARIAL"/>
          <w:color w:val="FFFFFF"/>
          <w:sz w:val="2"/>
        </w:rPr>
        <w:t xml:space="preserve">• Fold and return your Proxy Card in the postage-paid </w:t>
      </w:r>
      <w:r>
        <w:rPr>
          <w:rFonts w:ascii="ARIAL" w:hAnsi="ARIAL"/>
          <w:sz w:val="2"/>
        </w:rPr>
        <w:br/>
      </w:r>
      <w:r>
        <w:rPr>
          <w:rFonts w:ascii="ARIAL" w:hAnsi="ARIAL"/>
          <w:color w:val="FFFFFF"/>
          <w:sz w:val="2"/>
        </w:rPr>
        <w:t xml:space="preserve">YOUR VOTE IS IMPORTANT!  envelope provided </w:t>
      </w:r>
      <w:r>
        <w:rPr>
          <w:rFonts w:ascii="ARIAL" w:hAnsi="ARIAL"/>
          <w:sz w:val="2"/>
        </w:rPr>
        <w:br/>
      </w:r>
      <w:r>
        <w:rPr>
          <w:rFonts w:ascii="ARIAL" w:hAnsi="ARIAL"/>
          <w:color w:val="FFFFFF"/>
          <w:sz w:val="2"/>
        </w:rPr>
        <w:t xml:space="preserve">PLEASE VOTE BY: 9:30 AM, Eastern Time, June 3, 2025. Virtual: </w:t>
      </w:r>
      <w:r>
        <w:rPr>
          <w:rFonts w:ascii="ARIAL" w:hAnsi="ARIAL"/>
          <w:sz w:val="2"/>
        </w:rPr>
        <w:br/>
      </w:r>
      <w:r>
        <w:rPr>
          <w:rFonts w:ascii="ARIAL" w:hAnsi="ARIAL"/>
          <w:color w:val="FFFFFF"/>
          <w:sz w:val="2"/>
        </w:rPr>
        <w:t xml:space="preserve">You must register to attend the meeting online </w:t>
      </w:r>
      <w:r>
        <w:rPr>
          <w:rFonts w:ascii="ARIAL" w:hAnsi="ARIAL"/>
          <w:sz w:val="2"/>
        </w:rPr>
        <w:br/>
      </w:r>
      <w:r>
        <w:rPr>
          <w:rFonts w:ascii="ARIAL" w:hAnsi="ARIAL"/>
          <w:color w:val="FFFFFF"/>
          <w:sz w:val="2"/>
        </w:rPr>
        <w:t xml:space="preserve">and/or participate at www.proxydocs.com/FLYW </w:t>
      </w:r>
      <w:r>
        <w:rPr>
          <w:rFonts w:ascii="ARIAL" w:hAnsi="ARIAL"/>
          <w:sz w:val="2"/>
        </w:rPr>
        <w:br/>
      </w:r>
      <w:r>
        <w:rPr>
          <w:rFonts w:ascii="ARIAL" w:hAnsi="ARIAL"/>
          <w:color w:val="FFFFFF"/>
          <w:sz w:val="2"/>
        </w:rPr>
        <w:t xml:space="preserve">This proxy is being solicited on behalf of the Board of Directors </w:t>
      </w:r>
      <w:r>
        <w:rPr>
          <w:rFonts w:ascii="ARIAL" w:hAnsi="ARIAL"/>
          <w:sz w:val="2"/>
        </w:rPr>
        <w:br/>
      </w:r>
      <w:r>
        <w:rPr>
          <w:rFonts w:ascii="ARIAL" w:hAnsi="ARIAL"/>
          <w:color w:val="FFFFFF"/>
          <w:sz w:val="2"/>
        </w:rPr>
        <w:t xml:space="preserve">The undersigned hereby appoints Michael Massaro and Cosmin Pitigoi (the “Named Proxies”), and each or either of them, as the true and lawful attorneys of the undersigned, with full power of substitution and revocation, and authorizes them, and each of them, to vote all the shares of capital stock of Flywire Corporation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r>
        <w:rPr>
          <w:rFonts w:ascii="ARIAL" w:hAnsi="ARIAL"/>
          <w:sz w:val="2"/>
        </w:rPr>
        <w:br/>
      </w:r>
      <w:r>
        <w:rPr>
          <w:rFonts w:ascii="ARIAL" w:hAnsi="ARIAL"/>
          <w:color w:val="FFFFFF"/>
          <w:sz w:val="2"/>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r>
        <w:rPr>
          <w:rFonts w:ascii="ARIAL" w:hAnsi="ARIAL"/>
          <w:sz w:val="2"/>
        </w:rPr>
        <w:br/>
      </w:r>
      <w:r>
        <w:rPr>
          <w:rFonts w:ascii="ARIAL" w:hAnsi="ARIAL"/>
          <w:color w:val="FFFFFF"/>
          <w:sz w:val="2"/>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r>
        <w:rPr>
          <w:rFonts w:ascii="ARIAL" w:hAnsi="ARIAL"/>
          <w:sz w:val="2"/>
        </w:rPr>
        <w:br/>
      </w:r>
      <w:r>
        <w:rPr>
          <w:rFonts w:ascii="ARIAL" w:hAnsi="ARIAL"/>
          <w:color w:val="FFFFFF"/>
          <w:sz w:val="2"/>
        </w:rPr>
        <w:t xml:space="preserve">PLEASE BE SURE TO SIGN AND DATE THIS PROXY CARD AND MARK ON THE REVERSE SIDE </w:t>
      </w:r>
      <w:r>
        <w:rPr>
          <w:rFonts w:ascii="ARIAL" w:hAnsi="ARIAL"/>
          <w:sz w:val="2"/>
        </w:rPr>
        <w:br/>
      </w:r>
      <w:r>
        <w:rPr>
          <w:rFonts w:ascii="ARIAL" w:hAnsi="ARIAL"/>
          <w:color w:val="FFFFFF"/>
          <w:sz w:val="2"/>
        </w:rPr>
        <w:t xml:space="preserve">Copyright © 2025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ARIAL" w:hAnsi="ARIAL"/>
          <w:sz w:val="2"/>
        </w:rPr>
      </w:pPr>
      <w:r>
        <w:rPr>
          <w:rFonts w:ascii="ARIAL" w:hAnsi="ARIAL"/>
          <w:color w:val="FFFFFF"/>
          <w:sz w:val="2"/>
        </w:rPr>
        <w:t xml:space="preserve">Flywire Corporation Annual Meeting of Stockholders </w:t>
      </w:r>
      <w:r>
        <w:rPr>
          <w:rFonts w:ascii="ARIAL" w:hAnsi="ARIAL"/>
          <w:sz w:val="2"/>
        </w:rPr>
        <w:br/>
      </w:r>
      <w:r>
        <w:rPr>
          <w:rFonts w:ascii="ARIAL" w:hAnsi="ARIAL"/>
          <w:color w:val="FFFFFF"/>
          <w:sz w:val="2"/>
        </w:rPr>
        <w:t xml:space="preserve">Please make your marks like this: </w:t>
      </w:r>
      <w:r>
        <w:rPr>
          <w:rFonts w:ascii="ARIAL" w:hAnsi="ARIAL"/>
          <w:sz w:val="2"/>
        </w:rPr>
        <w:br/>
      </w:r>
      <w:r>
        <w:rPr>
          <w:rFonts w:ascii="ARIAL" w:hAnsi="ARIAL"/>
          <w:color w:val="FFFFFF"/>
          <w:sz w:val="2"/>
        </w:rPr>
        <w:t xml:space="preserve">THE BOARD OF DIRECTORS RECOMMENDS A VOTE: </w:t>
      </w:r>
      <w:r>
        <w:rPr>
          <w:rFonts w:ascii="ARIAL" w:hAnsi="ARIAL"/>
          <w:sz w:val="2"/>
        </w:rPr>
        <w:br/>
      </w:r>
      <w:r>
        <w:rPr>
          <w:rFonts w:ascii="ARIAL" w:hAnsi="ARIAL"/>
          <w:color w:val="FFFFFF"/>
          <w:sz w:val="2"/>
        </w:rPr>
        <w:t xml:space="preserve">FOR ON PROPOSALS 1, 2 AND 3 </w:t>
      </w:r>
      <w:r>
        <w:rPr>
          <w:rFonts w:ascii="ARIAL" w:hAnsi="ARIAL"/>
          <w:sz w:val="2"/>
        </w:rPr>
        <w:br/>
      </w:r>
      <w:r>
        <w:rPr>
          <w:rFonts w:ascii="ARIAL" w:hAnsi="ARIAL"/>
          <w:color w:val="FFFFFF"/>
          <w:sz w:val="2"/>
        </w:rPr>
        <w:t xml:space="preserve">BOARD OF </w:t>
      </w:r>
      <w:r>
        <w:rPr>
          <w:rFonts w:ascii="ARIAL" w:hAnsi="ARIAL"/>
          <w:sz w:val="2"/>
        </w:rPr>
        <w:br/>
      </w:r>
      <w:r>
        <w:rPr>
          <w:rFonts w:ascii="ARIAL" w:hAnsi="ARIAL"/>
          <w:color w:val="FFFFFF"/>
          <w:sz w:val="2"/>
        </w:rPr>
        <w:t xml:space="preserve">DIRECTORS </w:t>
      </w:r>
      <w:r>
        <w:rPr>
          <w:rFonts w:ascii="ARIAL" w:hAnsi="ARIAL"/>
          <w:sz w:val="2"/>
        </w:rPr>
        <w:br/>
      </w:r>
      <w:r>
        <w:rPr>
          <w:rFonts w:ascii="ARIAL" w:hAnsi="ARIAL"/>
          <w:color w:val="FFFFFF"/>
          <w:sz w:val="2"/>
        </w:rPr>
        <w:t xml:space="preserve">PROPOSAL YOUR VOTE RECOMMENDS </w:t>
      </w:r>
      <w:r>
        <w:rPr>
          <w:rFonts w:ascii="ARIAL" w:hAnsi="ARIAL"/>
          <w:sz w:val="2"/>
        </w:rPr>
        <w:br/>
      </w:r>
      <w:r>
        <w:rPr>
          <w:rFonts w:ascii="ARIAL" w:hAnsi="ARIAL"/>
          <w:color w:val="FFFFFF"/>
          <w:sz w:val="2"/>
        </w:rPr>
        <w:t xml:space="preserve">1. Elect two directors to serve as Class I directors until the 2028 Annual Meeting of Stockholders </w:t>
      </w:r>
      <w:r>
        <w:rPr>
          <w:rFonts w:ascii="ARIAL" w:hAnsi="ARIAL"/>
          <w:sz w:val="2"/>
        </w:rPr>
        <w:br/>
      </w:r>
      <w:r>
        <w:rPr>
          <w:rFonts w:ascii="ARIAL" w:hAnsi="ARIAL"/>
          <w:color w:val="FFFFFF"/>
          <w:sz w:val="2"/>
        </w:rPr>
        <w:t xml:space="preserve">FOR WITHHOLD </w:t>
      </w:r>
      <w:r>
        <w:rPr>
          <w:rFonts w:ascii="ARIAL" w:hAnsi="ARIAL"/>
          <w:sz w:val="2"/>
        </w:rPr>
        <w:br/>
      </w:r>
      <w:r>
        <w:rPr>
          <w:rFonts w:ascii="ARIAL" w:hAnsi="ARIAL"/>
          <w:color w:val="FFFFFF"/>
          <w:sz w:val="2"/>
        </w:rPr>
        <w:t xml:space="preserve">1.1 Michael Massaro FOR </w:t>
      </w:r>
      <w:r>
        <w:rPr>
          <w:rFonts w:ascii="ARIAL" w:hAnsi="ARIAL"/>
          <w:sz w:val="2"/>
        </w:rPr>
        <w:br/>
      </w:r>
      <w:r>
        <w:rPr>
          <w:rFonts w:ascii="ARIAL" w:hAnsi="ARIAL"/>
          <w:color w:val="FFFFFF"/>
          <w:sz w:val="2"/>
        </w:rPr>
        <w:t xml:space="preserve">1.2 Diane Offereins FOR </w:t>
      </w:r>
      <w:r>
        <w:rPr>
          <w:rFonts w:ascii="ARIAL" w:hAnsi="ARIAL"/>
          <w:sz w:val="2"/>
        </w:rPr>
        <w:br/>
      </w:r>
      <w:r>
        <w:rPr>
          <w:rFonts w:ascii="ARIAL" w:hAnsi="ARIAL"/>
          <w:color w:val="FFFFFF"/>
          <w:sz w:val="2"/>
        </w:rPr>
        <w:t xml:space="preserve">FOR AGAINST ABSTAIN </w:t>
      </w:r>
      <w:r>
        <w:rPr>
          <w:rFonts w:ascii="ARIAL" w:hAnsi="ARIAL"/>
          <w:sz w:val="2"/>
        </w:rPr>
        <w:br/>
      </w:r>
      <w:r>
        <w:rPr>
          <w:rFonts w:ascii="ARIAL" w:hAnsi="ARIAL"/>
          <w:color w:val="FFFFFF"/>
          <w:sz w:val="2"/>
        </w:rPr>
        <w:t xml:space="preserve">2. Ratify the appointment of PricewaterhouseCoopers LLP as Flywire Corporation’s independent FOR </w:t>
      </w:r>
      <w:r>
        <w:rPr>
          <w:rFonts w:ascii="ARIAL" w:hAnsi="ARIAL"/>
          <w:sz w:val="2"/>
        </w:rPr>
        <w:br/>
      </w:r>
      <w:r>
        <w:rPr>
          <w:rFonts w:ascii="ARIAL" w:hAnsi="ARIAL"/>
          <w:color w:val="FFFFFF"/>
          <w:sz w:val="2"/>
        </w:rPr>
        <w:t xml:space="preserve">registered public accounting firm for the year ending December 31, 2025 </w:t>
      </w:r>
      <w:r>
        <w:rPr>
          <w:rFonts w:ascii="ARIAL" w:hAnsi="ARIAL"/>
          <w:sz w:val="2"/>
        </w:rPr>
        <w:br/>
      </w:r>
      <w:r>
        <w:rPr>
          <w:rFonts w:ascii="ARIAL" w:hAnsi="ARIAL"/>
          <w:color w:val="FFFFFF"/>
          <w:sz w:val="2"/>
        </w:rPr>
        <w:t xml:space="preserve">3. Approve, on a non-binding, advisory basis, the compensation of Flywire Corporation’s named FOR </w:t>
      </w:r>
      <w:r>
        <w:rPr>
          <w:rFonts w:ascii="ARIAL" w:hAnsi="ARIAL"/>
          <w:sz w:val="2"/>
        </w:rPr>
        <w:br/>
      </w:r>
      <w:r>
        <w:rPr>
          <w:rFonts w:ascii="ARIAL" w:hAnsi="ARIAL"/>
          <w:color w:val="FFFFFF"/>
          <w:sz w:val="2"/>
        </w:rPr>
        <w:t xml:space="preserve">executive officers </w:t>
      </w:r>
      <w:r>
        <w:rPr>
          <w:rFonts w:ascii="ARIAL" w:hAnsi="ARIAL"/>
          <w:sz w:val="2"/>
        </w:rPr>
        <w:br/>
      </w:r>
      <w:r>
        <w:rPr>
          <w:rFonts w:ascii="ARIAL" w:hAnsi="ARIAL"/>
          <w:color w:val="FFFFFF"/>
          <w:sz w:val="2"/>
        </w:rPr>
        <w:t xml:space="preserve">You must register to attend the meeting online and/or participate at www.proxydocs.com/FLYW </w:t>
      </w:r>
      <w:r>
        <w:rPr>
          <w:rFonts w:ascii="ARIAL" w:hAnsi="ARIAL"/>
          <w:sz w:val="2"/>
        </w:rPr>
        <w:br/>
      </w:r>
      <w:r>
        <w:rPr>
          <w:rFonts w:ascii="ARIAL" w:hAnsi="ARIAL"/>
          <w:color w:val="FFFFFF"/>
          <w:sz w:val="2"/>
        </w:rPr>
        <w:t xml:space="preserve">Authorized Signatures—Must be completed for your instructions to be executed. </w:t>
      </w:r>
      <w:r>
        <w:rPr>
          <w:rFonts w:ascii="ARIAL" w:hAnsi="ARIAL"/>
          <w:sz w:val="2"/>
        </w:rPr>
        <w:br/>
      </w:r>
      <w:r>
        <w:rPr>
          <w:rFonts w:ascii="ARIAL" w:hAnsi="ARIAL"/>
          <w:color w:val="FFFFFF"/>
          <w:sz w:val="2"/>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r>
        <w:rPr>
          <w:rFonts w:ascii="ARIAL" w:hAnsi="ARIAL"/>
          <w:sz w:val="2"/>
        </w:rPr>
        <w:br/>
      </w:r>
      <w:r>
        <w:rPr>
          <w:rFonts w:ascii="ARIAL" w:hAnsi="ARIAL"/>
          <w:color w:val="FFFFFF"/>
          <w:sz w:val="2"/>
        </w:rPr>
        <w:t xml:space="preserve">Signature (and Title if applicable) </w:t>
      </w:r>
      <w:r>
        <w:rPr>
          <w:rFonts w:ascii="ARIAL" w:hAnsi="ARIAL"/>
          <w:sz w:val="2"/>
        </w:rPr>
        <w:br/>
      </w:r>
      <w:r>
        <w:rPr>
          <w:rFonts w:ascii="ARIAL" w:hAnsi="ARIAL"/>
          <w:color w:val="FFFFFF"/>
          <w:sz w:val="2"/>
        </w:rPr>
        <w:t xml:space="preserve">Date </w:t>
      </w:r>
      <w:r>
        <w:rPr>
          <w:rFonts w:ascii="ARIAL" w:hAnsi="ARIAL"/>
          <w:sz w:val="2"/>
        </w:rPr>
        <w:br/>
      </w:r>
      <w:r>
        <w:rPr>
          <w:rFonts w:ascii="ARIAL" w:hAnsi="ARIAL"/>
          <w:color w:val="FFFFFF"/>
          <w:sz w:val="2"/>
        </w:rPr>
        <w:t xml:space="preserve">Signature (if held jointly) </w:t>
      </w:r>
      <w:r>
        <w:rPr>
          <w:rFonts w:ascii="ARIAL" w:hAnsi="ARIAL"/>
          <w:sz w:val="2"/>
        </w:rPr>
        <w:br/>
      </w:r>
      <w:r>
        <w:rPr>
          <w:rFonts w:ascii="ARIAL" w:hAnsi="ARIAL"/>
          <w:color w:val="FFFFFF"/>
          <w:sz w:val="2"/>
        </w:rPr>
        <w:t xml:space="preserve">Date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29475</Words>
  <Characters>161181</Characters>
  <CharactersWithSpaces>193004</CharactersWithSpaces>
  <Paragraphs>4753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