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10562d424b5.htm"/>
        <w:bookmarkStart w:id="1" w:name="ksd510562d424b5"/>
        <w:bookmarkEnd w:id="0"/>
        <w:bookmarkEnd w:id="1"/>
        <w:r>
          <w:rPr>
            <w:rStyle w:val="InternetLink"/>
          </w:rPr>
          <w:t>Table of Contents</w:t>
        </w:r>
      </w:hyperlink>
    </w:p>
    <w:p>
      <w:pPr>
        <w:pStyle w:val="TextBody"/>
        <w:bidi w:val="0"/>
        <w:spacing w:before="0" w:after="0"/>
        <w:jc w:val="right"/>
        <w:rPr>
          <w:rFonts w:ascii="Arial" w:hAnsi="Arial"/>
          <w:b/>
          <w:sz w:val="20"/>
        </w:rPr>
      </w:pPr>
      <w:r>
        <w:rPr>
          <w:rFonts w:ascii="Arial" w:hAnsi="Arial"/>
          <w:b/>
          <w:sz w:val="20"/>
        </w:rPr>
        <w:t xml:space="preserve">Filed Pursuant to Rule 424(b)(5) </w:t>
        <w:br/>
        <w:t xml:space="preserve">Registration No. 333-273835 </w:t>
      </w:r>
    </w:p>
    <w:p>
      <w:pPr>
        <w:pStyle w:val="TextBody"/>
        <w:bidi w:val="0"/>
        <w:spacing w:before="0" w:after="0"/>
        <w:jc w:val="left"/>
        <w:rPr/>
      </w:pPr>
      <w:r>
        <w:rPr/>
        <w:t> </w:t>
      </w:r>
    </w:p>
    <w:p>
      <w:pPr>
        <w:pStyle w:val="TextBody"/>
        <w:bidi w:val="0"/>
        <w:spacing w:before="0" w:after="0"/>
        <w:jc w:val="left"/>
        <w:rPr>
          <w:rFonts w:ascii="Arial" w:hAnsi="Arial"/>
          <w:b/>
          <w:sz w:val="23"/>
        </w:rPr>
      </w:pPr>
      <w:r>
        <w:rPr>
          <w:rFonts w:ascii="Arial" w:hAnsi="Arial"/>
          <w:b/>
          <w:sz w:val="23"/>
        </w:rPr>
        <w:t xml:space="preserve">Prospectus Supplement </w:t>
      </w:r>
    </w:p>
    <w:p>
      <w:pPr>
        <w:pStyle w:val="TextBody"/>
        <w:bidi w:val="0"/>
        <w:spacing w:before="0" w:after="0"/>
        <w:jc w:val="left"/>
        <w:rPr>
          <w:rFonts w:ascii="Arial" w:hAnsi="Arial"/>
          <w:b/>
          <w:sz w:val="23"/>
        </w:rPr>
      </w:pPr>
      <w:r>
        <w:rPr>
          <w:rFonts w:ascii="Arial" w:hAnsi="Arial"/>
          <w:b/>
          <w:sz w:val="23"/>
        </w:rPr>
        <w:t xml:space="preserve">(To Prospectus dated August 9, 2023) </w:t>
      </w:r>
    </w:p>
    <w:p>
      <w:pPr>
        <w:pStyle w:val="TextBody"/>
        <w:bidi w:val="0"/>
        <w:spacing w:before="0" w:after="0"/>
        <w:jc w:val="left"/>
        <w:rPr/>
      </w:pPr>
      <w:r>
        <w:rPr/>
        <w:t> </w:t>
      </w:r>
    </w:p>
    <w:p>
      <w:pPr>
        <w:pStyle w:val="TextBody"/>
        <w:bidi w:val="0"/>
        <w:spacing w:before="0" w:after="0"/>
        <w:jc w:val="center"/>
        <w:rPr/>
      </w:pPr>
      <w:r>
        <w:rPr/>
        <w:drawing>
          <wp:inline distT="0" distB="0" distL="0" distR="0">
            <wp:extent cx="151765" cy="533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765" cy="53340"/>
                    </a:xfrm>
                    <a:prstGeom prst="rect">
                      <a:avLst/>
                    </a:prstGeom>
                  </pic:spPr>
                </pic:pic>
              </a:graphicData>
            </a:graphic>
          </wp:inline>
        </w:drawing>
      </w:r>
      <w:r>
        <w:rPr/>
        <w:t xml:space="preserve"> </w:t>
      </w:r>
    </w:p>
    <w:p>
      <w:pPr>
        <w:pStyle w:val="TextBody"/>
        <w:bidi w:val="0"/>
        <w:spacing w:before="80" w:after="0"/>
        <w:jc w:val="center"/>
        <w:rPr>
          <w:rFonts w:ascii="Arial" w:hAnsi="Arial"/>
          <w:sz w:val="27"/>
        </w:rPr>
      </w:pPr>
      <w:r>
        <w:rPr>
          <w:rFonts w:ascii="Arial" w:hAnsi="Arial"/>
          <w:sz w:val="27"/>
        </w:rPr>
        <w:t xml:space="preserve">8,000,000 Shares of Common Stock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80" w:after="0"/>
        <w:jc w:val="left"/>
        <w:rPr>
          <w:rFonts w:ascii="Arial" w:hAnsi="Arial"/>
          <w:sz w:val="19"/>
        </w:rPr>
      </w:pPr>
      <w:r>
        <w:rPr>
          <w:rFonts w:ascii="Arial" w:hAnsi="Arial"/>
          <w:sz w:val="19"/>
        </w:rPr>
        <w:t xml:space="preserve">This is a public offering of shares of voting common stock of Flywire Corporation. We are offering 8,000,000 shares of our voting common stock. </w:t>
      </w:r>
    </w:p>
    <w:p>
      <w:pPr>
        <w:pStyle w:val="TextBody"/>
        <w:bidi w:val="0"/>
        <w:spacing w:before="80" w:after="0"/>
        <w:jc w:val="left"/>
        <w:rPr>
          <w:rFonts w:ascii="Arial" w:hAnsi="Arial"/>
          <w:sz w:val="19"/>
        </w:rPr>
      </w:pPr>
      <w:r>
        <w:rPr>
          <w:rFonts w:ascii="Arial" w:hAnsi="Arial"/>
          <w:sz w:val="19"/>
        </w:rPr>
        <w:t xml:space="preserve">We have two classes of common stock, voting common stock and non-voting common stock. The rights of the holders of voting common stock and non-voting common stock are identical, except for voting and conversion rights. Each share of voting common stock is entitled to one vote and is not convertible into another class or series of our securities. Non-voting common stock is not entitled to vote, except as required by law, and automatically converts without the payment of additional consideration into voting common stock upon transfer by holders of non-voting common stock in certain circumstances. As such, only holders of voting common stock are entitled to vote on the election of members of our board of directors. Unless otherwise noted or unless the context provides otherwise, all references in this prospectus supplement to our common stock refers to our voting common stock. </w:t>
      </w:r>
    </w:p>
    <w:p>
      <w:pPr>
        <w:pStyle w:val="TextBody"/>
        <w:bidi w:val="0"/>
        <w:spacing w:before="80" w:after="0"/>
        <w:jc w:val="left"/>
        <w:rPr>
          <w:rFonts w:ascii="Arial" w:hAnsi="Arial"/>
          <w:sz w:val="19"/>
        </w:rPr>
      </w:pPr>
      <w:r>
        <w:rPr>
          <w:rFonts w:ascii="Arial" w:hAnsi="Arial"/>
          <w:sz w:val="19"/>
        </w:rPr>
        <w:t xml:space="preserve">Our common stock is listed on The Nasdaq Global Select Market (Nasdaq) under the symbol FLYW. On August 9, 2023, the last reported sale price of shares of our common stock on Nasdaq was $34.17 per share.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84"/>
        <w:gridCol w:w="494"/>
        <w:gridCol w:w="430"/>
        <w:gridCol w:w="1081"/>
        <w:gridCol w:w="60"/>
        <w:gridCol w:w="494"/>
        <w:gridCol w:w="318"/>
        <w:gridCol w:w="1579"/>
        <w:gridCol w:w="65"/>
      </w:tblGrid>
      <w:tr>
        <w:trPr/>
        <w:tc>
          <w:tcPr>
            <w:tcW w:w="5684"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84"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511" w:type="dxa"/>
            <w:gridSpan w:val="2"/>
            <w:tcBorders>
              <w:bottom w:val="single" w:sz="8" w:space="0" w:color="000000"/>
            </w:tcBorders>
            <w:tcMar>
              <w:bottom w:w="28" w:type="dxa"/>
            </w:tcMar>
            <w:vAlign w:val="bottom"/>
          </w:tcPr>
          <w:p>
            <w:pPr>
              <w:pStyle w:val="TableContents"/>
              <w:bidi w:val="0"/>
              <w:spacing w:before="0" w:after="283"/>
              <w:jc w:val="center"/>
              <w:rPr/>
            </w:pPr>
            <w:r>
              <w:rPr>
                <w:rFonts w:ascii="Arial" w:hAnsi="Arial"/>
              </w:rPr>
              <w:t>Per</w:t>
            </w:r>
            <w:r>
              <w:rPr/>
              <w:br/>
              <w:t>          </w:t>
            </w:r>
            <w:r>
              <w:rPr>
                <w:rFonts w:ascii="Arial" w:hAnsi="Arial"/>
              </w:rPr>
              <w:t>Share           </w:t>
            </w:r>
          </w:p>
        </w:tc>
        <w:tc>
          <w:tcPr>
            <w:tcW w:w="60"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rFonts w:ascii="Arial" w:hAnsi="Arial"/>
              </w:rPr>
              <w:t xml:space="preserve">Total           </w:t>
            </w:r>
          </w:p>
        </w:tc>
        <w:tc>
          <w:tcPr>
            <w:tcW w:w="65" w:type="dxa"/>
            <w:tcBorders/>
            <w:vAlign w:val="bottom"/>
          </w:tcPr>
          <w:p>
            <w:pPr>
              <w:pStyle w:val="TableContents"/>
              <w:bidi w:val="0"/>
              <w:spacing w:before="0" w:after="283"/>
              <w:jc w:val="left"/>
              <w:rPr/>
            </w:pPr>
            <w:r>
              <w:rPr/>
              <w:t> </w:t>
            </w:r>
          </w:p>
        </w:tc>
      </w:tr>
      <w:tr>
        <w:trPr/>
        <w:tc>
          <w:tcPr>
            <w:tcW w:w="5684" w:type="dxa"/>
            <w:tcBorders/>
            <w:shd w:fill="CCEEFF" w:val="clear"/>
          </w:tcPr>
          <w:p>
            <w:pPr>
              <w:pStyle w:val="TableContents"/>
              <w:bidi w:val="0"/>
              <w:spacing w:before="0" w:after="0"/>
              <w:jc w:val="left"/>
              <w:rPr>
                <w:rFonts w:ascii="Arial" w:hAnsi="Arial"/>
                <w:sz w:val="19"/>
              </w:rPr>
            </w:pPr>
            <w:r>
              <w:rPr>
                <w:rFonts w:ascii="Arial" w:hAnsi="Arial"/>
                <w:sz w:val="19"/>
              </w:rPr>
              <w:t>Public offering price</w:t>
            </w:r>
          </w:p>
        </w:tc>
        <w:tc>
          <w:tcPr>
            <w:tcW w:w="494"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r>
              <w:rPr>
                <w:rFonts w:ascii="Arial" w:hAnsi="Arial"/>
              </w:rPr>
              <w:t>$</w:t>
            </w:r>
          </w:p>
        </w:tc>
        <w:tc>
          <w:tcPr>
            <w:tcW w:w="1081" w:type="dxa"/>
            <w:tcBorders/>
            <w:shd w:fill="CCEEFF" w:val="clear"/>
            <w:vAlign w:val="bottom"/>
          </w:tcPr>
          <w:p>
            <w:pPr>
              <w:pStyle w:val="TableContents"/>
              <w:bidi w:val="0"/>
              <w:spacing w:before="0" w:after="283"/>
              <w:jc w:val="right"/>
              <w:rPr>
                <w:rFonts w:ascii="Arial" w:hAnsi="Arial"/>
              </w:rPr>
            </w:pPr>
            <w:r>
              <w:rPr>
                <w:rFonts w:ascii="Arial" w:hAnsi="Arial"/>
              </w:rPr>
              <w:t>32.00</w:t>
            </w:r>
          </w:p>
        </w:tc>
        <w:tc>
          <w:tcPr>
            <w:tcW w:w="60"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r>
              <w:rPr>
                <w:rFonts w:ascii="Arial" w:hAnsi="Arial"/>
              </w:rPr>
              <w:t>$</w:t>
            </w:r>
          </w:p>
        </w:tc>
        <w:tc>
          <w:tcPr>
            <w:tcW w:w="1579" w:type="dxa"/>
            <w:tcBorders/>
            <w:shd w:fill="CCEEFF" w:val="clear"/>
            <w:vAlign w:val="bottom"/>
          </w:tcPr>
          <w:p>
            <w:pPr>
              <w:pStyle w:val="TableContents"/>
              <w:bidi w:val="0"/>
              <w:spacing w:before="0" w:after="283"/>
              <w:jc w:val="right"/>
              <w:rPr>
                <w:rFonts w:ascii="Arial" w:hAnsi="Arial"/>
              </w:rPr>
            </w:pPr>
            <w:r>
              <w:rPr>
                <w:rFonts w:ascii="Arial" w:hAnsi="Arial"/>
              </w:rPr>
              <w:t>256,000,000</w:t>
            </w:r>
          </w:p>
        </w:tc>
        <w:tc>
          <w:tcPr>
            <w:tcW w:w="65" w:type="dxa"/>
            <w:tcBorders/>
            <w:shd w:fill="CCEEFF" w:val="clear"/>
            <w:vAlign w:val="bottom"/>
          </w:tcPr>
          <w:p>
            <w:pPr>
              <w:pStyle w:val="TableContents"/>
              <w:bidi w:val="0"/>
              <w:spacing w:before="0" w:after="283"/>
              <w:jc w:val="left"/>
              <w:rPr/>
            </w:pPr>
            <w:r>
              <w:rPr/>
              <w:t> </w:t>
            </w:r>
          </w:p>
        </w:tc>
      </w:tr>
      <w:tr>
        <w:trPr/>
        <w:tc>
          <w:tcPr>
            <w:tcW w:w="5684" w:type="dxa"/>
            <w:tcBorders/>
          </w:tcPr>
          <w:p>
            <w:pPr>
              <w:pStyle w:val="TableContents"/>
              <w:bidi w:val="0"/>
              <w:spacing w:before="0" w:after="0"/>
              <w:jc w:val="left"/>
              <w:rPr>
                <w:rFonts w:ascii="Arial" w:hAnsi="Arial"/>
                <w:sz w:val="19"/>
              </w:rPr>
            </w:pPr>
            <w:r>
              <w:rPr>
                <w:rFonts w:ascii="Arial" w:hAnsi="Arial"/>
                <w:sz w:val="19"/>
              </w:rPr>
              <w:t>Underwriting discounts and commissions(1)</w:t>
            </w:r>
          </w:p>
        </w:tc>
        <w:tc>
          <w:tcPr>
            <w:tcW w:w="494"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r>
              <w:rPr>
                <w:rFonts w:ascii="Arial" w:hAnsi="Arial"/>
              </w:rPr>
              <w:t>$</w:t>
            </w:r>
          </w:p>
        </w:tc>
        <w:tc>
          <w:tcPr>
            <w:tcW w:w="1081" w:type="dxa"/>
            <w:tcBorders/>
            <w:vAlign w:val="bottom"/>
          </w:tcPr>
          <w:p>
            <w:pPr>
              <w:pStyle w:val="TableContents"/>
              <w:bidi w:val="0"/>
              <w:spacing w:before="0" w:after="283"/>
              <w:jc w:val="right"/>
              <w:rPr>
                <w:rFonts w:ascii="Arial" w:hAnsi="Arial"/>
              </w:rPr>
            </w:pPr>
            <w:r>
              <w:rPr>
                <w:rFonts w:ascii="Arial" w:hAnsi="Arial"/>
              </w:rPr>
              <w:t>1.28</w:t>
            </w:r>
          </w:p>
        </w:tc>
        <w:tc>
          <w:tcPr>
            <w:tcW w:w="60"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r>
              <w:rPr>
                <w:rFonts w:ascii="Arial" w:hAnsi="Arial"/>
              </w:rPr>
              <w:t>$</w:t>
            </w:r>
          </w:p>
        </w:tc>
        <w:tc>
          <w:tcPr>
            <w:tcW w:w="1579" w:type="dxa"/>
            <w:tcBorders/>
            <w:vAlign w:val="bottom"/>
          </w:tcPr>
          <w:p>
            <w:pPr>
              <w:pStyle w:val="TableContents"/>
              <w:bidi w:val="0"/>
              <w:spacing w:before="0" w:after="283"/>
              <w:jc w:val="right"/>
              <w:rPr>
                <w:rFonts w:ascii="Arial" w:hAnsi="Arial"/>
              </w:rPr>
            </w:pPr>
            <w:r>
              <w:rPr>
                <w:rFonts w:ascii="Arial" w:hAnsi="Arial"/>
              </w:rPr>
              <w:t>10,240,000</w:t>
            </w:r>
          </w:p>
        </w:tc>
        <w:tc>
          <w:tcPr>
            <w:tcW w:w="65" w:type="dxa"/>
            <w:tcBorders/>
            <w:vAlign w:val="bottom"/>
          </w:tcPr>
          <w:p>
            <w:pPr>
              <w:pStyle w:val="TableContents"/>
              <w:bidi w:val="0"/>
              <w:spacing w:before="0" w:after="283"/>
              <w:jc w:val="left"/>
              <w:rPr/>
            </w:pPr>
            <w:r>
              <w:rPr/>
              <w:t> </w:t>
            </w:r>
          </w:p>
        </w:tc>
      </w:tr>
      <w:tr>
        <w:trPr/>
        <w:tc>
          <w:tcPr>
            <w:tcW w:w="5684" w:type="dxa"/>
            <w:tcBorders/>
            <w:shd w:fill="CCEEFF" w:val="clear"/>
          </w:tcPr>
          <w:p>
            <w:pPr>
              <w:pStyle w:val="TableContents"/>
              <w:bidi w:val="0"/>
              <w:spacing w:before="0" w:after="0"/>
              <w:jc w:val="left"/>
              <w:rPr>
                <w:rFonts w:ascii="Arial" w:hAnsi="Arial"/>
                <w:sz w:val="19"/>
              </w:rPr>
            </w:pPr>
            <w:r>
              <w:rPr>
                <w:rFonts w:ascii="Arial" w:hAnsi="Arial"/>
                <w:sz w:val="19"/>
              </w:rPr>
              <w:t>Proceeds, before expenses, to us</w:t>
            </w:r>
          </w:p>
        </w:tc>
        <w:tc>
          <w:tcPr>
            <w:tcW w:w="494"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r>
              <w:rPr>
                <w:rFonts w:ascii="Arial" w:hAnsi="Arial"/>
              </w:rPr>
              <w:t>$</w:t>
            </w:r>
          </w:p>
        </w:tc>
        <w:tc>
          <w:tcPr>
            <w:tcW w:w="1081" w:type="dxa"/>
            <w:tcBorders/>
            <w:shd w:fill="CCEEFF" w:val="clear"/>
            <w:vAlign w:val="bottom"/>
          </w:tcPr>
          <w:p>
            <w:pPr>
              <w:pStyle w:val="TableContents"/>
              <w:bidi w:val="0"/>
              <w:spacing w:before="0" w:after="283"/>
              <w:jc w:val="right"/>
              <w:rPr>
                <w:rFonts w:ascii="Arial" w:hAnsi="Arial"/>
              </w:rPr>
            </w:pPr>
            <w:r>
              <w:rPr>
                <w:rFonts w:ascii="Arial" w:hAnsi="Arial"/>
              </w:rPr>
              <w:t>30.72</w:t>
            </w:r>
          </w:p>
        </w:tc>
        <w:tc>
          <w:tcPr>
            <w:tcW w:w="60"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r>
              <w:rPr>
                <w:rFonts w:ascii="Arial" w:hAnsi="Arial"/>
              </w:rPr>
              <w:t>$</w:t>
            </w:r>
          </w:p>
        </w:tc>
        <w:tc>
          <w:tcPr>
            <w:tcW w:w="1579" w:type="dxa"/>
            <w:tcBorders/>
            <w:shd w:fill="CCEEFF" w:val="clear"/>
            <w:vAlign w:val="bottom"/>
          </w:tcPr>
          <w:p>
            <w:pPr>
              <w:pStyle w:val="TableContents"/>
              <w:bidi w:val="0"/>
              <w:spacing w:before="0" w:after="283"/>
              <w:jc w:val="right"/>
              <w:rPr>
                <w:rFonts w:ascii="Arial" w:hAnsi="Arial"/>
              </w:rPr>
            </w:pPr>
            <w:r>
              <w:rPr>
                <w:rFonts w:ascii="Arial" w:hAnsi="Arial"/>
              </w:rPr>
              <w:t>245,760,000</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6"/>
              </w:rPr>
            </w:pPr>
            <w:r>
              <w:rPr>
                <w:rFonts w:ascii="Arial" w:hAnsi="Arial"/>
                <w:sz w:val="16"/>
              </w:rPr>
              <w:t xml:space="preserve">See Underwriting for a description of the compensation payable to the underwriters. </w:t>
            </w:r>
          </w:p>
        </w:tc>
      </w:tr>
    </w:tbl>
    <w:p>
      <w:pPr>
        <w:pStyle w:val="TextBody"/>
        <w:bidi w:val="0"/>
        <w:spacing w:before="80" w:after="0"/>
        <w:jc w:val="left"/>
        <w:rPr>
          <w:rFonts w:ascii="Arial" w:hAnsi="Arial"/>
          <w:sz w:val="19"/>
        </w:rPr>
      </w:pPr>
      <w:r>
        <w:rPr>
          <w:rFonts w:ascii="Arial" w:hAnsi="Arial"/>
          <w:sz w:val="19"/>
        </w:rPr>
        <w:t xml:space="preserve">The underwriters have an option to purchase up to 1,200,000 additional shares of our common stock from us at the public offering price, in each case less the underwriting discounts and commissions. The underwriters may exercise this right at any time within 30 days of the date of this prospectus supplement. See Underwriting for more information. </w:t>
      </w:r>
    </w:p>
    <w:p>
      <w:pPr>
        <w:pStyle w:val="TextBody"/>
        <w:bidi w:val="0"/>
        <w:spacing w:before="80" w:after="0"/>
        <w:jc w:val="left"/>
        <w:rPr>
          <w:rFonts w:ascii="Arial" w:hAnsi="Arial"/>
          <w:b/>
          <w:sz w:val="19"/>
        </w:rPr>
      </w:pPr>
      <w:r>
        <w:rPr>
          <w:rFonts w:ascii="Arial" w:hAnsi="Arial"/>
          <w:b/>
          <w:sz w:val="19"/>
        </w:rPr>
        <w:t xml:space="preserve">Investing in our common stock involves risks. </w:t>
      </w:r>
    </w:p>
    <w:p>
      <w:pPr>
        <w:pStyle w:val="TextBody"/>
        <w:bidi w:val="0"/>
        <w:spacing w:before="80" w:after="0"/>
        <w:jc w:val="left"/>
        <w:rPr/>
      </w:pPr>
      <w:r>
        <w:rPr>
          <w:rFonts w:ascii="Arial" w:hAnsi="Arial"/>
          <w:i/>
          <w:sz w:val="19"/>
        </w:rPr>
        <w:t>Please read </w:t>
      </w:r>
      <w:hyperlink w:anchor="suppbc510562_4">
        <w:r>
          <w:rPr>
            <w:rStyle w:val="InternetLink"/>
            <w:rFonts w:ascii="Arial" w:hAnsi="Arial"/>
            <w:i/>
            <w:sz w:val="19"/>
          </w:rPr>
          <w:t>Risk Factors</w:t>
        </w:r>
      </w:hyperlink>
      <w:r>
        <w:rPr>
          <w:rFonts w:ascii="Arial" w:hAnsi="Arial"/>
          <w:i/>
          <w:sz w:val="19"/>
        </w:rPr>
        <w:t xml:space="preserve"> beginning on page S-9 of this prospectus supplement, and in the documents incorporated by reference into this prospectus supplement and the accompanying base prospectus.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80" w:after="0"/>
        <w:jc w:val="left"/>
        <w:rPr>
          <w:rFonts w:ascii="Arial" w:hAnsi="Arial"/>
          <w:b/>
          <w:sz w:val="19"/>
        </w:rPr>
      </w:pPr>
      <w:r>
        <w:rPr>
          <w:rFonts w:ascii="Arial" w:hAnsi="Arial"/>
          <w:b/>
          <w:sz w:val="19"/>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80" w:after="0"/>
        <w:jc w:val="left"/>
        <w:rPr>
          <w:rFonts w:ascii="Arial" w:hAnsi="Arial"/>
          <w:sz w:val="19"/>
        </w:rPr>
      </w:pPr>
      <w:r>
        <w:rPr>
          <w:rFonts w:ascii="Arial" w:hAnsi="Arial"/>
          <w:sz w:val="19"/>
        </w:rPr>
        <w:t xml:space="preserve">The underwriters expect to deliver the shares against payment in New York, New York, on or about August 14,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center"/>
              <w:rPr>
                <w:rFonts w:ascii="Arial" w:hAnsi="Arial"/>
                <w:b/>
              </w:rPr>
            </w:pPr>
            <w:r>
              <w:rPr>
                <w:rFonts w:ascii="Arial" w:hAnsi="Arial"/>
                <w:b/>
              </w:rPr>
              <w:t>Goldman Sachs &amp; Co. LLC</w:t>
            </w:r>
          </w:p>
        </w:tc>
      </w:tr>
    </w:tbl>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368"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Citigroup</w:t>
            </w:r>
          </w:p>
        </w:tc>
      </w:tr>
      <w:tr>
        <w:trPr>
          <w:trHeight w:val="60" w:hRule="atLeast"/>
        </w:trPr>
        <w:tc>
          <w:tcPr>
            <w:tcW w:w="3368"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RBC Capital Markets</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Raymond James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William Blair</w:t>
            </w:r>
          </w:p>
        </w:tc>
      </w:tr>
    </w:tbl>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368"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sz w:val="18"/>
              </w:rPr>
            </w:pPr>
            <w:r>
              <w:rPr>
                <w:b/>
                <w:sz w:val="18"/>
              </w:rPr>
              <w:t>Wolfe | Nomura Alliance</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sz w:val="18"/>
              </w:rPr>
            </w:pPr>
            <w:r>
              <w:rPr>
                <w:b/>
                <w:sz w:val="18"/>
              </w:rPr>
              <w:t>B. Riley Securities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0"/>
              <w:jc w:val="right"/>
              <w:rPr>
                <w:rFonts w:ascii="Arial" w:hAnsi="Arial"/>
                <w:b/>
                <w:sz w:val="18"/>
              </w:rPr>
            </w:pPr>
            <w:r>
              <w:rPr>
                <w:rFonts w:ascii="Arial" w:hAnsi="Arial"/>
                <w:b/>
                <w:sz w:val="18"/>
              </w:rPr>
              <w:t>Stephens Inc.</w:t>
            </w:r>
          </w:p>
        </w:tc>
      </w:tr>
    </w:tbl>
    <w:tbl>
      <w:tblPr>
        <w:tblW w:w="5000" w:type="pct"/>
        <w:jc w:val="center"/>
        <w:tblInd w:w="0" w:type="dxa"/>
        <w:tblLayout w:type="fixed"/>
        <w:tblCellMar>
          <w:top w:w="0" w:type="dxa"/>
          <w:left w:w="0" w:type="dxa"/>
          <w:bottom w:w="0" w:type="dxa"/>
          <w:right w:w="0" w:type="dxa"/>
        </w:tblCellMar>
      </w:tblPr>
      <w:tblGrid>
        <w:gridCol w:w="2059"/>
        <w:gridCol w:w="90"/>
        <w:gridCol w:w="2545"/>
        <w:gridCol w:w="90"/>
        <w:gridCol w:w="2872"/>
        <w:gridCol w:w="90"/>
        <w:gridCol w:w="2459"/>
      </w:tblGrid>
      <w:tr>
        <w:trPr/>
        <w:tc>
          <w:tcPr>
            <w:tcW w:w="20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059" w:type="dxa"/>
            <w:tcBorders/>
            <w:vAlign w:val="center"/>
          </w:tcPr>
          <w:p>
            <w:pPr>
              <w:pStyle w:val="TableContents"/>
              <w:bidi w:val="0"/>
              <w:spacing w:before="0" w:after="283"/>
              <w:jc w:val="left"/>
              <w:rPr>
                <w:sz w:val="4"/>
                <w:szCs w:val="4"/>
              </w:rPr>
            </w:pPr>
            <w:r>
              <w:rPr>
                <w:sz w:val="4"/>
                <w:szCs w:val="4"/>
              </w:rPr>
            </w:r>
          </w:p>
        </w:tc>
        <w:tc>
          <w:tcPr>
            <w:tcW w:w="2635" w:type="dxa"/>
            <w:gridSpan w:val="2"/>
            <w:tcBorders/>
            <w:vAlign w:val="center"/>
          </w:tcPr>
          <w:p>
            <w:pPr>
              <w:pStyle w:val="TableContents"/>
              <w:bidi w:val="0"/>
              <w:spacing w:before="0" w:after="283"/>
              <w:jc w:val="left"/>
              <w:rPr>
                <w:sz w:val="4"/>
                <w:szCs w:val="4"/>
              </w:rPr>
            </w:pPr>
            <w:r>
              <w:rPr>
                <w:sz w:val="4"/>
                <w:szCs w:val="4"/>
              </w:rPr>
            </w:r>
          </w:p>
        </w:tc>
        <w:tc>
          <w:tcPr>
            <w:tcW w:w="2962" w:type="dxa"/>
            <w:gridSpan w:val="2"/>
            <w:tcBorders/>
            <w:vAlign w:val="center"/>
          </w:tcPr>
          <w:p>
            <w:pPr>
              <w:pStyle w:val="TableContents"/>
              <w:bidi w:val="0"/>
              <w:spacing w:before="0" w:after="283"/>
              <w:jc w:val="left"/>
              <w:rPr>
                <w:sz w:val="4"/>
                <w:szCs w:val="4"/>
              </w:rPr>
            </w:pPr>
            <w:r>
              <w:rPr>
                <w:sz w:val="4"/>
                <w:szCs w:val="4"/>
              </w:rPr>
            </w:r>
          </w:p>
        </w:tc>
        <w:tc>
          <w:tcPr>
            <w:tcW w:w="2549" w:type="dxa"/>
            <w:gridSpan w:val="2"/>
            <w:tcBorders/>
            <w:vAlign w:val="center"/>
          </w:tcPr>
          <w:p>
            <w:pPr>
              <w:pStyle w:val="TableContents"/>
              <w:bidi w:val="0"/>
              <w:spacing w:before="0" w:after="283"/>
              <w:jc w:val="left"/>
              <w:rPr>
                <w:sz w:val="4"/>
                <w:szCs w:val="4"/>
              </w:rPr>
            </w:pPr>
            <w:r>
              <w:rPr>
                <w:sz w:val="4"/>
                <w:szCs w:val="4"/>
              </w:rPr>
            </w:r>
          </w:p>
        </w:tc>
      </w:tr>
      <w:tr>
        <w:trPr/>
        <w:tc>
          <w:tcPr>
            <w:tcW w:w="2059" w:type="dxa"/>
            <w:tcBorders/>
          </w:tcPr>
          <w:p>
            <w:pPr>
              <w:pStyle w:val="TableContents"/>
              <w:bidi w:val="0"/>
              <w:spacing w:before="0" w:after="283"/>
              <w:jc w:val="left"/>
              <w:rPr>
                <w:b/>
              </w:rPr>
            </w:pPr>
            <w:r>
              <w:rPr>
                <w:b/>
              </w:rPr>
              <w:t>AmeriVet Securities</w:t>
            </w:r>
          </w:p>
        </w:tc>
        <w:tc>
          <w:tcPr>
            <w:tcW w:w="90" w:type="dxa"/>
            <w:tcBorders/>
            <w:vAlign w:val="bottom"/>
          </w:tcPr>
          <w:p>
            <w:pPr>
              <w:pStyle w:val="TableContents"/>
              <w:bidi w:val="0"/>
              <w:spacing w:before="0" w:after="283"/>
              <w:jc w:val="left"/>
              <w:rPr/>
            </w:pPr>
            <w:r>
              <w:rPr/>
              <w:t> </w:t>
            </w:r>
          </w:p>
        </w:tc>
        <w:tc>
          <w:tcPr>
            <w:tcW w:w="2545" w:type="dxa"/>
            <w:tcBorders/>
          </w:tcPr>
          <w:p>
            <w:pPr>
              <w:pStyle w:val="TableContents"/>
              <w:bidi w:val="0"/>
              <w:spacing w:before="0" w:after="283"/>
              <w:jc w:val="right"/>
              <w:rPr>
                <w:b/>
              </w:rPr>
            </w:pPr>
            <w:r>
              <w:rPr>
                <w:b/>
              </w:rPr>
              <w:t>Ramirez &amp; Co., Inc.</w:t>
            </w:r>
          </w:p>
        </w:tc>
        <w:tc>
          <w:tcPr>
            <w:tcW w:w="90" w:type="dxa"/>
            <w:tcBorders/>
            <w:vAlign w:val="bottom"/>
          </w:tcPr>
          <w:p>
            <w:pPr>
              <w:pStyle w:val="TableContents"/>
              <w:bidi w:val="0"/>
              <w:spacing w:before="0" w:after="283"/>
              <w:jc w:val="left"/>
              <w:rPr/>
            </w:pPr>
            <w:r>
              <w:rPr/>
              <w:t> </w:t>
            </w:r>
          </w:p>
        </w:tc>
        <w:tc>
          <w:tcPr>
            <w:tcW w:w="2872" w:type="dxa"/>
            <w:tcBorders/>
          </w:tcPr>
          <w:p>
            <w:pPr>
              <w:pStyle w:val="TableContents"/>
              <w:bidi w:val="0"/>
              <w:spacing w:before="0" w:after="283"/>
              <w:jc w:val="right"/>
              <w:rPr>
                <w:b/>
              </w:rPr>
            </w:pPr>
            <w:r>
              <w:rPr>
                <w:b/>
              </w:rPr>
              <w:t>Siebert Williams Shank</w:t>
            </w:r>
          </w:p>
        </w:tc>
        <w:tc>
          <w:tcPr>
            <w:tcW w:w="90" w:type="dxa"/>
            <w:tcBorders/>
            <w:vAlign w:val="bottom"/>
          </w:tcPr>
          <w:p>
            <w:pPr>
              <w:pStyle w:val="TableContents"/>
              <w:bidi w:val="0"/>
              <w:spacing w:before="0" w:after="283"/>
              <w:jc w:val="left"/>
              <w:rPr/>
            </w:pPr>
            <w:r>
              <w:rPr/>
              <w:t> </w:t>
            </w:r>
          </w:p>
        </w:tc>
        <w:tc>
          <w:tcPr>
            <w:tcW w:w="2459" w:type="dxa"/>
            <w:tcBorders/>
          </w:tcPr>
          <w:p>
            <w:pPr>
              <w:pStyle w:val="TableContents"/>
              <w:bidi w:val="0"/>
              <w:spacing w:before="0" w:after="283"/>
              <w:jc w:val="right"/>
              <w:rPr>
                <w:b/>
              </w:rPr>
            </w:pPr>
            <w:r>
              <w:rPr>
                <w:b/>
              </w:rPr>
              <w:t>Telsey Advisory Group</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80" w:after="0"/>
        <w:jc w:val="center"/>
        <w:rPr>
          <w:rFonts w:ascii="Arial" w:hAnsi="Arial"/>
          <w:sz w:val="19"/>
        </w:rPr>
      </w:pPr>
      <w:r>
        <w:rPr>
          <w:rFonts w:ascii="Arial" w:hAnsi="Arial"/>
          <w:sz w:val="19"/>
        </w:rPr>
        <w:t xml:space="preserve">Prospectus supplement dated August 9,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240" w:after="0"/>
        <w:jc w:val="center"/>
        <w:rPr>
          <w:rFonts w:ascii="Arial" w:hAnsi="Arial"/>
          <w:b/>
          <w:sz w:val="20"/>
        </w:rPr>
      </w:pPr>
      <w:r>
        <w:rPr>
          <w:rFonts w:ascii="Arial" w:hAnsi="Arial"/>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77"/>
        <w:gridCol w:w="101"/>
        <w:gridCol w:w="60"/>
        <w:gridCol w:w="406"/>
        <w:gridCol w:w="61"/>
      </w:tblGrid>
      <w:tr>
        <w:trPr/>
        <w:tc>
          <w:tcPr>
            <w:tcW w:w="957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577" w:type="dxa"/>
            <w:tcBorders/>
          </w:tcPr>
          <w:p>
            <w:pPr>
              <w:pStyle w:val="TableContents"/>
              <w:bidi w:val="0"/>
              <w:spacing w:before="0" w:after="0"/>
              <w:jc w:val="left"/>
              <w:rPr/>
            </w:pPr>
            <w:hyperlink w:anchor="suppbc510562_1">
              <w:r>
                <w:rPr>
                  <w:rStyle w:val="InternetLink"/>
                  <w:rFonts w:ascii="Arial" w:hAnsi="Arial"/>
                  <w:sz w:val="20"/>
                </w:rPr>
                <w:t>ABOUT THIS PROSPECTUS SUPPLEMENT</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S-1</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2">
              <w:r>
                <w:rPr>
                  <w:rStyle w:val="InternetLink"/>
                  <w:rFonts w:ascii="Arial" w:hAnsi="Arial"/>
                  <w:sz w:val="20"/>
                </w:rPr>
                <w:t>SPECIAL NOTE REGARDING FORWARD-LOOKING STATEMENTS</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S-3</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3">
              <w:r>
                <w:rPr>
                  <w:rStyle w:val="InternetLink"/>
                  <w:rFonts w:ascii="Arial" w:hAnsi="Arial"/>
                  <w:sz w:val="20"/>
                </w:rPr>
                <w:t>PROSPECTUS SUPPLEMENT SUMMARY</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S-6</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4">
              <w:r>
                <w:rPr>
                  <w:rStyle w:val="InternetLink"/>
                  <w:rFonts w:ascii="Arial" w:hAnsi="Arial"/>
                  <w:sz w:val="20"/>
                </w:rPr>
                <w:t>RISK FACTORS</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S-9</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5">
              <w:r>
                <w:rPr>
                  <w:rStyle w:val="InternetLink"/>
                  <w:rFonts w:ascii="Arial" w:hAnsi="Arial"/>
                  <w:sz w:val="20"/>
                </w:rPr>
                <w:t>USE OF PROCEEDS</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S-12</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6">
              <w:r>
                <w:rPr>
                  <w:rStyle w:val="InternetLink"/>
                  <w:rFonts w:ascii="Arial" w:hAnsi="Arial"/>
                  <w:sz w:val="20"/>
                </w:rPr>
                <w:t>DIVIDEND POLICY</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S-13</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7">
              <w:r>
                <w:rPr>
                  <w:rStyle w:val="InternetLink"/>
                  <w:rFonts w:ascii="Arial" w:hAnsi="Arial"/>
                  <w:sz w:val="20"/>
                </w:rPr>
                <w:t>DILUTION</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S-14</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8">
              <w:r>
                <w:rPr>
                  <w:rStyle w:val="InternetLink"/>
                  <w:rFonts w:ascii="Arial" w:hAnsi="Arial"/>
                  <w:sz w:val="20"/>
                </w:rPr>
                <w:t>MATERIAL UNITED STATES FEDERAL INCOME TAX CONSEQUENCES FOR NON-U.S. HOLDERS OF OUR COMMON STOCK</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S-15</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9">
              <w:r>
                <w:rPr>
                  <w:rStyle w:val="InternetLink"/>
                  <w:rFonts w:ascii="Arial" w:hAnsi="Arial"/>
                  <w:sz w:val="20"/>
                </w:rPr>
                <w:t>UNDERWRITING</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S-20</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10">
              <w:r>
                <w:rPr>
                  <w:rStyle w:val="InternetLink"/>
                  <w:rFonts w:ascii="Arial" w:hAnsi="Arial"/>
                  <w:sz w:val="20"/>
                </w:rPr>
                <w:t>LEGAL MATTERS</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S-26</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11">
              <w:r>
                <w:rPr>
                  <w:rStyle w:val="InternetLink"/>
                  <w:rFonts w:ascii="Arial" w:hAnsi="Arial"/>
                  <w:sz w:val="20"/>
                </w:rPr>
                <w:t>EXPERTS</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S-26</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12">
              <w:r>
                <w:rPr>
                  <w:rStyle w:val="InternetLink"/>
                  <w:rFonts w:ascii="Arial" w:hAnsi="Arial"/>
                  <w:sz w:val="20"/>
                </w:rPr>
                <w:t>WHERE YOU CAN FIND ADDITIONAL INFORMATION</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S-26</w:t>
            </w:r>
          </w:p>
        </w:tc>
        <w:tc>
          <w:tcPr>
            <w:tcW w:w="61" w:type="dxa"/>
            <w:tcBorders/>
            <w:vAlign w:val="bottom"/>
          </w:tcPr>
          <w:p>
            <w:pPr>
              <w:pStyle w:val="TableContents"/>
              <w:bidi w:val="0"/>
              <w:spacing w:before="0" w:after="283"/>
              <w:jc w:val="left"/>
              <w:rPr/>
            </w:pPr>
            <w:r>
              <w:rPr/>
              <w:t> </w:t>
            </w:r>
          </w:p>
        </w:tc>
      </w:tr>
      <w:tr>
        <w:trPr/>
        <w:tc>
          <w:tcPr>
            <w:tcW w:w="9577" w:type="dxa"/>
            <w:tcBorders/>
          </w:tcPr>
          <w:p>
            <w:pPr>
              <w:pStyle w:val="TableContents"/>
              <w:bidi w:val="0"/>
              <w:spacing w:before="0" w:after="0"/>
              <w:jc w:val="left"/>
              <w:rPr/>
            </w:pPr>
            <w:hyperlink w:anchor="suppbc510562_13">
              <w:r>
                <w:rPr>
                  <w:rStyle w:val="InternetLink"/>
                  <w:rFonts w:ascii="Arial" w:hAnsi="Arial"/>
                  <w:sz w:val="20"/>
                </w:rPr>
                <w:t>INFORMATION INCORPORATED BY REFERENCE</w:t>
              </w:r>
            </w:hyperlink>
          </w:p>
        </w:tc>
        <w:tc>
          <w:tcPr>
            <w:tcW w:w="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right"/>
              <w:rPr>
                <w:rFonts w:ascii="Arial" w:hAnsi="Arial"/>
              </w:rPr>
            </w:pPr>
            <w:r>
              <w:rPr>
                <w:rFonts w:ascii="Arial" w:hAnsi="Arial"/>
              </w:rPr>
              <w:t>S-26</w:t>
            </w:r>
          </w:p>
        </w:tc>
        <w:tc>
          <w:tcPr>
            <w:tcW w:w="61" w:type="dxa"/>
            <w:tcBorders/>
            <w:vAlign w:val="bottom"/>
          </w:tcPr>
          <w:p>
            <w:pPr>
              <w:pStyle w:val="TableContents"/>
              <w:bidi w:val="0"/>
              <w:spacing w:before="0" w:after="283"/>
              <w:jc w:val="left"/>
              <w:rPr/>
            </w:pPr>
            <w:r>
              <w:rPr/>
              <w:t> </w:t>
            </w:r>
          </w:p>
        </w:tc>
      </w:tr>
    </w:tbl>
    <w:p>
      <w:pPr>
        <w:pStyle w:val="TextBody"/>
        <w:bidi w:val="0"/>
        <w:spacing w:before="320" w:after="0"/>
        <w:jc w:val="center"/>
        <w:rPr>
          <w:rFonts w:ascii="Arial" w:hAnsi="Arial"/>
          <w:b/>
          <w:sz w:val="20"/>
        </w:rPr>
      </w:pPr>
      <w:r>
        <w:rPr>
          <w:rFonts w:ascii="Arial" w:hAnsi="Arial"/>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69"/>
        <w:gridCol w:w="385"/>
        <w:gridCol w:w="164"/>
        <w:gridCol w:w="426"/>
        <w:gridCol w:w="61"/>
      </w:tblGrid>
      <w:tr>
        <w:trPr/>
        <w:tc>
          <w:tcPr>
            <w:tcW w:w="9169"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16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rFonts w:ascii="Arial" w:hAnsi="Arial"/>
              </w:rPr>
            </w:pPr>
            <w:r>
              <w:rPr>
                <w:rFonts w:ascii="Arial" w:hAnsi="Arial"/>
              </w:rPr>
              <w:t>Page</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1">
              <w:r>
                <w:rPr>
                  <w:rStyle w:val="InternetLink"/>
                  <w:rFonts w:ascii="Arial" w:hAnsi="Arial"/>
                  <w:sz w:val="20"/>
                </w:rPr>
                <w:t xml:space="preserve">Special Note Regarding Forward-Looking Statements </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1</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2">
              <w:r>
                <w:rPr>
                  <w:rStyle w:val="InternetLink"/>
                  <w:rFonts w:ascii="Arial" w:hAnsi="Arial"/>
                  <w:sz w:val="20"/>
                </w:rPr>
                <w:t>About This Prospectus</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2</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3">
              <w:r>
                <w:rPr>
                  <w:rStyle w:val="InternetLink"/>
                  <w:rFonts w:ascii="Arial" w:hAnsi="Arial"/>
                  <w:sz w:val="20"/>
                </w:rPr>
                <w:t>The Company</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3</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4">
              <w:r>
                <w:rPr>
                  <w:rStyle w:val="InternetLink"/>
                  <w:rFonts w:ascii="Arial" w:hAnsi="Arial"/>
                  <w:sz w:val="20"/>
                </w:rPr>
                <w:t>Risk Factors</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4</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5">
              <w:r>
                <w:rPr>
                  <w:rStyle w:val="InternetLink"/>
                  <w:rFonts w:ascii="Arial" w:hAnsi="Arial"/>
                  <w:sz w:val="20"/>
                </w:rPr>
                <w:t>Use of Proceeds</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4</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6">
              <w:r>
                <w:rPr>
                  <w:rStyle w:val="InternetLink"/>
                  <w:rFonts w:ascii="Arial" w:hAnsi="Arial"/>
                  <w:sz w:val="20"/>
                </w:rPr>
                <w:t>Selling Securityholders</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4</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7">
              <w:r>
                <w:rPr>
                  <w:rStyle w:val="InternetLink"/>
                  <w:rFonts w:ascii="Arial" w:hAnsi="Arial"/>
                  <w:sz w:val="20"/>
                </w:rPr>
                <w:t>Plan of Distribution</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4</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8">
              <w:r>
                <w:rPr>
                  <w:rStyle w:val="InternetLink"/>
                  <w:rFonts w:ascii="Arial" w:hAnsi="Arial"/>
                  <w:sz w:val="20"/>
                </w:rPr>
                <w:t>Description of Capital Stock</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5</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9">
              <w:r>
                <w:rPr>
                  <w:rStyle w:val="InternetLink"/>
                  <w:rFonts w:ascii="Arial" w:hAnsi="Arial"/>
                  <w:sz w:val="20"/>
                </w:rPr>
                <w:t>Description of Debt Securities</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5</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10">
              <w:r>
                <w:rPr>
                  <w:rStyle w:val="InternetLink"/>
                  <w:rFonts w:ascii="Arial" w:hAnsi="Arial"/>
                  <w:sz w:val="20"/>
                </w:rPr>
                <w:t>Description of Warrants</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6</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11">
              <w:r>
                <w:rPr>
                  <w:rStyle w:val="InternetLink"/>
                  <w:rFonts w:ascii="Arial" w:hAnsi="Arial"/>
                  <w:sz w:val="20"/>
                </w:rPr>
                <w:t>Legal Matters</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6</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12">
              <w:r>
                <w:rPr>
                  <w:rStyle w:val="InternetLink"/>
                  <w:rFonts w:ascii="Arial" w:hAnsi="Arial"/>
                  <w:sz w:val="20"/>
                </w:rPr>
                <w:t>Experts</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6</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13">
              <w:r>
                <w:rPr>
                  <w:rStyle w:val="InternetLink"/>
                  <w:rFonts w:ascii="Arial" w:hAnsi="Arial"/>
                  <w:sz w:val="20"/>
                </w:rPr>
                <w:t>Where You Can Find More Information</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6</w:t>
            </w:r>
          </w:p>
        </w:tc>
        <w:tc>
          <w:tcPr>
            <w:tcW w:w="61" w:type="dxa"/>
            <w:tcBorders/>
            <w:vAlign w:val="bottom"/>
          </w:tcPr>
          <w:p>
            <w:pPr>
              <w:pStyle w:val="TableContents"/>
              <w:bidi w:val="0"/>
              <w:spacing w:before="0" w:after="283"/>
              <w:jc w:val="left"/>
              <w:rPr/>
            </w:pPr>
            <w:r>
              <w:rPr/>
              <w:t> </w:t>
            </w:r>
          </w:p>
        </w:tc>
      </w:tr>
      <w:tr>
        <w:trPr/>
        <w:tc>
          <w:tcPr>
            <w:tcW w:w="9169" w:type="dxa"/>
            <w:tcBorders/>
            <w:vAlign w:val="bottom"/>
          </w:tcPr>
          <w:p>
            <w:pPr>
              <w:pStyle w:val="TableContents"/>
              <w:bidi w:val="0"/>
              <w:spacing w:before="0" w:after="0"/>
              <w:jc w:val="left"/>
              <w:rPr/>
            </w:pPr>
            <w:hyperlink w:anchor="tx487210_14">
              <w:r>
                <w:rPr>
                  <w:rStyle w:val="InternetLink"/>
                  <w:rFonts w:ascii="Arial" w:hAnsi="Arial"/>
                  <w:sz w:val="20"/>
                </w:rPr>
                <w:t>Incorporation by Reference</w:t>
              </w:r>
            </w:hyperlink>
          </w:p>
        </w:tc>
        <w:tc>
          <w:tcPr>
            <w:tcW w:w="3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rFonts w:ascii="Arial" w:hAnsi="Arial"/>
              </w:rPr>
            </w:pPr>
            <w:r>
              <w:rPr>
                <w:rFonts w:ascii="Arial" w:hAnsi="Arial"/>
              </w:rPr>
              <w:t>6</w:t>
            </w:r>
          </w:p>
        </w:tc>
        <w:tc>
          <w:tcPr>
            <w:tcW w:w="61"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We have not authorized any person to provide you with any information other than that contained or incorporated by reference in this prospectus supplement and the accompanying prospectus and any free writing prospectus prepared by or on behalf of us. We take no responsibility for, and can provide no assurance as to the reliability of, any other information that others may give you. We are not making an offer to sell these securities in any jurisdiction where the offer or sale is not permitted. You should not assume that the information contained in or incorporated by reference in this prospectus supplement or any prospectus supplement or in any such free writing prospectus is accurate as of any date other than their respective dates.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3" w:name="suppbc510562_1"/>
      <w:bookmarkEnd w:id="3"/>
      <w:r>
        <w:rPr>
          <w:rFonts w:ascii="Arial" w:hAnsi="Arial"/>
          <w:b/>
          <w:sz w:val="20"/>
        </w:rPr>
        <w:t xml:space="preserve">ABOUT THIS PROSPECTUS SUPPLEMENT </w:t>
      </w:r>
    </w:p>
    <w:p>
      <w:pPr>
        <w:pStyle w:val="TextBody"/>
        <w:bidi w:val="0"/>
        <w:spacing w:before="240" w:after="0"/>
        <w:jc w:val="left"/>
        <w:rPr>
          <w:rFonts w:ascii="Arial" w:hAnsi="Arial"/>
          <w:sz w:val="20"/>
        </w:rPr>
      </w:pPr>
      <w:r>
        <w:rPr>
          <w:rFonts w:ascii="Arial" w:hAnsi="Arial"/>
          <w:sz w:val="20"/>
        </w:rPr>
        <w:t xml:space="preserve">This document is in two parts. The first part is this prospectus supplement, which describes the specific terms of this offering of shares of our common stock and also adds to and updates information contained in the accompanying base prospectus and the documents incorporated by reference into this prospectus supplement and the accompanying base prospectus. The second part, the accompanying base prospectus, gives more general information, some of which may not apply to this offering. You should read both this prospectus supplement and the accompanying base prospectus before deciding to invest in our common stock. </w:t>
      </w:r>
    </w:p>
    <w:p>
      <w:pPr>
        <w:pStyle w:val="TextBody"/>
        <w:bidi w:val="0"/>
        <w:spacing w:before="240" w:after="0"/>
        <w:jc w:val="left"/>
        <w:rPr>
          <w:rFonts w:ascii="Arial" w:hAnsi="Arial"/>
          <w:sz w:val="20"/>
        </w:rPr>
      </w:pPr>
      <w:r>
        <w:rPr>
          <w:rFonts w:ascii="Arial" w:hAnsi="Arial"/>
          <w:sz w:val="20"/>
        </w:rPr>
        <w:t>To the extent there is a conflict between the information contained in this prospectus supplement, on the one hand, and the information contained in the accompanying base prospectus or in any document incorporated by reference in this prospectus supplement having an earlier date than the date of this prospectus supplement, on the other hand, you should rely on the information in this prospectus supplement. You should also read and consider the additional information under the captions </w:t>
      </w:r>
      <w:r>
        <w:rPr>
          <w:rFonts w:ascii="Arial" w:hAnsi="Arial"/>
          <w:i/>
          <w:sz w:val="20"/>
        </w:rPr>
        <w:t xml:space="preserve">Where You Can Find Additional Information in this prospectus supplement. In this prospectus supplement, as permitted by law, we incorporate by reference information from other documents that we file with the Securities and Exchange Commission, or the SEC. This means that we can disclose important information to you by referring you to those documents. The information incorporated by reference is considered to be a part of this prospectus supplement and the accompanying base prospectus and should be read with the same care. When we update the information contained in documents that have been incorporated by reference by making future filings with the SEC, the information included or incorporated by reference in this prospectus supplement is considered to be automatically updated and superseded. </w:t>
      </w:r>
    </w:p>
    <w:p>
      <w:pPr>
        <w:pStyle w:val="TextBody"/>
        <w:bidi w:val="0"/>
        <w:spacing w:before="240" w:after="0"/>
        <w:jc w:val="left"/>
        <w:rPr>
          <w:rFonts w:ascii="Arial" w:hAnsi="Arial"/>
          <w:sz w:val="20"/>
        </w:rPr>
      </w:pPr>
      <w:r>
        <w:rPr>
          <w:rFonts w:ascii="Arial" w:hAnsi="Arial"/>
          <w:sz w:val="20"/>
        </w:rPr>
        <w:t xml:space="preserve">You should rely only on the information contained, or incorporated by reference, in this prospectus supplement and the accompanying base prospectus. Neither we nor the underwriters have authorized anyone to provide you with different information. If anyone provides you with different or inconsistent information, you should not rely on it. We and the underwriters are offering to sell, and seeking offers to buy, shares of our common stock only in jurisdictions where offers and sales are permitted. The distribution of this prospectus supplement and the accompanying base prospectus and the offering of our common stock in certain jurisdictions may be restricted by law. Persons outside the United States who come into possession of this prospectus supplement and the accompanying base prospectus must inform themselves about, and observe any restrictions relating to, the offering of our common stock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 </w:t>
      </w:r>
    </w:p>
    <w:p>
      <w:pPr>
        <w:pStyle w:val="TextBody"/>
        <w:bidi w:val="0"/>
        <w:spacing w:before="240" w:after="0"/>
        <w:jc w:val="left"/>
        <w:rPr>
          <w:rFonts w:ascii="Arial" w:hAnsi="Arial"/>
          <w:sz w:val="20"/>
        </w:rPr>
      </w:pPr>
      <w:r>
        <w:rPr>
          <w:rFonts w:ascii="Arial" w:hAnsi="Arial"/>
          <w:sz w:val="20"/>
        </w:rPr>
        <w:t xml:space="preserve">You should not consider any information in this prospectus supplement or the accompanying base prospectus to be investment, legal or tax advice. You should consult your own counsel, accountants and other advisors for legal, tax, business, financial and related advice regarding the purchase of our common stock offered by this prospectus supplement. If the description of the offering varies between this prospectus supplement and the accompanying base prospectus, you should rely on the information contained in this prospectus supplement. </w:t>
      </w:r>
    </w:p>
    <w:p>
      <w:pPr>
        <w:pStyle w:val="TextBody"/>
        <w:bidi w:val="0"/>
        <w:spacing w:before="240" w:after="0"/>
        <w:jc w:val="left"/>
        <w:rPr>
          <w:rFonts w:ascii="Arial" w:hAnsi="Arial"/>
          <w:sz w:val="20"/>
        </w:rPr>
      </w:pPr>
      <w:r>
        <w:rPr>
          <w:rFonts w:ascii="Arial" w:hAnsi="Arial"/>
          <w:sz w:val="20"/>
        </w:rPr>
        <w:t xml:space="preserve">Unless the context otherwise requires, we use the terms Flywire, the Company, we, us, our and similar designations in this prospectus to refer to Flywire Corporation and its subsidiaries. </w:t>
      </w:r>
    </w:p>
    <w:p>
      <w:pPr>
        <w:pStyle w:val="TextBody"/>
        <w:bidi w:val="0"/>
        <w:spacing w:before="240" w:after="0"/>
        <w:jc w:val="left"/>
        <w:rPr>
          <w:rFonts w:ascii="Arial" w:hAnsi="Arial"/>
          <w:sz w:val="20"/>
        </w:rPr>
      </w:pPr>
      <w:r>
        <w:rPr>
          <w:rFonts w:ascii="Arial" w:hAnsi="Arial"/>
          <w:sz w:val="20"/>
        </w:rPr>
        <w:t xml:space="preserve">Flywire, the Flywire logo, and other registered or common law trade names, trademarks, or service marks of Flywire appearing in this prospectus supplement are the property of Flywire.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supplement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prospectus supplement are the property of their respective holders. Solely for convenience, our trademarks and tradenames referred to in this prospectus supplement appear without the ® and  symbols,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8" w:space="1" w:color="000000"/>
        </w:rPr>
      </w:pPr>
      <w:bookmarkStart w:id="4" w:name="suppbc510562_2"/>
      <w:bookmarkEnd w:id="4"/>
      <w:r>
        <w:rPr>
          <w:rFonts w:ascii="Arial" w:hAnsi="Arial"/>
          <w:b/>
          <w:sz w:val="20"/>
          <w:bdr w:val="single" w:sz="8" w:space="1" w:color="000000"/>
        </w:rPr>
        <w:t xml:space="preserve">SPECIAL NOTE REGARDING FORWARD-LOOKING STATEMENTS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This prospectus supplement, the accompanying base prospectus and the documents incorporated by reference herein and therein include statements that constitute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 are forward-looking statements.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Forward-looking statements are often identified by the use of words such as, but not limited to, believe, may, will, potentially, estimate, continue, anticipate, intend, could, would, project, target, plan, expect, or the negative of these terms or other similar expressions that concern our expectations, strategy, plans or intentions.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Forward-looking statements are not guarantees of future performance and involve risks and uncertainties. The forward-looking statements contained in this prospectus supplement and the information incorporated by reference in this prospectus supplement are based on information currently available to us and expectations and assumptions that we deem reasonable at the time the statements were made. We do not undertake any obligation to update any forward-looking statements in this prospectus supplement and the information incorporated by reference in this prospectus supplement or in any of our other communications, except as required by law. Such forward-looking statements are subject to risks, uncertainties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Factors that could cause or contribute to such differences include, but are not limited to, those identified below, and those discussed in the section titled Risk Factors of any Annual Report on Form 10-K and any Quarterly Report on Form 10-Q incorporated by reference in this prospectus supplement and in the section of any related prospectus supplement entitled Risk Factors.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Examples of forward-looking statements in this prospectus supplement, the accompanying base prospectus and the documents incorporated by reference herein and therein include, among others, statements we make regarding: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future financial performance, including our expectations regarding our revenue, costs and operating expenses, including changes in technology and development, selling and marketing and general and administrative expenses (including any components of the foregoing), gross profit and our ability to achieve, and maintain, future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our business plan and our ability to effectively manage our growth;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20"/>
              </w:rPr>
            </w:pPr>
            <w:r>
              <w:rPr>
                <w:rFonts w:ascii="Arial" w:hAnsi="Arial"/>
                <w:sz w:val="20"/>
              </w:rPr>
              <w:t xml:space="preserve">our cross-border expansion plans and ability to expand internationally;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anticipated trends, growth rates, and challenges in our business and in the markets in which we operate;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sufficiency of, and ability to access, our cash and cash equivalents to meet our liquidity needs;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political, economic, foreign currency exchange rate, inflation, banking, legal, social and health risks and public health measures that may affect our business or the global economy;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our beliefs and objectives for future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ability to develop and protect our brand;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ability to maintain and grow the payment volume that we process;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20"/>
              </w:rPr>
            </w:pPr>
            <w:r>
              <w:rPr>
                <w:rFonts w:ascii="Arial" w:hAnsi="Arial"/>
                <w:sz w:val="20"/>
              </w:rPr>
              <w:t xml:space="preserve">our ability to further attract, retain, and expand our client base;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ability to develop new solutions and services and bring them to market in a timely manner;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expectations concerning relationships with third parties, including financial institutions and strategic partners;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effects of increased competition in our markets and our ability to compete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future acquisitions or investments in complementary companies, products, services, or technologies;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ability to enter new client verticals, including our relatively new business-to-business sector;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expectations regarding anticipated technology needs and developments and our ability to address those needs and developments with our solutions;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expectations regarding litigation and legal and regulatory matters;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expectations regarding our ability to meet existing performance obligations and maintain the operability of our solutions;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expectations regarding the effects of existing and developing laws and regulations, including with respect to payments and financial services, taxation, privacy and data protection;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economic and industry trends, projected growth, or trend analysis;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our ability to adapt to changes in U.S. federal income or other tax laws or the interpretation of tax laws, including the recently enacted Inflation Reduction Act of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ability to attract and retain qualified employees;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ability to maintain, protect, and enhance our intellectual property;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our ability to maintain the security and availability of our solutions;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increased expenses associated with being a public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future market prices of our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our anticipated use of proceeds from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Investors are cautioned that such forward-looking statements are only predictions, which may differ materially from actual results or future events. Although we believe that our plans, intentions and expectations reflected in the forward-looking statements are reasonable, we cannot be sure that they will be achieved.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The factors and assumptions that could also cause our actual results to differ, perhaps materially, from those in the forward-looking statements are described in this prospectus supplement and the accompanying base prospectus and in our filings with the SEC incorporated by reference herein and therein under the caption Risk Factors. The occurrence of any of these risks and uncertainties may cause our actual results to differ materially from those anticipated in our forward-looking statements, which could have a material adverse effect on our business, results of operations and financial condition.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These factors are not intended to represent a complete list of the general or specific factors that may affect us. It should be recognized that other factors, including general economic factors and business strategies, may be significant, presently or in the future, and the factors set forth or incorporated by reference in this prospectus supplement and the accompanying base prospectus may affect us to a greater extent than indicated. All forward-looking statements attributable to us or persons acting on our behalf are expressly qualified in their entirety by the cautionary statements set forth or incorporated by reference in this prospectus supplement and the accompanying base prospectus.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All forward-looking statements included in this prospectus supplement, the accompanying base prospectus and our filings with the SEC incorporated by reference herein and therein are based on information available to us as of the date of this prospectus supplement and the accompanying base prospectus. Except as required by law, we undertake no obligation to update any forward-looking statement, whether as a result of new information, future events or otherwise. We claim the protection of the safe harbor for forward-looking statements contained in the Private Securities Litigation Reform Act of 1995 for all forward-looking statements.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All forward-looking statements are further qualified by and should be read in conjunction with the risks described or referred to under the heading Risk Factors of this prospectus supplement and the accompanying base prospectus and contained in our Annual Report on Form 10-K for the year ended December 31, 2022, our Quarterly Report on Form 10-Q for the quarter ended June 30, 2023 and subsequent periodic filings with the SEC incorporated herein and therein by reference.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8" w:space="1" w:color="000000"/>
        </w:rPr>
      </w:pPr>
      <w:bookmarkStart w:id="5" w:name="suppbc510562_3"/>
      <w:bookmarkEnd w:id="5"/>
      <w:r>
        <w:rPr>
          <w:rFonts w:ascii="Arial" w:hAnsi="Arial"/>
          <w:b/>
          <w:sz w:val="20"/>
          <w:bdr w:val="single" w:sz="8" w:space="1" w:color="000000"/>
        </w:rPr>
        <w:t xml:space="preserve">PROSPECTUS SUPPLEMENT SUMMARY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This summary contains a general summary of the information contained or incorporated by reference in this prospectus supplement and the accompanying base prospectus. The summary may not contain all of the information that is important to you, and it is qualified in its entirety by the more detailed information contained or incorporated by reference in this prospectus supplement and the accompanying base prospectus. You should carefully consider the information included in and incorporated by reference in the entire prospectus supplement and accompanying base prospectus, including the information set forth under the heading Risk Factors in this prospectus supplement. </w:t>
      </w:r>
    </w:p>
    <w:p>
      <w:pPr>
        <w:pStyle w:val="TextBody"/>
        <w:bidi w:val="0"/>
        <w:spacing w:before="240" w:after="0"/>
        <w:jc w:val="center"/>
        <w:rPr>
          <w:rFonts w:ascii="Arial" w:hAnsi="Arial"/>
          <w:b/>
          <w:sz w:val="20"/>
          <w:bdr w:val="single" w:sz="8" w:space="1" w:color="000000"/>
        </w:rPr>
      </w:pPr>
      <w:r>
        <w:rPr>
          <w:rFonts w:ascii="Arial" w:hAnsi="Arial"/>
          <w:b/>
          <w:sz w:val="20"/>
          <w:bdr w:val="single" w:sz="8" w:space="1" w:color="000000"/>
        </w:rPr>
        <w:t xml:space="preserve">Company Overview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Flywire is a leading global payments enablement and software company. Our next-gen payments platform, proprietary global payment network and vertical-specific software help our clients get paid and help their customers pay with ease  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Flywire Advantage. Our Flywire Advantage is derived from three core elements: (i) our next-gen payments platform; (ii) our proprietary global payment network; and (iii) our vertical-specific software backed by our deep industry expertise. With our Flywire Advantage,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 </w:t>
      </w:r>
    </w:p>
    <w:p>
      <w:pPr>
        <w:pStyle w:val="TextBody"/>
        <w:bidi w:val="0"/>
        <w:spacing w:before="240" w:after="0"/>
        <w:jc w:val="center"/>
        <w:rPr>
          <w:rFonts w:ascii="Arial" w:hAnsi="Arial"/>
          <w:b/>
          <w:sz w:val="20"/>
          <w:bdr w:val="single" w:sz="8" w:space="1" w:color="000000"/>
        </w:rPr>
      </w:pPr>
      <w:r>
        <w:rPr>
          <w:rFonts w:ascii="Arial" w:hAnsi="Arial"/>
          <w:b/>
          <w:sz w:val="20"/>
          <w:bdr w:val="single" w:sz="8" w:space="1" w:color="000000"/>
        </w:rPr>
        <w:t xml:space="preserve">Corporate Information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We were initially formed in July 2009 as peerTransfer Corporation, a Delaware corporation. We changed our name to Flywire Corporation in December 2016. Our principal executive offices are located at 141 Tremont St., #10F, Boston, MA 02111. Our telephone number is (617) 329-4524. Our website address is www.flywire.com. The information contained on, or that can be accessed through, our website is not incorporated herein or a part of this prospectus. Investors should not rely on any such information in deciding whether to purchase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48"/>
        <w:gridCol w:w="122"/>
        <w:gridCol w:w="6535"/>
      </w:tblGrid>
      <w:tr>
        <w:trPr/>
        <w:tc>
          <w:tcPr>
            <w:tcW w:w="354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535" w:type="dxa"/>
            <w:tcBorders/>
            <w:vAlign w:val="center"/>
          </w:tcPr>
          <w:p>
            <w:pPr>
              <w:pStyle w:val="TableContents"/>
              <w:bidi w:val="0"/>
              <w:spacing w:before="0" w:after="283"/>
              <w:jc w:val="left"/>
              <w:rPr>
                <w:sz w:val="4"/>
                <w:szCs w:val="4"/>
              </w:rPr>
            </w:pPr>
            <w:r>
              <w:rPr>
                <w:sz w:val="4"/>
                <w:szCs w:val="4"/>
              </w:rPr>
            </w:r>
          </w:p>
        </w:tc>
      </w:tr>
      <w:tr>
        <w:trPr/>
        <w:tc>
          <w:tcPr>
            <w:tcW w:w="3548" w:type="dxa"/>
            <w:tcBorders/>
            <w:shd w:fill="CCEEFF" w:val="clear"/>
          </w:tcPr>
          <w:p>
            <w:pPr>
              <w:pStyle w:val="TableContents"/>
              <w:bidi w:val="0"/>
              <w:spacing w:before="0" w:after="0"/>
              <w:jc w:val="left"/>
              <w:rPr>
                <w:rFonts w:ascii="Arial" w:hAnsi="Arial"/>
                <w:sz w:val="20"/>
              </w:rPr>
            </w:pPr>
            <w:r>
              <w:rPr>
                <w:rFonts w:ascii="Arial" w:hAnsi="Arial"/>
                <w:sz w:val="20"/>
              </w:rPr>
              <w:t>Issuer</w:t>
            </w:r>
          </w:p>
        </w:tc>
        <w:tc>
          <w:tcPr>
            <w:tcW w:w="122" w:type="dxa"/>
            <w:tcBorders/>
            <w:shd w:fill="CCEEFF" w:val="clear"/>
            <w:vAlign w:val="bottom"/>
          </w:tcPr>
          <w:p>
            <w:pPr>
              <w:pStyle w:val="TableContents"/>
              <w:bidi w:val="0"/>
              <w:spacing w:before="0" w:after="283"/>
              <w:jc w:val="left"/>
              <w:rPr/>
            </w:pPr>
            <w:r>
              <w:rPr/>
              <w:t>  </w:t>
            </w:r>
          </w:p>
        </w:tc>
        <w:tc>
          <w:tcPr>
            <w:tcW w:w="6535" w:type="dxa"/>
            <w:tcBorders/>
            <w:shd w:fill="CCEEFF" w:val="clear"/>
            <w:vAlign w:val="bottom"/>
          </w:tcPr>
          <w:p>
            <w:pPr>
              <w:pStyle w:val="TableContents"/>
              <w:bidi w:val="0"/>
              <w:spacing w:before="0" w:after="283"/>
              <w:jc w:val="left"/>
              <w:rPr>
                <w:rFonts w:ascii="Arial" w:hAnsi="Arial"/>
              </w:rPr>
            </w:pPr>
            <w:r>
              <w:rPr>
                <w:rFonts w:ascii="Arial" w:hAnsi="Arial"/>
              </w:rPr>
              <w:t>Flywire Corporation.</w:t>
            </w:r>
          </w:p>
        </w:tc>
      </w:tr>
      <w:tr>
        <w:trPr>
          <w:trHeight w:val="195" w:hRule="atLeast"/>
        </w:trPr>
        <w:tc>
          <w:tcPr>
            <w:tcW w:w="3548" w:type="dxa"/>
            <w:tcBorders/>
            <w:vAlign w:val="center"/>
          </w:tcPr>
          <w:p>
            <w:pPr>
              <w:pStyle w:val="TableContents"/>
              <w:bidi w:val="0"/>
              <w:spacing w:before="0" w:after="283"/>
              <w:jc w:val="left"/>
              <w:rPr>
                <w:sz w:val="4"/>
                <w:szCs w:val="4"/>
              </w:rPr>
            </w:pPr>
            <w:r>
              <w:rPr>
                <w:sz w:val="4"/>
                <w:szCs w:val="4"/>
              </w:rPr>
            </w:r>
          </w:p>
        </w:tc>
        <w:tc>
          <w:tcPr>
            <w:tcW w:w="6657" w:type="dxa"/>
            <w:gridSpan w:val="2"/>
            <w:tcBorders/>
            <w:vAlign w:val="center"/>
          </w:tcPr>
          <w:p>
            <w:pPr>
              <w:pStyle w:val="TableContents"/>
              <w:bidi w:val="0"/>
              <w:spacing w:before="0" w:after="283"/>
              <w:jc w:val="left"/>
              <w:rPr>
                <w:sz w:val="4"/>
                <w:szCs w:val="4"/>
              </w:rPr>
            </w:pPr>
            <w:r>
              <w:rPr>
                <w:sz w:val="4"/>
                <w:szCs w:val="4"/>
              </w:rPr>
            </w:r>
          </w:p>
        </w:tc>
      </w:tr>
      <w:tr>
        <w:trPr/>
        <w:tc>
          <w:tcPr>
            <w:tcW w:w="3548" w:type="dxa"/>
            <w:tcBorders/>
          </w:tcPr>
          <w:p>
            <w:pPr>
              <w:pStyle w:val="TableContents"/>
              <w:bidi w:val="0"/>
              <w:spacing w:before="0" w:after="0"/>
              <w:jc w:val="left"/>
              <w:rPr>
                <w:rFonts w:ascii="Arial" w:hAnsi="Arial"/>
                <w:sz w:val="20"/>
              </w:rPr>
            </w:pPr>
            <w:r>
              <w:rPr>
                <w:rFonts w:ascii="Arial" w:hAnsi="Arial"/>
                <w:sz w:val="20"/>
              </w:rPr>
              <w:t>Common stock offered by us pursuant to this prospectus supplement</w:t>
            </w:r>
          </w:p>
        </w:tc>
        <w:tc>
          <w:tcPr>
            <w:tcW w:w="122" w:type="dxa"/>
            <w:tcBorders/>
            <w:vAlign w:val="bottom"/>
          </w:tcPr>
          <w:p>
            <w:pPr>
              <w:pStyle w:val="TableContents"/>
              <w:bidi w:val="0"/>
              <w:spacing w:before="0" w:after="283"/>
              <w:jc w:val="left"/>
              <w:rPr/>
            </w:pPr>
            <w:r>
              <w:rPr/>
              <w:t>  </w:t>
            </w:r>
          </w:p>
        </w:tc>
        <w:tc>
          <w:tcPr>
            <w:tcW w:w="6535" w:type="dxa"/>
            <w:tcBorders/>
            <w:vAlign w:val="bottom"/>
          </w:tcPr>
          <w:p>
            <w:pPr>
              <w:pStyle w:val="TableContents"/>
              <w:bidi w:val="0"/>
              <w:spacing w:before="0" w:after="283"/>
              <w:jc w:val="left"/>
              <w:rPr>
                <w:rFonts w:ascii="Arial" w:hAnsi="Arial"/>
              </w:rPr>
            </w:pPr>
            <w:r>
              <w:rPr>
                <w:rFonts w:ascii="Arial" w:hAnsi="Arial"/>
              </w:rPr>
              <w:t>8,000,000 shares.</w:t>
            </w:r>
          </w:p>
        </w:tc>
      </w:tr>
      <w:tr>
        <w:trPr>
          <w:trHeight w:val="195" w:hRule="atLeast"/>
        </w:trPr>
        <w:tc>
          <w:tcPr>
            <w:tcW w:w="3548" w:type="dxa"/>
            <w:tcBorders/>
            <w:vAlign w:val="center"/>
          </w:tcPr>
          <w:p>
            <w:pPr>
              <w:pStyle w:val="TableContents"/>
              <w:bidi w:val="0"/>
              <w:spacing w:before="0" w:after="283"/>
              <w:jc w:val="left"/>
              <w:rPr>
                <w:sz w:val="4"/>
                <w:szCs w:val="4"/>
              </w:rPr>
            </w:pPr>
            <w:r>
              <w:rPr>
                <w:sz w:val="4"/>
                <w:szCs w:val="4"/>
              </w:rPr>
            </w:r>
          </w:p>
        </w:tc>
        <w:tc>
          <w:tcPr>
            <w:tcW w:w="6657" w:type="dxa"/>
            <w:gridSpan w:val="2"/>
            <w:tcBorders/>
            <w:vAlign w:val="center"/>
          </w:tcPr>
          <w:p>
            <w:pPr>
              <w:pStyle w:val="TableContents"/>
              <w:bidi w:val="0"/>
              <w:spacing w:before="0" w:after="283"/>
              <w:jc w:val="left"/>
              <w:rPr>
                <w:sz w:val="4"/>
                <w:szCs w:val="4"/>
              </w:rPr>
            </w:pPr>
            <w:r>
              <w:rPr>
                <w:sz w:val="4"/>
                <w:szCs w:val="4"/>
              </w:rPr>
            </w:r>
          </w:p>
        </w:tc>
      </w:tr>
      <w:tr>
        <w:trPr/>
        <w:tc>
          <w:tcPr>
            <w:tcW w:w="3548" w:type="dxa"/>
            <w:tcBorders/>
            <w:shd w:fill="CCEEFF" w:val="clear"/>
          </w:tcPr>
          <w:p>
            <w:pPr>
              <w:pStyle w:val="TableContents"/>
              <w:bidi w:val="0"/>
              <w:spacing w:before="0" w:after="0"/>
              <w:jc w:val="left"/>
              <w:rPr>
                <w:rFonts w:ascii="Arial" w:hAnsi="Arial"/>
                <w:sz w:val="20"/>
              </w:rPr>
            </w:pPr>
            <w:r>
              <w:rPr>
                <w:rFonts w:ascii="Arial" w:hAnsi="Arial"/>
                <w:sz w:val="20"/>
              </w:rPr>
              <w:t>Option to purchase additional shares of our common stock</w:t>
            </w:r>
          </w:p>
        </w:tc>
        <w:tc>
          <w:tcPr>
            <w:tcW w:w="122" w:type="dxa"/>
            <w:tcBorders/>
            <w:shd w:fill="CCEEFF" w:val="clear"/>
            <w:vAlign w:val="bottom"/>
          </w:tcPr>
          <w:p>
            <w:pPr>
              <w:pStyle w:val="TableContents"/>
              <w:bidi w:val="0"/>
              <w:spacing w:before="0" w:after="283"/>
              <w:jc w:val="left"/>
              <w:rPr/>
            </w:pPr>
            <w:r>
              <w:rPr/>
              <w:t>  </w:t>
            </w:r>
          </w:p>
        </w:tc>
        <w:tc>
          <w:tcPr>
            <w:tcW w:w="6535" w:type="dxa"/>
            <w:tcBorders/>
            <w:shd w:fill="CCEEFF" w:val="clear"/>
            <w:vAlign w:val="bottom"/>
          </w:tcPr>
          <w:p>
            <w:pPr>
              <w:pStyle w:val="TableContents"/>
              <w:bidi w:val="0"/>
              <w:spacing w:before="0" w:after="283"/>
              <w:jc w:val="left"/>
              <w:rPr>
                <w:rFonts w:ascii="Arial" w:hAnsi="Arial"/>
              </w:rPr>
            </w:pPr>
            <w:r>
              <w:rPr>
                <w:rFonts w:ascii="Arial" w:hAnsi="Arial"/>
              </w:rPr>
              <w:t>The underwriters have an option to purchase up to an aggregate of 1,200,000 additional shares of common stock from us at the public offering price, less underwriting discounts and commissions. The underwriters can exercise this option at any time within 30 days from the date of this prospectus supplement.</w:t>
            </w:r>
          </w:p>
        </w:tc>
      </w:tr>
      <w:tr>
        <w:trPr>
          <w:trHeight w:val="195" w:hRule="atLeast"/>
        </w:trPr>
        <w:tc>
          <w:tcPr>
            <w:tcW w:w="3548" w:type="dxa"/>
            <w:tcBorders/>
            <w:vAlign w:val="center"/>
          </w:tcPr>
          <w:p>
            <w:pPr>
              <w:pStyle w:val="TableContents"/>
              <w:bidi w:val="0"/>
              <w:spacing w:before="0" w:after="283"/>
              <w:jc w:val="left"/>
              <w:rPr>
                <w:sz w:val="4"/>
                <w:szCs w:val="4"/>
              </w:rPr>
            </w:pPr>
            <w:r>
              <w:rPr>
                <w:sz w:val="4"/>
                <w:szCs w:val="4"/>
              </w:rPr>
            </w:r>
          </w:p>
        </w:tc>
        <w:tc>
          <w:tcPr>
            <w:tcW w:w="6657" w:type="dxa"/>
            <w:gridSpan w:val="2"/>
            <w:tcBorders/>
            <w:vAlign w:val="center"/>
          </w:tcPr>
          <w:p>
            <w:pPr>
              <w:pStyle w:val="TableContents"/>
              <w:bidi w:val="0"/>
              <w:spacing w:before="0" w:after="283"/>
              <w:jc w:val="left"/>
              <w:rPr>
                <w:sz w:val="4"/>
                <w:szCs w:val="4"/>
              </w:rPr>
            </w:pPr>
            <w:r>
              <w:rPr>
                <w:sz w:val="4"/>
                <w:szCs w:val="4"/>
              </w:rPr>
            </w:r>
          </w:p>
        </w:tc>
      </w:tr>
      <w:tr>
        <w:trPr/>
        <w:tc>
          <w:tcPr>
            <w:tcW w:w="3548" w:type="dxa"/>
            <w:tcBorders/>
          </w:tcPr>
          <w:p>
            <w:pPr>
              <w:pStyle w:val="TableContents"/>
              <w:bidi w:val="0"/>
              <w:spacing w:before="0" w:after="0"/>
              <w:jc w:val="left"/>
              <w:rPr>
                <w:rFonts w:ascii="Arial" w:hAnsi="Arial"/>
                <w:sz w:val="20"/>
              </w:rPr>
            </w:pPr>
            <w:r>
              <w:rPr>
                <w:rFonts w:ascii="Arial" w:hAnsi="Arial"/>
                <w:sz w:val="20"/>
              </w:rPr>
              <w:t>Common stock and non-voting common stock to be outstanding immediately after this offering</w:t>
            </w:r>
          </w:p>
        </w:tc>
        <w:tc>
          <w:tcPr>
            <w:tcW w:w="122" w:type="dxa"/>
            <w:tcBorders/>
            <w:vAlign w:val="bottom"/>
          </w:tcPr>
          <w:p>
            <w:pPr>
              <w:pStyle w:val="TableContents"/>
              <w:bidi w:val="0"/>
              <w:spacing w:before="0" w:after="283"/>
              <w:jc w:val="left"/>
              <w:rPr/>
            </w:pPr>
            <w:r>
              <w:rPr/>
              <w:t>  </w:t>
            </w:r>
          </w:p>
        </w:tc>
        <w:tc>
          <w:tcPr>
            <w:tcW w:w="6535" w:type="dxa"/>
            <w:tcBorders/>
            <w:vAlign w:val="bottom"/>
          </w:tcPr>
          <w:p>
            <w:pPr>
              <w:pStyle w:val="TableContents"/>
              <w:bidi w:val="0"/>
              <w:spacing w:before="0" w:after="283"/>
              <w:jc w:val="left"/>
              <w:rPr>
                <w:rFonts w:ascii="Arial" w:hAnsi="Arial"/>
              </w:rPr>
            </w:pPr>
            <w:r>
              <w:rPr>
                <w:rFonts w:ascii="Arial" w:hAnsi="Arial"/>
              </w:rPr>
              <w:t>119,784,788 shares outstanding (of which 117,911,468 shares will be voting common stock and 1,873,320 shares will be non-voting common stock) or 120,984,788 shares if the underwriters exercise their option to purchase additional shares in full.</w:t>
            </w:r>
          </w:p>
        </w:tc>
      </w:tr>
      <w:tr>
        <w:trPr>
          <w:trHeight w:val="195" w:hRule="atLeast"/>
        </w:trPr>
        <w:tc>
          <w:tcPr>
            <w:tcW w:w="3548" w:type="dxa"/>
            <w:tcBorders/>
            <w:vAlign w:val="center"/>
          </w:tcPr>
          <w:p>
            <w:pPr>
              <w:pStyle w:val="TableContents"/>
              <w:bidi w:val="0"/>
              <w:spacing w:before="0" w:after="283"/>
              <w:jc w:val="left"/>
              <w:rPr>
                <w:sz w:val="4"/>
                <w:szCs w:val="4"/>
              </w:rPr>
            </w:pPr>
            <w:r>
              <w:rPr>
                <w:sz w:val="4"/>
                <w:szCs w:val="4"/>
              </w:rPr>
            </w:r>
          </w:p>
        </w:tc>
        <w:tc>
          <w:tcPr>
            <w:tcW w:w="6657" w:type="dxa"/>
            <w:gridSpan w:val="2"/>
            <w:tcBorders/>
            <w:vAlign w:val="center"/>
          </w:tcPr>
          <w:p>
            <w:pPr>
              <w:pStyle w:val="TableContents"/>
              <w:bidi w:val="0"/>
              <w:spacing w:before="0" w:after="283"/>
              <w:jc w:val="left"/>
              <w:rPr>
                <w:sz w:val="4"/>
                <w:szCs w:val="4"/>
              </w:rPr>
            </w:pPr>
            <w:r>
              <w:rPr>
                <w:sz w:val="4"/>
                <w:szCs w:val="4"/>
              </w:rPr>
            </w:r>
          </w:p>
        </w:tc>
      </w:tr>
      <w:tr>
        <w:trPr/>
        <w:tc>
          <w:tcPr>
            <w:tcW w:w="3548" w:type="dxa"/>
            <w:tcBorders/>
            <w:shd w:fill="CCEEFF" w:val="clear"/>
          </w:tcPr>
          <w:p>
            <w:pPr>
              <w:pStyle w:val="TableContents"/>
              <w:bidi w:val="0"/>
              <w:spacing w:before="0" w:after="0"/>
              <w:jc w:val="left"/>
              <w:rPr>
                <w:rFonts w:ascii="Arial" w:hAnsi="Arial"/>
                <w:sz w:val="20"/>
              </w:rPr>
            </w:pPr>
            <w:r>
              <w:rPr>
                <w:rFonts w:ascii="Arial" w:hAnsi="Arial"/>
                <w:sz w:val="20"/>
              </w:rPr>
              <w:t>Use of proceeds</w:t>
            </w:r>
          </w:p>
        </w:tc>
        <w:tc>
          <w:tcPr>
            <w:tcW w:w="122" w:type="dxa"/>
            <w:tcBorders/>
            <w:shd w:fill="CCEEFF" w:val="clear"/>
            <w:vAlign w:val="bottom"/>
          </w:tcPr>
          <w:p>
            <w:pPr>
              <w:pStyle w:val="TableContents"/>
              <w:bidi w:val="0"/>
              <w:spacing w:before="0" w:after="283"/>
              <w:jc w:val="left"/>
              <w:rPr/>
            </w:pPr>
            <w:r>
              <w:rPr/>
              <w:t>  </w:t>
            </w:r>
          </w:p>
        </w:tc>
        <w:tc>
          <w:tcPr>
            <w:tcW w:w="6535" w:type="dxa"/>
            <w:tcBorders/>
            <w:shd w:fill="CCEEFF" w:val="clear"/>
            <w:vAlign w:val="bottom"/>
          </w:tcPr>
          <w:p>
            <w:pPr>
              <w:pStyle w:val="TableContents"/>
              <w:bidi w:val="0"/>
              <w:spacing w:before="0" w:after="0"/>
              <w:jc w:val="left"/>
              <w:rPr>
                <w:rFonts w:ascii="Arial" w:hAnsi="Arial"/>
                <w:sz w:val="20"/>
              </w:rPr>
            </w:pPr>
            <w:r>
              <w:rPr>
                <w:rFonts w:ascii="Arial" w:hAnsi="Arial"/>
                <w:sz w:val="20"/>
              </w:rPr>
              <w:t>We expect to receive net proceeds from this offering of approximately $244.7 million (or approximately $281.6 million if the underwriters exercise in full their option to purchase additional shares), after deducting underwriting estimated discounts and commissions and our estimated offering expenses.</w:t>
            </w:r>
          </w:p>
          <w:p>
            <w:pPr>
              <w:pStyle w:val="TableContents"/>
              <w:bidi w:val="0"/>
              <w:spacing w:before="0" w:after="20"/>
              <w:jc w:val="left"/>
              <w:rPr>
                <w:rFonts w:ascii="Arial" w:hAnsi="Arial"/>
                <w:sz w:val="20"/>
              </w:rPr>
            </w:pPr>
            <w:r>
              <w:rPr>
                <w:rFonts w:ascii="Arial" w:hAnsi="Arial"/>
                <w:sz w:val="20"/>
              </w:rPr>
              <w:t>We intend to use the net proceeds from this offering (including the net proceeds available from any exercise of the underwriters option to purchase additional shares) for general corporate purposes, which may include working capital, capital expenditures, and potential acquisitions and strategic transactions. From time to time, we evaluate potential acquisitions and strategic transactions involving businesses, technologies, or products. However, we have not designated any specific uses and have no current agreements with respect to any acquisitions or strategic transactions. See Use of Proceeds.</w:t>
            </w:r>
          </w:p>
        </w:tc>
      </w:tr>
      <w:tr>
        <w:trPr>
          <w:trHeight w:val="195" w:hRule="atLeast"/>
        </w:trPr>
        <w:tc>
          <w:tcPr>
            <w:tcW w:w="3548" w:type="dxa"/>
            <w:tcBorders/>
            <w:vAlign w:val="center"/>
          </w:tcPr>
          <w:p>
            <w:pPr>
              <w:pStyle w:val="TableContents"/>
              <w:bidi w:val="0"/>
              <w:spacing w:before="0" w:after="283"/>
              <w:jc w:val="left"/>
              <w:rPr>
                <w:sz w:val="4"/>
                <w:szCs w:val="4"/>
              </w:rPr>
            </w:pPr>
            <w:r>
              <w:rPr>
                <w:sz w:val="4"/>
                <w:szCs w:val="4"/>
              </w:rPr>
            </w:r>
          </w:p>
        </w:tc>
        <w:tc>
          <w:tcPr>
            <w:tcW w:w="6657" w:type="dxa"/>
            <w:gridSpan w:val="2"/>
            <w:tcBorders/>
            <w:vAlign w:val="center"/>
          </w:tcPr>
          <w:p>
            <w:pPr>
              <w:pStyle w:val="TableContents"/>
              <w:bidi w:val="0"/>
              <w:spacing w:before="0" w:after="283"/>
              <w:jc w:val="left"/>
              <w:rPr>
                <w:sz w:val="4"/>
                <w:szCs w:val="4"/>
              </w:rPr>
            </w:pPr>
            <w:r>
              <w:rPr>
                <w:sz w:val="4"/>
                <w:szCs w:val="4"/>
              </w:rPr>
            </w:r>
          </w:p>
        </w:tc>
      </w:tr>
      <w:tr>
        <w:trPr/>
        <w:tc>
          <w:tcPr>
            <w:tcW w:w="3548" w:type="dxa"/>
            <w:tcBorders/>
          </w:tcPr>
          <w:p>
            <w:pPr>
              <w:pStyle w:val="TableContents"/>
              <w:bidi w:val="0"/>
              <w:spacing w:before="0" w:after="0"/>
              <w:jc w:val="left"/>
              <w:rPr>
                <w:rFonts w:ascii="Arial" w:hAnsi="Arial"/>
                <w:sz w:val="20"/>
              </w:rPr>
            </w:pPr>
            <w:r>
              <w:rPr>
                <w:rFonts w:ascii="Arial" w:hAnsi="Arial"/>
                <w:sz w:val="20"/>
              </w:rPr>
              <w:t>Risk factors</w:t>
            </w:r>
          </w:p>
        </w:tc>
        <w:tc>
          <w:tcPr>
            <w:tcW w:w="122" w:type="dxa"/>
            <w:tcBorders/>
            <w:vAlign w:val="bottom"/>
          </w:tcPr>
          <w:p>
            <w:pPr>
              <w:pStyle w:val="TableContents"/>
              <w:bidi w:val="0"/>
              <w:spacing w:before="0" w:after="283"/>
              <w:jc w:val="left"/>
              <w:rPr/>
            </w:pPr>
            <w:r>
              <w:rPr/>
              <w:t>  </w:t>
            </w:r>
          </w:p>
        </w:tc>
        <w:tc>
          <w:tcPr>
            <w:tcW w:w="6535" w:type="dxa"/>
            <w:tcBorders/>
            <w:vAlign w:val="bottom"/>
          </w:tcPr>
          <w:p>
            <w:pPr>
              <w:pStyle w:val="TableContents"/>
              <w:bidi w:val="0"/>
              <w:spacing w:before="0" w:after="283"/>
              <w:jc w:val="left"/>
              <w:rPr>
                <w:rFonts w:ascii="Arial" w:hAnsi="Arial"/>
              </w:rPr>
            </w:pPr>
            <w:r>
              <w:rPr>
                <w:rFonts w:ascii="Arial" w:hAnsi="Arial"/>
              </w:rPr>
              <w:t>An investment in our common stock involves a high degree of risk. See the information contained in or incorporated by reference under Risk Factors in this prospectus supplement, as well as the other information included in or incorporated by reference in this prospectus supplement and the accompanying base prospectus, for a discussion of risks you should carefully consider before investing in our common stock.</w:t>
            </w:r>
          </w:p>
        </w:tc>
      </w:tr>
      <w:tr>
        <w:trPr>
          <w:trHeight w:val="195" w:hRule="atLeast"/>
        </w:trPr>
        <w:tc>
          <w:tcPr>
            <w:tcW w:w="3548" w:type="dxa"/>
            <w:tcBorders/>
            <w:vAlign w:val="center"/>
          </w:tcPr>
          <w:p>
            <w:pPr>
              <w:pStyle w:val="TableContents"/>
              <w:bidi w:val="0"/>
              <w:spacing w:before="0" w:after="283"/>
              <w:jc w:val="left"/>
              <w:rPr>
                <w:sz w:val="4"/>
                <w:szCs w:val="4"/>
              </w:rPr>
            </w:pPr>
            <w:r>
              <w:rPr>
                <w:sz w:val="4"/>
                <w:szCs w:val="4"/>
              </w:rPr>
            </w:r>
          </w:p>
        </w:tc>
        <w:tc>
          <w:tcPr>
            <w:tcW w:w="6657" w:type="dxa"/>
            <w:gridSpan w:val="2"/>
            <w:tcBorders/>
            <w:vAlign w:val="center"/>
          </w:tcPr>
          <w:p>
            <w:pPr>
              <w:pStyle w:val="TableContents"/>
              <w:bidi w:val="0"/>
              <w:spacing w:before="0" w:after="283"/>
              <w:jc w:val="left"/>
              <w:rPr>
                <w:sz w:val="4"/>
                <w:szCs w:val="4"/>
              </w:rPr>
            </w:pPr>
            <w:r>
              <w:rPr>
                <w:sz w:val="4"/>
                <w:szCs w:val="4"/>
              </w:rPr>
            </w:r>
          </w:p>
        </w:tc>
      </w:tr>
      <w:tr>
        <w:trPr/>
        <w:tc>
          <w:tcPr>
            <w:tcW w:w="3548" w:type="dxa"/>
            <w:tcBorders/>
            <w:shd w:fill="CCEEFF" w:val="clear"/>
          </w:tcPr>
          <w:p>
            <w:pPr>
              <w:pStyle w:val="TableContents"/>
              <w:bidi w:val="0"/>
              <w:spacing w:before="0" w:after="0"/>
              <w:jc w:val="left"/>
              <w:rPr>
                <w:rFonts w:ascii="Arial" w:hAnsi="Arial"/>
                <w:sz w:val="20"/>
              </w:rPr>
            </w:pPr>
            <w:r>
              <w:rPr>
                <w:rFonts w:ascii="Arial" w:hAnsi="Arial"/>
                <w:sz w:val="20"/>
              </w:rPr>
              <w:t>Nasdaq Global Select Market symbol</w:t>
            </w:r>
          </w:p>
        </w:tc>
        <w:tc>
          <w:tcPr>
            <w:tcW w:w="122" w:type="dxa"/>
            <w:tcBorders/>
            <w:shd w:fill="CCEEFF" w:val="clear"/>
            <w:vAlign w:val="bottom"/>
          </w:tcPr>
          <w:p>
            <w:pPr>
              <w:pStyle w:val="TableContents"/>
              <w:bidi w:val="0"/>
              <w:spacing w:before="0" w:after="283"/>
              <w:jc w:val="left"/>
              <w:rPr/>
            </w:pPr>
            <w:r>
              <w:rPr/>
              <w:t>  </w:t>
            </w:r>
          </w:p>
        </w:tc>
        <w:tc>
          <w:tcPr>
            <w:tcW w:w="6535" w:type="dxa"/>
            <w:tcBorders/>
            <w:shd w:fill="CCEEFF" w:val="clear"/>
            <w:vAlign w:val="bottom"/>
          </w:tcPr>
          <w:p>
            <w:pPr>
              <w:pStyle w:val="TableContents"/>
              <w:bidi w:val="0"/>
              <w:spacing w:before="0" w:after="283"/>
              <w:jc w:val="left"/>
              <w:rPr>
                <w:rFonts w:ascii="Arial" w:hAnsi="Arial"/>
              </w:rPr>
            </w:pPr>
            <w:r>
              <w:rPr>
                <w:rFonts w:ascii="Arial" w:hAnsi="Arial"/>
              </w:rPr>
              <w:t>FLYW.</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The number of shares to be outstanding after this offering is based on 111,784,788 shares outstanding as of June 30, 2023 (of which 109,911,468 shares were voting common stock and 1,873,320 shares were non-voting common stock)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10,430,580 shares of common stock issuable upon exercise of stock options outstanding at a weighted average exercise price of approximately $6.32 per share as of June 30,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4,518,964 shares of common stock issuable upon the vesting and settlement of outstanding restricted stock units as of June 30,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14,956,425 shares of common stock reserved for future grants under our 2021 Equity Incentive Plan as of June 30, 2023, as well as any automatic increases in the number of shares of common stock reserved for future issuance under the 2021 Equity Incentive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3,766,959 shares reserved for future issuance under our 2021 Employee Stock Purchase Plan as of June 30, 2023, as well as any automatic increases in the number of shares of common stock reserved for future issuance under the 2021 Employee Stock Purchase Plan. </w:t>
            </w:r>
          </w:p>
        </w:tc>
      </w:tr>
    </w:tbl>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Except as otherwise indicated, all information in this prospectus supplement assumes no exercise or settlement of the outstanding stock options, restricted stock units or other equity awards described above and no exercise by the underwriters of their option to purchase additional shares.</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6" w:name="suppbc510562_4"/>
      <w:bookmarkEnd w:id="6"/>
      <w:r>
        <w:rPr>
          <w:rFonts w:ascii="Arial" w:hAnsi="Arial"/>
          <w:b/>
          <w:sz w:val="20"/>
        </w:rPr>
        <w:t xml:space="preserve">RISK FACTORS </w:t>
      </w:r>
    </w:p>
    <w:p>
      <w:pPr>
        <w:pStyle w:val="TextBody"/>
        <w:bidi w:val="0"/>
        <w:spacing w:before="240" w:after="0"/>
        <w:jc w:val="left"/>
        <w:rPr>
          <w:rFonts w:ascii="Arial" w:hAnsi="Arial"/>
          <w:i/>
          <w:sz w:val="20"/>
        </w:rPr>
      </w:pPr>
      <w:r>
        <w:rPr>
          <w:rFonts w:ascii="Arial" w:hAnsi="Arial"/>
          <w:i/>
          <w:sz w:val="20"/>
        </w:rPr>
        <w:t xml:space="preserve">Investing in our common stock involves a high degree of risk. You should carefully consider the risks described below in addition to the remainder of this prospectus supplement and the factors discussed in our public filings with the SEC, including the information provided under the caption Risk Factors in our Annual Report on Form 10-K for the year ended December 31, 2022, Quarterly Report on Form 10-Q for the quarter ended June 30, 2023, and subsequent periodic filings with the SEC, before making an investment decision. The risks and uncertainties described below and incorporated by reference into this prospectus supplement are not the only ones related to our business, our common stock or this offering. Additional risks and uncertainties not presently known to us or that we currently deem immaterial may also materially and adversely affect our business operations, results of operations, financial condition or prospects. The risks discussed below include forward-looking statements and our actual results may differ substantially from those discussed in the forward-looking statements. You should also review the section of this prospectus supplement under the caption Special Note Regarding Forward-Looking Statements. </w:t>
      </w:r>
    </w:p>
    <w:p>
      <w:pPr>
        <w:pStyle w:val="TextBody"/>
        <w:bidi w:val="0"/>
        <w:spacing w:before="240" w:after="0"/>
        <w:jc w:val="center"/>
        <w:rPr>
          <w:rFonts w:ascii="Arial" w:hAnsi="Arial"/>
          <w:b/>
          <w:sz w:val="20"/>
        </w:rPr>
      </w:pPr>
      <w:r>
        <w:rPr>
          <w:rFonts w:ascii="Arial" w:hAnsi="Arial"/>
          <w:b/>
          <w:sz w:val="20"/>
        </w:rPr>
        <w:t xml:space="preserve">Risks Related to this Offering </w:t>
      </w:r>
    </w:p>
    <w:p>
      <w:pPr>
        <w:pStyle w:val="TextBody"/>
        <w:bidi w:val="0"/>
        <w:spacing w:before="240" w:after="0"/>
        <w:jc w:val="left"/>
        <w:rPr>
          <w:rFonts w:ascii="Arial" w:hAnsi="Arial"/>
          <w:b/>
          <w:i/>
          <w:sz w:val="20"/>
        </w:rPr>
      </w:pPr>
      <w:r>
        <w:rPr>
          <w:rFonts w:ascii="Arial" w:hAnsi="Arial"/>
          <w:b/>
          <w:i/>
          <w:sz w:val="20"/>
        </w:rPr>
        <w:t xml:space="preserve">If you purchase shares of our common stock sold in this offering, you will experience immediate and substantial dilution in your investment. In addition, we may issue additional equity or equity-linked securities in the future, which may result in additional dilution to you. </w:t>
      </w:r>
    </w:p>
    <w:p>
      <w:pPr>
        <w:pStyle w:val="TextBody"/>
        <w:bidi w:val="0"/>
        <w:spacing w:before="240" w:after="0"/>
        <w:jc w:val="left"/>
        <w:rPr>
          <w:rFonts w:ascii="Arial" w:hAnsi="Arial"/>
          <w:sz w:val="20"/>
        </w:rPr>
      </w:pPr>
      <w:r>
        <w:rPr>
          <w:rFonts w:ascii="Arial" w:hAnsi="Arial"/>
          <w:sz w:val="20"/>
        </w:rPr>
        <w:t xml:space="preserve">The price per share of our common stock being offered may be higher than the net tangible book value per share of our outstanding common stock prior to this offering. Based on the public offering price of $32.00 per share, and our net tangible book value as of June 30, 2023 of approximately $2.68 per share, if you purchase shares of common stock in this offering, you will suffer immediate and substantial dilution of $27.46 per share, representing the difference between the public offering price and the as adjusted net tangible book value per share of our common stock as of June 30, 2023 after giving effect to this offering. </w:t>
      </w:r>
    </w:p>
    <w:p>
      <w:pPr>
        <w:pStyle w:val="TextBody"/>
        <w:bidi w:val="0"/>
        <w:spacing w:before="240" w:after="0"/>
        <w:jc w:val="left"/>
        <w:rPr>
          <w:rFonts w:ascii="Arial" w:hAnsi="Arial"/>
          <w:sz w:val="20"/>
        </w:rPr>
      </w:pPr>
      <w:r>
        <w:rPr>
          <w:rFonts w:ascii="Arial" w:hAnsi="Arial"/>
          <w:sz w:val="20"/>
        </w:rPr>
        <w:t xml:space="preserve">We also have a significant number of stock options to purchase common stock as well as RSUs outstanding, and may choose to issue additional shares of common stock, or securities convertible into or exchangeable for common stock, in the future. In the event that the outstanding stock options or RSUs are exercised or settled, or that we make additional issuances of shares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 </w:t>
      </w:r>
    </w:p>
    <w:p>
      <w:pPr>
        <w:pStyle w:val="TextBody"/>
        <w:bidi w:val="0"/>
        <w:spacing w:before="240" w:after="0"/>
        <w:jc w:val="left"/>
        <w:rPr>
          <w:rFonts w:ascii="Arial" w:hAnsi="Arial"/>
          <w:b/>
          <w:i/>
          <w:sz w:val="20"/>
        </w:rPr>
      </w:pPr>
      <w:r>
        <w:rPr>
          <w:rFonts w:ascii="Arial" w:hAnsi="Arial"/>
          <w:b/>
          <w:i/>
          <w:sz w:val="20"/>
        </w:rPr>
        <w:t xml:space="preserve">Future sales of shares of our common stock by our existing stockholders could cause our stock price to decline. </w:t>
      </w:r>
    </w:p>
    <w:p>
      <w:pPr>
        <w:pStyle w:val="TextBody"/>
        <w:bidi w:val="0"/>
        <w:spacing w:before="240" w:after="0"/>
        <w:jc w:val="left"/>
        <w:rPr>
          <w:rFonts w:ascii="Arial" w:hAnsi="Arial"/>
          <w:sz w:val="20"/>
        </w:rPr>
      </w:pPr>
      <w:r>
        <w:rPr>
          <w:rFonts w:ascii="Arial" w:hAnsi="Arial"/>
          <w:sz w:val="20"/>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w:t>
      </w:r>
    </w:p>
    <w:p>
      <w:pPr>
        <w:pStyle w:val="TextBody"/>
        <w:bidi w:val="0"/>
        <w:spacing w:before="240" w:after="0"/>
        <w:jc w:val="left"/>
        <w:rPr>
          <w:rFonts w:ascii="Arial" w:hAnsi="Arial"/>
          <w:sz w:val="20"/>
        </w:rPr>
      </w:pPr>
      <w:r>
        <w:rPr>
          <w:rFonts w:ascii="Arial" w:hAnsi="Arial"/>
          <w:sz w:val="20"/>
        </w:rPr>
        <w:t xml:space="preserve">Furthermore, certain of our directors and executive officers have adopted, and other directors and executive officers may in the future adopt, written trading plans that are intended to comply with Rule 10b5-1 under the Exchange Act, under which they have contracted, or may in the future contract, with a broker to sell shares of our common stock. Sales of substantial amounts of our common stock in the public markets during the lock-up period pursuant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existing Rule 10b5-1 plans or pursuant to new Rule 10b5-1 plans following the expiration of the lock-up period or otherwise, or the perception that these sales could occur, could cause the market price of our common stock to decline. We are unable to predict the effect that sales may have on the prevailing market price of our common stock. </w:t>
      </w:r>
    </w:p>
    <w:p>
      <w:pPr>
        <w:pStyle w:val="TextBody"/>
        <w:bidi w:val="0"/>
        <w:spacing w:before="240" w:after="0"/>
        <w:jc w:val="left"/>
        <w:rPr>
          <w:rFonts w:ascii="Arial" w:hAnsi="Arial"/>
          <w:b/>
          <w:i/>
          <w:sz w:val="20"/>
        </w:rPr>
      </w:pPr>
      <w:r>
        <w:rPr>
          <w:rFonts w:ascii="Arial" w:hAnsi="Arial"/>
          <w:b/>
          <w:i/>
          <w:sz w:val="20"/>
        </w:rPr>
        <w:t xml:space="preserve">Our management will have broad discretion in the use of the net proceeds from this offering and may allocate the net proceeds from this offering in ways that you and other stockholders may not approve. </w:t>
      </w:r>
    </w:p>
    <w:p>
      <w:pPr>
        <w:pStyle w:val="TextBody"/>
        <w:bidi w:val="0"/>
        <w:spacing w:before="240" w:after="0"/>
        <w:jc w:val="left"/>
        <w:rPr>
          <w:rFonts w:ascii="Arial" w:hAnsi="Arial"/>
          <w:sz w:val="20"/>
        </w:rPr>
      </w:pPr>
      <w:r>
        <w:rPr>
          <w:rFonts w:ascii="Arial" w:hAnsi="Arial"/>
          <w:sz w:val="20"/>
        </w:rPr>
        <w:t xml:space="preserve">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The failure of our management to use these funds effectively could harm our business. Pending their use, we intend to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w:t>
      </w:r>
    </w:p>
    <w:p>
      <w:pPr>
        <w:pStyle w:val="TextBody"/>
        <w:bidi w:val="0"/>
        <w:spacing w:before="240" w:after="0"/>
        <w:jc w:val="left"/>
        <w:rPr>
          <w:rFonts w:ascii="Arial" w:hAnsi="Arial"/>
          <w:b/>
          <w:i/>
          <w:sz w:val="20"/>
        </w:rPr>
      </w:pPr>
      <w:r>
        <w:rPr>
          <w:rFonts w:ascii="Arial" w:hAnsi="Arial"/>
          <w:b/>
          <w:i/>
          <w:sz w:val="20"/>
        </w:rPr>
        <w:t xml:space="preserve">The price of our common stock may be volatile or may decline regardless of our operating performance and you may not be able to resell your shares at or above the price you paid for them. </w:t>
      </w:r>
    </w:p>
    <w:p>
      <w:pPr>
        <w:pStyle w:val="TextBody"/>
        <w:bidi w:val="0"/>
        <w:spacing w:before="240" w:after="0"/>
        <w:jc w:val="left"/>
        <w:rPr>
          <w:rFonts w:ascii="Arial" w:hAnsi="Arial"/>
          <w:sz w:val="20"/>
        </w:rPr>
      </w:pPr>
      <w:r>
        <w:rPr>
          <w:rFonts w:ascii="Arial" w:hAnsi="Arial"/>
          <w:sz w:val="20"/>
        </w:rPr>
        <w:t xml:space="preserve">The market price of our common stock may fluctuate significantly in response to numerous factors, many of which are beyond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overall performance of the equity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our operating performance and the performance of other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delays in the roll out of new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20"/>
              </w:rPr>
            </w:pPr>
            <w:r>
              <w:rPr>
                <w:rFonts w:ascii="Arial" w:hAnsi="Arial"/>
                <w:sz w:val="20"/>
              </w:rPr>
              <w:t xml:space="preserve">changes in our projected operating results that we provide to the public, our failure to meet these projections or changes in recommendations by securities analysts that elect to follow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regulatory actions with respect to our payment solutions, including any fines or enforcement actions regarding economic and trade sanctions;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regulatory or legal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level of expenses related to our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announcements of acquisitions, strategic alliances or significant agreements by us or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developments or disputes concerning patent applications, issued patents or other intellectual property or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20"/>
              </w:rPr>
            </w:pPr>
            <w:r>
              <w:rPr>
                <w:rFonts w:ascii="Arial" w:hAnsi="Arial"/>
                <w:sz w:val="20"/>
              </w:rPr>
              <w:t xml:space="preserve">the economy as a whole and market conditions in our industry, including conditions resulting from the effects of the COVID-19 pandemic;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20"/>
              </w:rPr>
            </w:pPr>
            <w:r>
              <w:rPr>
                <w:rFonts w:ascii="Arial" w:hAnsi="Arial"/>
                <w:sz w:val="20"/>
              </w:rPr>
              <w:t xml:space="preserve">political or social unrest, war or other military conflict, including an escalation of the conflict between Russia and Ukraine, economic instability, repression, or human rights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variations in our financial results or the financial results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financing or other corporate transactions, or inability to obtain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changes in the structure of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effects of ongoing United States-China diplomatic and trade friction;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trading activity by a limited number of stockholders who together beneficially own a majority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expiration of market standoff or contractual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size of our market float;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any other factors discussed in this prospectus supplement and our other SEC filings. </w:t>
            </w:r>
          </w:p>
        </w:tc>
      </w:tr>
    </w:tbl>
    <w:p>
      <w:pPr>
        <w:pStyle w:val="TextBody"/>
        <w:bidi w:val="0"/>
        <w:spacing w:before="240" w:after="0"/>
        <w:jc w:val="left"/>
        <w:rPr>
          <w:rFonts w:ascii="Arial" w:hAnsi="Arial"/>
          <w:sz w:val="20"/>
        </w:rPr>
      </w:pPr>
      <w:r>
        <w:rPr>
          <w:rFonts w:ascii="Arial" w:hAnsi="Arial"/>
          <w:sz w:val="20"/>
        </w:rPr>
        <w:t xml:space="preserve">In addition, the stock markets have experienced extreme price and volume fluctuations that have affected and continue to affect the market prices of equity securities of many companies. </w:t>
      </w:r>
    </w:p>
    <w:p>
      <w:pPr>
        <w:pStyle w:val="TextBody"/>
        <w:bidi w:val="0"/>
        <w:spacing w:before="240" w:after="0"/>
        <w:jc w:val="left"/>
        <w:rPr>
          <w:rFonts w:ascii="Arial" w:hAnsi="Arial"/>
          <w:sz w:val="20"/>
        </w:rPr>
      </w:pPr>
      <w:r>
        <w:rPr>
          <w:rFonts w:ascii="Arial" w:hAnsi="Arial"/>
          <w:sz w:val="20"/>
        </w:rPr>
        <w:t xml:space="preserve">Concerns over economic recession, the ongoing effects of the COVID-19 pandemic,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 </w:t>
      </w:r>
    </w:p>
    <w:p>
      <w:pPr>
        <w:pStyle w:val="TextBody"/>
        <w:bidi w:val="0"/>
        <w:spacing w:before="240" w:after="0"/>
        <w:jc w:val="left"/>
        <w:rPr>
          <w:rFonts w:ascii="Arial" w:hAnsi="Arial"/>
          <w:sz w:val="20"/>
        </w:rPr>
      </w:pPr>
      <w:r>
        <w:rPr>
          <w:rFonts w:ascii="Arial" w:hAnsi="Arial"/>
          <w:sz w:val="20"/>
        </w:rPr>
        <w:t xml:space="preserve">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 </w:t>
      </w:r>
    </w:p>
    <w:p>
      <w:pPr>
        <w:pStyle w:val="TextBody"/>
        <w:bidi w:val="0"/>
        <w:spacing w:before="240" w:after="0"/>
        <w:jc w:val="left"/>
        <w:rPr>
          <w:rFonts w:ascii="Arial" w:hAnsi="Arial"/>
          <w:b/>
          <w:i/>
          <w:sz w:val="20"/>
        </w:rPr>
      </w:pPr>
      <w:r>
        <w:rPr>
          <w:rFonts w:ascii="Arial" w:hAnsi="Arial"/>
          <w:b/>
          <w:i/>
          <w:sz w:val="20"/>
        </w:rPr>
        <w:t xml:space="preserve">We do not intend to pay dividends on our common stock and, consequently, your ability to achieve a return on your investment will depend on appreciation in the price of our common stock. </w:t>
      </w:r>
    </w:p>
    <w:p>
      <w:pPr>
        <w:pStyle w:val="TextBody"/>
        <w:bidi w:val="0"/>
        <w:spacing w:before="240" w:after="0"/>
        <w:jc w:val="left"/>
        <w:rPr>
          <w:rFonts w:ascii="Arial" w:hAnsi="Arial"/>
          <w:sz w:val="20"/>
        </w:rPr>
      </w:pPr>
      <w:r>
        <w:rPr>
          <w:rFonts w:ascii="Arial" w:hAnsi="Arial"/>
          <w:sz w:val="20"/>
        </w:rPr>
        <w:t xml:space="preserve">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7" w:name="suppbc510562_5"/>
      <w:bookmarkEnd w:id="7"/>
      <w:r>
        <w:rPr>
          <w:rFonts w:ascii="Arial" w:hAnsi="Arial"/>
          <w:b/>
          <w:sz w:val="20"/>
        </w:rPr>
        <w:t xml:space="preserve">USE OF PROCEEDS </w:t>
      </w:r>
    </w:p>
    <w:p>
      <w:pPr>
        <w:pStyle w:val="TextBody"/>
        <w:bidi w:val="0"/>
        <w:spacing w:before="240" w:after="0"/>
        <w:jc w:val="left"/>
        <w:rPr>
          <w:rFonts w:ascii="Arial" w:hAnsi="Arial"/>
          <w:sz w:val="20"/>
        </w:rPr>
      </w:pPr>
      <w:r>
        <w:rPr>
          <w:rFonts w:ascii="Arial" w:hAnsi="Arial"/>
          <w:sz w:val="20"/>
        </w:rPr>
        <w:t xml:space="preserve">We estimate that the net proceeds from the sale of 8,000,000 shares of our common stock in this offering will be approximately $244.7 million, after deducting the underwriting discounts and commissions and estimated offering expenses we expect to pay. If the underwriters exercise their option to purchase additional shares in full, we estimate that our net proceeds will be approximately $281.6 million, after deducting the underwriting discounts and commissions and estimated offering expenses we expect to pay. </w:t>
      </w:r>
    </w:p>
    <w:p>
      <w:pPr>
        <w:pStyle w:val="TextBody"/>
        <w:bidi w:val="0"/>
        <w:spacing w:before="240" w:after="0"/>
        <w:jc w:val="left"/>
        <w:rPr>
          <w:rFonts w:ascii="Arial" w:hAnsi="Arial"/>
          <w:sz w:val="20"/>
        </w:rPr>
      </w:pPr>
      <w:r>
        <w:rPr>
          <w:rFonts w:ascii="Arial" w:hAnsi="Arial"/>
          <w:sz w:val="20"/>
        </w:rPr>
        <w:t xml:space="preserve">We currently intend to use the net proceeds from this offering for general corporate purposes, which may include expanding our current business through acquisitions of, or investments in, other businesses, products or technologies. However, we have no commitments with respect to any such acquisitions or investments at this time. Our management will have broad discretion in the application of the net proceeds from this offering and investors will be relying on the judgment of our management regarding the application of the proceeds.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8" w:name="suppbc510562_6"/>
      <w:bookmarkEnd w:id="8"/>
      <w:r>
        <w:rPr>
          <w:rFonts w:ascii="Arial" w:hAnsi="Arial"/>
          <w:b/>
          <w:sz w:val="20"/>
        </w:rPr>
        <w:t xml:space="preserve">DIVIDEND POLICY </w:t>
      </w:r>
    </w:p>
    <w:p>
      <w:pPr>
        <w:pStyle w:val="TextBody"/>
        <w:bidi w:val="0"/>
        <w:spacing w:before="240" w:after="0"/>
        <w:jc w:val="left"/>
        <w:rPr>
          <w:rFonts w:ascii="Arial" w:hAnsi="Arial"/>
          <w:sz w:val="20"/>
        </w:rPr>
      </w:pPr>
      <w:r>
        <w:rPr>
          <w:rFonts w:ascii="Arial" w:hAnsi="Arial"/>
          <w:sz w:val="20"/>
        </w:rPr>
        <w:t xml:space="preserve">We have not declared or paid any dividends, or authorized or made any distribution upon or with respect to any class or series of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9" w:name="suppbc510562_7"/>
      <w:bookmarkEnd w:id="9"/>
      <w:r>
        <w:rPr>
          <w:rFonts w:ascii="Arial" w:hAnsi="Arial"/>
          <w:b/>
          <w:sz w:val="20"/>
        </w:rPr>
        <w:t xml:space="preserve">DILUTION </w:t>
      </w:r>
    </w:p>
    <w:p>
      <w:pPr>
        <w:pStyle w:val="TextBody"/>
        <w:bidi w:val="0"/>
        <w:spacing w:before="240" w:after="0"/>
        <w:jc w:val="left"/>
        <w:rPr>
          <w:rFonts w:ascii="Arial" w:hAnsi="Arial"/>
          <w:sz w:val="20"/>
        </w:rPr>
      </w:pPr>
      <w:r>
        <w:rPr>
          <w:rFonts w:ascii="Arial" w:hAnsi="Arial"/>
          <w:sz w:val="20"/>
        </w:rPr>
        <w:t xml:space="preserve">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 </w:t>
      </w:r>
    </w:p>
    <w:p>
      <w:pPr>
        <w:pStyle w:val="TextBody"/>
        <w:bidi w:val="0"/>
        <w:spacing w:before="240" w:after="0"/>
        <w:jc w:val="left"/>
        <w:rPr>
          <w:rFonts w:ascii="Arial" w:hAnsi="Arial"/>
          <w:sz w:val="20"/>
        </w:rPr>
      </w:pPr>
      <w:r>
        <w:rPr>
          <w:rFonts w:ascii="Arial" w:hAnsi="Arial"/>
          <w:sz w:val="20"/>
        </w:rPr>
        <w:t xml:space="preserve">Our net tangible book value as of June 30, 2023 was approximately $299.6 million, or $2.68 per share of our common stock. Net tangible book value per share is calculated by subtracting our total liabilities from our total tangible assets, which is total assets less goodwill and intangible assets, and dividing this amount by the number of shares of our common stock outstanding. </w:t>
      </w:r>
    </w:p>
    <w:p>
      <w:pPr>
        <w:pStyle w:val="TextBody"/>
        <w:bidi w:val="0"/>
        <w:spacing w:before="240" w:after="0"/>
        <w:jc w:val="left"/>
        <w:rPr>
          <w:rFonts w:ascii="Arial" w:hAnsi="Arial"/>
          <w:sz w:val="20"/>
        </w:rPr>
      </w:pPr>
      <w:r>
        <w:rPr>
          <w:rFonts w:ascii="Arial" w:hAnsi="Arial"/>
          <w:sz w:val="20"/>
        </w:rPr>
        <w:t xml:space="preserve">After giving effect to the sale by us of 8,000,000 shares of our common stock at the public offering price of $32.00 per share, and after deducting the underwriting discounts and commissions and estimated offering expenses, our as adjusted net tangible book value as of June 30, 2023 would have been approximately $544.3 million, or $4.54 per share of our common stock. This represents an immediate increase in the net tangible book value of $1.86 per share to our existing stockholders and an immediate and substantial dilution in net tangible book value of $27.46 per share to new investors. </w:t>
      </w:r>
    </w:p>
    <w:p>
      <w:pPr>
        <w:pStyle w:val="TextBody"/>
        <w:bidi w:val="0"/>
        <w:spacing w:before="240" w:after="0"/>
        <w:jc w:val="left"/>
        <w:rPr>
          <w:rFonts w:ascii="Arial" w:hAnsi="Arial"/>
          <w:sz w:val="20"/>
        </w:rPr>
      </w:pPr>
      <w:r>
        <w:rPr>
          <w:rFonts w:ascii="Arial" w:hAnsi="Arial"/>
          <w:sz w:val="20"/>
        </w:rPr>
        <w:t xml:space="preserve">The following table illustrates this per share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28"/>
        <w:gridCol w:w="326"/>
        <w:gridCol w:w="155"/>
        <w:gridCol w:w="789"/>
        <w:gridCol w:w="60"/>
        <w:gridCol w:w="326"/>
        <w:gridCol w:w="218"/>
        <w:gridCol w:w="639"/>
        <w:gridCol w:w="64"/>
      </w:tblGrid>
      <w:tr>
        <w:trPr/>
        <w:tc>
          <w:tcPr>
            <w:tcW w:w="7628"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628" w:type="dxa"/>
            <w:tcBorders/>
            <w:shd w:fill="CCEEFF" w:val="clear"/>
          </w:tcPr>
          <w:p>
            <w:pPr>
              <w:pStyle w:val="TableContents"/>
              <w:bidi w:val="0"/>
              <w:spacing w:before="0" w:after="0"/>
              <w:jc w:val="left"/>
              <w:rPr>
                <w:rFonts w:ascii="Arial" w:hAnsi="Arial"/>
                <w:sz w:val="20"/>
              </w:rPr>
            </w:pPr>
            <w:r>
              <w:rPr>
                <w:rFonts w:ascii="Arial" w:hAnsi="Arial"/>
                <w:sz w:val="20"/>
              </w:rPr>
              <w:t>Public offering price per share</w:t>
            </w:r>
          </w:p>
        </w:tc>
        <w:tc>
          <w:tcPr>
            <w:tcW w:w="3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r>
              <w:rPr>
                <w:rFonts w:ascii="Arial" w:hAnsi="Arial"/>
              </w:rPr>
              <w:t>$</w:t>
            </w:r>
          </w:p>
        </w:tc>
        <w:tc>
          <w:tcPr>
            <w:tcW w:w="639" w:type="dxa"/>
            <w:tcBorders/>
            <w:shd w:fill="CCEEFF" w:val="clear"/>
            <w:vAlign w:val="bottom"/>
          </w:tcPr>
          <w:p>
            <w:pPr>
              <w:pStyle w:val="TableContents"/>
              <w:bidi w:val="0"/>
              <w:spacing w:before="0" w:after="283"/>
              <w:jc w:val="right"/>
              <w:rPr>
                <w:rFonts w:ascii="Arial" w:hAnsi="Arial"/>
              </w:rPr>
            </w:pPr>
            <w:r>
              <w:rPr>
                <w:rFonts w:ascii="Arial" w:hAnsi="Arial"/>
              </w:rPr>
              <w:t>32,00</w:t>
            </w:r>
          </w:p>
        </w:tc>
        <w:tc>
          <w:tcPr>
            <w:tcW w:w="64" w:type="dxa"/>
            <w:tcBorders/>
            <w:shd w:fill="CCEEFF" w:val="clear"/>
            <w:vAlign w:val="bottom"/>
          </w:tcPr>
          <w:p>
            <w:pPr>
              <w:pStyle w:val="TableContents"/>
              <w:bidi w:val="0"/>
              <w:spacing w:before="0" w:after="283"/>
              <w:jc w:val="left"/>
              <w:rPr/>
            </w:pPr>
            <w:r>
              <w:rPr/>
              <w:t> </w:t>
            </w:r>
          </w:p>
        </w:tc>
      </w:tr>
      <w:tr>
        <w:trPr/>
        <w:tc>
          <w:tcPr>
            <w:tcW w:w="7628" w:type="dxa"/>
            <w:tcBorders/>
          </w:tcPr>
          <w:p>
            <w:pPr>
              <w:pStyle w:val="TableContents"/>
              <w:bidi w:val="0"/>
              <w:spacing w:before="0" w:after="0"/>
              <w:jc w:val="left"/>
              <w:rPr>
                <w:rFonts w:ascii="Arial" w:hAnsi="Arial"/>
                <w:sz w:val="20"/>
              </w:rPr>
            </w:pPr>
            <w:r>
              <w:rPr>
                <w:rFonts w:ascii="Arial" w:hAnsi="Arial"/>
                <w:sz w:val="20"/>
              </w:rPr>
              <w:t>Net tangible book value per share as of June 30, 2023</w:t>
            </w:r>
          </w:p>
        </w:tc>
        <w:tc>
          <w:tcPr>
            <w:tcW w:w="3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789" w:type="dxa"/>
            <w:tcBorders/>
            <w:vAlign w:val="bottom"/>
          </w:tcPr>
          <w:p>
            <w:pPr>
              <w:pStyle w:val="TableContents"/>
              <w:bidi w:val="0"/>
              <w:spacing w:before="0" w:after="283"/>
              <w:jc w:val="right"/>
              <w:rPr/>
            </w:pPr>
            <w:r>
              <w:rPr/>
              <w:t>    </w:t>
            </w:r>
            <w:r>
              <w:rPr>
                <w:rFonts w:ascii="Arial" w:hAnsi="Arial"/>
              </w:rPr>
              <w:t>2.68</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628" w:type="dxa"/>
            <w:tcBorders/>
            <w:shd w:fill="CCEEFF" w:val="clear"/>
          </w:tcPr>
          <w:p>
            <w:pPr>
              <w:pStyle w:val="TableContents"/>
              <w:bidi w:val="0"/>
              <w:spacing w:before="0" w:after="0"/>
              <w:jc w:val="left"/>
              <w:rPr>
                <w:rFonts w:ascii="Arial" w:hAnsi="Arial"/>
                <w:sz w:val="20"/>
              </w:rPr>
            </w:pPr>
            <w:r>
              <w:rPr>
                <w:rFonts w:ascii="Arial" w:hAnsi="Arial"/>
                <w:sz w:val="20"/>
              </w:rPr>
              <w:t>Increase in as adjusted net tangible book value per share attributable to new investors</w:t>
            </w:r>
          </w:p>
        </w:tc>
        <w:tc>
          <w:tcPr>
            <w:tcW w:w="3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rFonts w:ascii="Arial" w:hAnsi="Arial"/>
              </w:rPr>
            </w:pPr>
            <w:r>
              <w:rPr>
                <w:rFonts w:ascii="Arial" w:hAnsi="Arial"/>
              </w:rPr>
              <w:t>$</w:t>
            </w:r>
          </w:p>
        </w:tc>
        <w:tc>
          <w:tcPr>
            <w:tcW w:w="789" w:type="dxa"/>
            <w:tcBorders/>
            <w:shd w:fill="CCEEFF" w:val="clear"/>
            <w:vAlign w:val="bottom"/>
          </w:tcPr>
          <w:p>
            <w:pPr>
              <w:pStyle w:val="TableContents"/>
              <w:bidi w:val="0"/>
              <w:spacing w:before="0" w:after="283"/>
              <w:jc w:val="right"/>
              <w:rPr>
                <w:rFonts w:ascii="Arial" w:hAnsi="Arial"/>
              </w:rPr>
            </w:pPr>
            <w:r>
              <w:rPr>
                <w:rFonts w:ascii="Arial" w:hAnsi="Arial"/>
              </w:rPr>
              <w:t>1.86</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628" w:type="dxa"/>
            <w:tcBorders/>
          </w:tcPr>
          <w:p>
            <w:pPr>
              <w:pStyle w:val="TableContents"/>
              <w:bidi w:val="0"/>
              <w:spacing w:before="0" w:after="0"/>
              <w:jc w:val="left"/>
              <w:rPr>
                <w:rFonts w:ascii="Arial" w:hAnsi="Arial"/>
                <w:sz w:val="20"/>
              </w:rPr>
            </w:pPr>
            <w:r>
              <w:rPr>
                <w:rFonts w:ascii="Arial" w:hAnsi="Arial"/>
                <w:sz w:val="20"/>
              </w:rPr>
              <w:t>As adjusted net tangible book value per share after this offering</w:t>
            </w:r>
          </w:p>
        </w:tc>
        <w:tc>
          <w:tcPr>
            <w:tcW w:w="3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rFonts w:ascii="Arial" w:hAnsi="Arial"/>
              </w:rPr>
            </w:pPr>
            <w:r>
              <w:rPr>
                <w:rFonts w:ascii="Arial" w:hAnsi="Arial"/>
              </w:rPr>
              <w:t>$</w:t>
            </w:r>
          </w:p>
        </w:tc>
        <w:tc>
          <w:tcPr>
            <w:tcW w:w="639" w:type="dxa"/>
            <w:tcBorders/>
            <w:vAlign w:val="bottom"/>
          </w:tcPr>
          <w:p>
            <w:pPr>
              <w:pStyle w:val="TableContents"/>
              <w:bidi w:val="0"/>
              <w:spacing w:before="0" w:after="283"/>
              <w:jc w:val="right"/>
              <w:rPr>
                <w:rFonts w:ascii="Arial" w:hAnsi="Arial"/>
              </w:rPr>
            </w:pPr>
            <w:r>
              <w:rPr>
                <w:rFonts w:ascii="Arial" w:hAnsi="Arial"/>
              </w:rPr>
              <w:t>4.54</w:t>
            </w:r>
          </w:p>
        </w:tc>
        <w:tc>
          <w:tcPr>
            <w:tcW w:w="64" w:type="dxa"/>
            <w:tcBorders/>
            <w:vAlign w:val="bottom"/>
          </w:tcPr>
          <w:p>
            <w:pPr>
              <w:pStyle w:val="TableContents"/>
              <w:bidi w:val="0"/>
              <w:spacing w:before="0" w:after="283"/>
              <w:jc w:val="left"/>
              <w:rPr/>
            </w:pPr>
            <w:r>
              <w:rPr/>
              <w:t> </w:t>
            </w:r>
          </w:p>
        </w:tc>
      </w:tr>
      <w:tr>
        <w:trPr/>
        <w:tc>
          <w:tcPr>
            <w:tcW w:w="762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28" w:type="dxa"/>
            <w:tcBorders/>
            <w:shd w:fill="CCEEFF" w:val="clear"/>
          </w:tcPr>
          <w:p>
            <w:pPr>
              <w:pStyle w:val="TableContents"/>
              <w:bidi w:val="0"/>
              <w:spacing w:before="0" w:after="0"/>
              <w:jc w:val="left"/>
              <w:rPr>
                <w:rFonts w:ascii="Arial" w:hAnsi="Arial"/>
                <w:sz w:val="20"/>
              </w:rPr>
            </w:pPr>
            <w:r>
              <w:rPr>
                <w:rFonts w:ascii="Arial" w:hAnsi="Arial"/>
                <w:sz w:val="20"/>
              </w:rPr>
              <w:t>Dilution per share to new investors participating in this offering</w:t>
            </w:r>
          </w:p>
        </w:tc>
        <w:tc>
          <w:tcPr>
            <w:tcW w:w="3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rFonts w:ascii="Arial" w:hAnsi="Arial"/>
              </w:rPr>
            </w:pPr>
            <w:r>
              <w:rPr>
                <w:rFonts w:ascii="Arial" w:hAnsi="Arial"/>
              </w:rPr>
              <w:t>$</w:t>
            </w:r>
          </w:p>
        </w:tc>
        <w:tc>
          <w:tcPr>
            <w:tcW w:w="639" w:type="dxa"/>
            <w:tcBorders/>
            <w:shd w:fill="CCEEFF" w:val="clear"/>
            <w:vAlign w:val="bottom"/>
          </w:tcPr>
          <w:p>
            <w:pPr>
              <w:pStyle w:val="TableContents"/>
              <w:bidi w:val="0"/>
              <w:spacing w:before="0" w:after="283"/>
              <w:jc w:val="right"/>
              <w:rPr>
                <w:rFonts w:ascii="Arial" w:hAnsi="Arial"/>
              </w:rPr>
            </w:pPr>
            <w:r>
              <w:rPr>
                <w:rFonts w:ascii="Arial" w:hAnsi="Arial"/>
              </w:rPr>
              <w:t>27.46</w:t>
            </w:r>
          </w:p>
        </w:tc>
        <w:tc>
          <w:tcPr>
            <w:tcW w:w="64" w:type="dxa"/>
            <w:tcBorders/>
            <w:shd w:fill="CCEEFF" w:val="clear"/>
            <w:vAlign w:val="bottom"/>
          </w:tcPr>
          <w:p>
            <w:pPr>
              <w:pStyle w:val="TableContents"/>
              <w:bidi w:val="0"/>
              <w:spacing w:before="0" w:after="283"/>
              <w:jc w:val="left"/>
              <w:rPr/>
            </w:pPr>
            <w:r>
              <w:rPr/>
              <w:t> </w:t>
            </w:r>
          </w:p>
        </w:tc>
      </w:tr>
      <w:tr>
        <w:trPr/>
        <w:tc>
          <w:tcPr>
            <w:tcW w:w="762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12" w:space="1" w:color="000000"/>
              </w:pBdr>
              <w:bidi w:val="0"/>
              <w:spacing w:before="0" w:after="0"/>
              <w:jc w:val="left"/>
              <w:rPr/>
            </w:pPr>
            <w:r>
              <w:rPr/>
              <w:t> </w:t>
            </w:r>
          </w:p>
        </w:tc>
        <w:tc>
          <w:tcPr>
            <w:tcW w:w="639" w:type="dxa"/>
            <w:tcBorders/>
            <w:vAlign w:val="bottom"/>
          </w:tcPr>
          <w:p>
            <w:pPr>
              <w:pStyle w:val="TableContents"/>
              <w:pBdr>
                <w:top w:val="single" w:sz="1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If the underwriters exercise in full their option to purchase up to 1,200,000 additional shares from us at the public offering price of $32.00 per share, the as adjusted net tangible book value per share after this offering would be $4.80 per share and the dilution to new investors participating in this offering would be $27.20 per share. </w:t>
      </w:r>
    </w:p>
    <w:p>
      <w:pPr>
        <w:pStyle w:val="TextBody"/>
        <w:bidi w:val="0"/>
        <w:spacing w:before="240" w:after="0"/>
        <w:jc w:val="left"/>
        <w:rPr>
          <w:rFonts w:ascii="Arial" w:hAnsi="Arial"/>
          <w:sz w:val="20"/>
        </w:rPr>
      </w:pPr>
      <w:r>
        <w:rPr>
          <w:rFonts w:ascii="Arial" w:hAnsi="Arial"/>
          <w:sz w:val="20"/>
        </w:rPr>
        <w:t xml:space="preserve">The calculations above are based on 111,784,788 shares outstanding as of June 30, 2023 (of which 109,911,468 shares were voting common stock and 1,873,320 shares were non-voting common stock)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10,430,580 shares of common stock issuable upon exercise of stock options outstanding at a weighted average exercise price of approximately $6.32 per share as of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4,518,964 shares of common stock issuable upon the vesting and settlement of outstanding restricted stock units as of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14,956,425 shares of common stock reserved for future grants under our 2021 Equity Incentive Plan as of June 30, 2023, as well as any automatic increases in the number of shares of common stock reserved for future issuance under the 2021 Equity Incentive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3,766,959 shares reserved for future issuance under our 2021 Employee Stock Purchase Plan as of June 30, 2023, as well as any automatic increases in the number of shares of common stock reserved for future issuance under the 2021 Employee Stock Purchase Plan. </w:t>
            </w:r>
          </w:p>
        </w:tc>
      </w:tr>
    </w:tbl>
    <w:p>
      <w:pPr>
        <w:pStyle w:val="TextBody"/>
        <w:bidi w:val="0"/>
        <w:spacing w:before="240" w:after="0"/>
        <w:jc w:val="left"/>
        <w:rPr>
          <w:rFonts w:ascii="Arial" w:hAnsi="Arial"/>
          <w:sz w:val="20"/>
        </w:rPr>
      </w:pPr>
      <w:r>
        <w:rPr>
          <w:rFonts w:ascii="Arial" w:hAnsi="Arial"/>
          <w:sz w:val="20"/>
        </w:rPr>
        <w:t>Except as otherwise indicated, all information in this prospectus supplement assumes no exercise or settlement of the outstanding stock options, restricted stock units or other equity awards described above and no exercise by the underwriters of their option to purchase additional shares.</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0" w:name="suppbc510562_8"/>
      <w:bookmarkEnd w:id="10"/>
      <w:r>
        <w:rPr>
          <w:rFonts w:ascii="Arial" w:hAnsi="Arial"/>
          <w:b/>
          <w:sz w:val="20"/>
        </w:rPr>
        <w:t xml:space="preserve">MATERIAL UNITED STATES FEDERAL INCOME TAX CONSEQUENCES FOR NON-U.S. HOLDERS OF OUR COMMON STOCK </w:t>
      </w:r>
    </w:p>
    <w:p>
      <w:pPr>
        <w:pStyle w:val="TextBody"/>
        <w:bidi w:val="0"/>
        <w:spacing w:before="240" w:after="0"/>
        <w:jc w:val="left"/>
        <w:rPr>
          <w:rFonts w:ascii="Arial" w:hAnsi="Arial"/>
          <w:sz w:val="20"/>
        </w:rPr>
      </w:pPr>
      <w:r>
        <w:rPr>
          <w:rFonts w:ascii="Arial" w:hAnsi="Arial"/>
          <w:sz w:val="20"/>
        </w:rPr>
        <w:t xml:space="preserve">The following is a summary of certain material U.S. federal income and estate tax considerations relating to ownership and disposition of our common stock by a non-U.S. holder. For purposes of this discussion, the term non-U.S. holder means a beneficial owner (other than a partnership or other pass-through entity) of our common stock that is not,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a trust if (1) a U.S. court is able to exercise primary supervision over the administration of the trust and one or more United States persons (as defined in the Code) have authority to control all substantial decisions of the trust or (2) the trust has a valid election in effect under applicable U.S. Treasury Regulations to be treated as a United States person (as defined in the Code). </w:t>
            </w:r>
          </w:p>
        </w:tc>
      </w:tr>
    </w:tbl>
    <w:p>
      <w:pPr>
        <w:pStyle w:val="TextBody"/>
        <w:bidi w:val="0"/>
        <w:spacing w:before="240" w:after="0"/>
        <w:jc w:val="left"/>
        <w:rPr>
          <w:rFonts w:ascii="Arial" w:hAnsi="Arial"/>
          <w:sz w:val="20"/>
        </w:rPr>
      </w:pPr>
      <w:r>
        <w:rPr>
          <w:rFonts w:ascii="Arial" w:hAnsi="Arial"/>
          <w:sz w:val="20"/>
        </w:rPr>
        <w:t xml:space="preserve">This discussion does not address the tax treatment of partnerships or other entities that are passthrough entities for U.S. federal income tax purposes or persons who hold their shares of our common stock through partnerships or such other pass-through entities.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 </w:t>
      </w:r>
    </w:p>
    <w:p>
      <w:pPr>
        <w:pStyle w:val="TextBody"/>
        <w:bidi w:val="0"/>
        <w:spacing w:before="240" w:after="0"/>
        <w:jc w:val="left"/>
        <w:rPr>
          <w:rFonts w:ascii="Arial" w:hAnsi="Arial"/>
          <w:sz w:val="20"/>
        </w:rPr>
      </w:pPr>
      <w:r>
        <w:rPr>
          <w:rFonts w:ascii="Arial" w:hAnsi="Arial"/>
          <w:sz w:val="20"/>
        </w:rPr>
        <w:t xml:space="preserve">This discussion is based on current provisions of the Internal Revenue Code of 1986, or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or differing interpretation could alter the tax consequences to non-U.S. holders described in this prospectus. There can be no assurance that the Internal Revenue Service, or the IRS, will not challenge one or more of the tax consequences described in this prospectus. </w:t>
      </w:r>
    </w:p>
    <w:p>
      <w:pPr>
        <w:pStyle w:val="TextBody"/>
        <w:bidi w:val="0"/>
        <w:spacing w:before="240" w:after="0"/>
        <w:jc w:val="left"/>
        <w:rPr>
          <w:rFonts w:ascii="Arial" w:hAnsi="Arial"/>
          <w:sz w:val="20"/>
        </w:rPr>
      </w:pPr>
      <w:r>
        <w:rPr>
          <w:rFonts w:ascii="Arial" w:hAnsi="Arial"/>
          <w:sz w:val="20"/>
        </w:rPr>
        <w:t xml:space="preserve">We assume in this discussion that each non-U.S. holder holds shares of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Banks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20"/>
              </w:rPr>
            </w:pPr>
            <w:r>
              <w:rPr>
                <w:rFonts w:ascii="Arial" w:hAnsi="Arial"/>
                <w:sz w:val="20"/>
              </w:rPr>
              <w:t xml:space="preserve">tax-exempt organizations;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pension plans, including qualified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owners that hold our common stock as part of a straddle, hedge, conversion transaction, synthetic security or other integrated investment or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controlled foreign corporations and passive foreign investment companies, each as defined in the Code, and shareholders of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non-U.S. governments or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pass-through entities, including partnerships and entities and arrangements classified as partnerships for U.S. federal tax purposes, and beneficial owners of pass-through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certain U.S. expatriates. </w:t>
            </w:r>
          </w:p>
        </w:tc>
      </w:tr>
    </w:tbl>
    <w:p>
      <w:pPr>
        <w:pStyle w:val="TextBody"/>
        <w:bidi w:val="0"/>
        <w:spacing w:before="240" w:after="0"/>
        <w:jc w:val="left"/>
        <w:rPr>
          <w:rFonts w:ascii="Arial" w:hAnsi="Arial"/>
          <w:b/>
          <w:sz w:val="20"/>
        </w:rPr>
      </w:pPr>
      <w:r>
        <w:rPr>
          <w:rFonts w:ascii="Arial" w:hAnsi="Arial"/>
          <w:b/>
          <w:sz w:val="20"/>
        </w:rPr>
        <w:t xml:space="preserve">THIS DISCUSSION IS FOR INFORMATIONAL PURPOSES ONLY AND IS NOT, AND IS NOT INTENDED TO BE, LEGAL OR TAX ADVICE. PROSPECTIVE INVESTORS SHOULD CONSULT THEIR OWN TAX ADVISORS REGARDING THE U.S. FEDERAL, STATE, LOCAL, AND NON-U.S. INCOME, ESTATE AND OTHER TAX CONSIDERATIONS OF ACQUIRING, HOLDING AND DISPOSING OF OUR COMMON STOCK. </w:t>
      </w:r>
    </w:p>
    <w:p>
      <w:pPr>
        <w:pStyle w:val="TextBody"/>
        <w:bidi w:val="0"/>
        <w:spacing w:before="240" w:after="0"/>
        <w:jc w:val="center"/>
        <w:rPr>
          <w:rFonts w:ascii="Arial" w:hAnsi="Arial"/>
          <w:b/>
          <w:sz w:val="20"/>
        </w:rPr>
      </w:pPr>
      <w:r>
        <w:rPr>
          <w:rFonts w:ascii="Arial" w:hAnsi="Arial"/>
          <w:b/>
          <w:sz w:val="20"/>
        </w:rPr>
        <w:t xml:space="preserve">Distributions </w:t>
      </w:r>
    </w:p>
    <w:p>
      <w:pPr>
        <w:pStyle w:val="TextBody"/>
        <w:bidi w:val="0"/>
        <w:spacing w:before="240" w:after="0"/>
        <w:jc w:val="left"/>
        <w:rPr>
          <w:rFonts w:ascii="Arial" w:hAnsi="Arial"/>
          <w:sz w:val="20"/>
        </w:rPr>
      </w:pPr>
      <w:r>
        <w:rPr>
          <w:rFonts w:ascii="Arial" w:hAnsi="Arial"/>
          <w:sz w:val="20"/>
        </w:rPr>
        <w:t xml:space="preserve">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holders tax basis in the common stock. Any remaining excess will be treated as gain from the sale or exchange of our common stock, subject to the tax treatment described below under the heading Gain on Sale, Exchange or Other Taxable Disposition of Our Common Stock. Any distributions will also be subject to the discussions below under the headings Information Reporting and Backup Withholding and FATCA. </w:t>
      </w:r>
    </w:p>
    <w:p>
      <w:pPr>
        <w:pStyle w:val="TextBody"/>
        <w:bidi w:val="0"/>
        <w:spacing w:before="240" w:after="0"/>
        <w:jc w:val="left"/>
        <w:rPr>
          <w:rFonts w:ascii="Arial" w:hAnsi="Arial"/>
          <w:sz w:val="20"/>
        </w:rPr>
      </w:pPr>
      <w:r>
        <w:rPr>
          <w:rFonts w:ascii="Arial" w:hAnsi="Arial"/>
          <w:sz w:val="20"/>
        </w:rPr>
        <w:t xml:space="preserve">Except as described below, dividends paid to a non-U.S. holder generally will be subject to withholding of U.S. federal income tax at a 30% rate or such lower rate as may be specified by an applicable income tax treaty. </w:t>
      </w:r>
    </w:p>
    <w:p>
      <w:pPr>
        <w:pStyle w:val="TextBody"/>
        <w:bidi w:val="0"/>
        <w:spacing w:before="240" w:after="0"/>
        <w:jc w:val="left"/>
        <w:rPr>
          <w:rFonts w:ascii="Arial" w:hAnsi="Arial"/>
          <w:sz w:val="20"/>
        </w:rPr>
      </w:pPr>
      <w:r>
        <w:rPr>
          <w:rFonts w:ascii="Arial" w:hAnsi="Arial"/>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United States persons (as defined in the Code). Any U.S. effectively connected income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 </w:t>
      </w:r>
    </w:p>
    <w:p>
      <w:pPr>
        <w:pStyle w:val="TextBody"/>
        <w:bidi w:val="0"/>
        <w:spacing w:before="240" w:after="0"/>
        <w:jc w:val="left"/>
        <w:rPr>
          <w:rFonts w:ascii="Arial" w:hAnsi="Arial"/>
          <w:sz w:val="20"/>
        </w:rPr>
      </w:pPr>
      <w:r>
        <w:rPr>
          <w:rFonts w:ascii="Arial" w:hAnsi="Arial"/>
          <w:sz w:val="20"/>
        </w:rPr>
        <w:t xml:space="preserve">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 and the specific methods available to them to satisfy these requirements. </w:t>
      </w:r>
    </w:p>
    <w:p>
      <w:pPr>
        <w:pStyle w:val="TextBody"/>
        <w:bidi w:val="0"/>
        <w:spacing w:before="240" w:after="0"/>
        <w:jc w:val="left"/>
        <w:rPr>
          <w:rFonts w:ascii="Arial" w:hAnsi="Arial"/>
          <w:b/>
          <w:sz w:val="20"/>
        </w:rPr>
      </w:pPr>
      <w:r>
        <w:rPr>
          <w:rFonts w:ascii="Arial" w:hAnsi="Arial"/>
          <w:b/>
          <w:sz w:val="20"/>
        </w:rPr>
        <w:t xml:space="preserve">Gain on Sale, Exchange or Other Taxable Disposition of Our Common Stock </w:t>
      </w:r>
    </w:p>
    <w:p>
      <w:pPr>
        <w:pStyle w:val="TextBody"/>
        <w:bidi w:val="0"/>
        <w:spacing w:before="240" w:after="0"/>
        <w:jc w:val="left"/>
        <w:rPr>
          <w:rFonts w:ascii="Arial" w:hAnsi="Arial"/>
          <w:sz w:val="20"/>
        </w:rPr>
      </w:pPr>
      <w:r>
        <w:rPr>
          <w:rFonts w:ascii="Arial" w:hAnsi="Arial"/>
          <w:sz w:val="20"/>
        </w:rPr>
        <w:t xml:space="preserve">Subject to the discussions below under Information Reporting and Backup Withholding and FACTA, a non-U.S. holder generally will not be subject to U.S. federal income tax on any gain realized upon such non-U.S. holders sale, exchange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same U.S. federal income tax rates applicable to United States persons (as defined in the Code), and, if the non-U.S. holder is a foreign corporation, the branch profits tax described above under the heading Distributions may also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we are or have been, at any time during the five-year period preceding such disposition (or the non-U.S. holders holding period, if shorter) a U.S. real property holding corporation unless our common stock is regularly traded on an established securities market (within the meaning of the Code) and the non-U.S. holder held (directly, indirectly, or constructively (after applying certain attribution rules)) no more than 5% of our outstanding common stock,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United States persons (as defined in the Code) and the purchaser may be required to withhold and remit to the IRS 15% of the purchase price.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 described above.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U.S. Federal Estate Tax </w:t>
      </w:r>
    </w:p>
    <w:p>
      <w:pPr>
        <w:pStyle w:val="TextBody"/>
        <w:bidi w:val="0"/>
        <w:spacing w:before="240" w:after="0"/>
        <w:jc w:val="left"/>
        <w:rPr>
          <w:rFonts w:ascii="Arial" w:hAnsi="Arial"/>
          <w:sz w:val="20"/>
        </w:rPr>
      </w:pPr>
      <w:r>
        <w:rPr>
          <w:rFonts w:ascii="Arial" w:hAnsi="Arial"/>
          <w:sz w:val="20"/>
        </w:rPr>
        <w:t xml:space="preserve">Shares of our common stock that are owned or treated as owned by an individual who is not a U.S.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 </w:t>
      </w:r>
    </w:p>
    <w:p>
      <w:pPr>
        <w:pStyle w:val="TextBody"/>
        <w:bidi w:val="0"/>
        <w:spacing w:before="240" w:after="0"/>
        <w:jc w:val="center"/>
        <w:rPr>
          <w:rFonts w:ascii="Arial" w:hAnsi="Arial"/>
          <w:b/>
          <w:sz w:val="20"/>
        </w:rPr>
      </w:pPr>
      <w:r>
        <w:rPr>
          <w:rFonts w:ascii="Arial" w:hAnsi="Arial"/>
          <w:b/>
          <w:sz w:val="20"/>
        </w:rPr>
        <w:t xml:space="preserve">Information Reporting and Backup Withholding </w:t>
      </w:r>
    </w:p>
    <w:p>
      <w:pPr>
        <w:pStyle w:val="TextBody"/>
        <w:bidi w:val="0"/>
        <w:spacing w:before="240" w:after="0"/>
        <w:jc w:val="left"/>
        <w:rPr>
          <w:rFonts w:ascii="Arial" w:hAnsi="Arial"/>
          <w:sz w:val="20"/>
        </w:rPr>
      </w:pPr>
      <w:r>
        <w:rPr>
          <w:rFonts w:ascii="Arial" w:hAnsi="Arial"/>
          <w:sz w:val="20"/>
        </w:rPr>
        <w:t xml:space="preserve">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Generally, a non-U.S. holder will comply with such procedures if it provides a properly executed IRS Form W-8BEN or W-8BEN-E (or other applicable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 </w:t>
      </w:r>
    </w:p>
    <w:p>
      <w:pPr>
        <w:pStyle w:val="TextBody"/>
        <w:bidi w:val="0"/>
        <w:spacing w:before="240" w:after="0"/>
        <w:jc w:val="left"/>
        <w:rPr>
          <w:rFonts w:ascii="Arial" w:hAnsi="Arial"/>
          <w:sz w:val="20"/>
        </w:rPr>
      </w:pPr>
      <w:r>
        <w:rPr>
          <w:rFonts w:ascii="Arial" w:hAnsi="Arial"/>
          <w:sz w:val="20"/>
        </w:rPr>
        <w:t xml:space="preserve">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w:t>
      </w:r>
    </w:p>
    <w:p>
      <w:pPr>
        <w:pStyle w:val="TextBody"/>
        <w:bidi w:val="0"/>
        <w:spacing w:before="240" w:after="0"/>
        <w:jc w:val="left"/>
        <w:rPr>
          <w:rFonts w:ascii="Arial" w:hAnsi="Arial"/>
          <w:sz w:val="20"/>
        </w:rPr>
      </w:pPr>
      <w:r>
        <w:rPr>
          <w:rFonts w:ascii="Arial" w:hAnsi="Arial"/>
          <w:sz w:val="20"/>
        </w:rPr>
        <w:t xml:space="preserve">Copies of information returns may be made available to the tax authorities of the country in which the non-U.S. holder resides or is incorporated under the provisions of a specific treaty or agreement. </w:t>
      </w:r>
    </w:p>
    <w:p>
      <w:pPr>
        <w:pStyle w:val="TextBody"/>
        <w:bidi w:val="0"/>
        <w:spacing w:before="240" w:after="0"/>
        <w:jc w:val="left"/>
        <w:rPr>
          <w:rFonts w:ascii="Arial" w:hAnsi="Arial"/>
          <w:sz w:val="20"/>
        </w:rPr>
      </w:pPr>
      <w:r>
        <w:rPr>
          <w:rFonts w:ascii="Arial" w:hAnsi="Arial"/>
          <w:sz w:val="20"/>
        </w:rPr>
        <w:t xml:space="preserve">Backup withholding is not an additional tax. Rather, any amounts withheld under the backup withholding rules from a payment to a non-U.S. holder can be refunded or credited against the non-U.S. holders U.S. federal income tax liability, if any, provided that an appropriate claim is timely filed with the IRS. </w:t>
      </w:r>
    </w:p>
    <w:p>
      <w:pPr>
        <w:pStyle w:val="TextBody"/>
        <w:bidi w:val="0"/>
        <w:spacing w:before="240" w:after="0"/>
        <w:jc w:val="center"/>
        <w:rPr>
          <w:rFonts w:ascii="Arial" w:hAnsi="Arial"/>
          <w:b/>
          <w:sz w:val="20"/>
        </w:rPr>
      </w:pPr>
      <w:r>
        <w:rPr>
          <w:rFonts w:ascii="Arial" w:hAnsi="Arial"/>
          <w:b/>
          <w:sz w:val="20"/>
        </w:rPr>
        <w:t xml:space="preserve">FATCA </w:t>
      </w:r>
    </w:p>
    <w:p>
      <w:pPr>
        <w:pStyle w:val="TextBody"/>
        <w:bidi w:val="0"/>
        <w:spacing w:before="240" w:after="0"/>
        <w:jc w:val="left"/>
        <w:rPr>
          <w:rFonts w:ascii="Arial" w:hAnsi="Arial"/>
          <w:sz w:val="20"/>
        </w:rPr>
      </w:pPr>
      <w:r>
        <w:rPr>
          <w:rFonts w:ascii="Arial" w:hAnsi="Arial"/>
          <w:sz w:val="20"/>
        </w:rPr>
        <w:t xml:space="preserve">Provisions of the Code commonly referred to as the Foreign Account Tax Compliance Act, or FATCA, generally impose a 30% withholding tax on dividends on, and gross proceeds from the sale or other disposition of, our common stock if paid to a foreign entity unless (1) if the foreign entity is a foreign financial institution, the foreign entity undertakes certain due diligence, reporting, withholding, and certification obligations, (2) if the foreign entity is not a foreign financial institution, the foreign entity identifies certain of its U.S. investors, or (3) the foreign entity is otherwise excepted under FATCA. Under proposed U.S. Treasury Regulations that may be relied upon until the final regulations are issued, FACTA withholding on gross proceeds from the sale or other disposition of our common stock would not currently apply.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Withholding under FATCA generally applies to payments of dividends on our common stock. While withholding under FATCA may apply to payments of gross proceeds from a sale or other disposition of our common stock under proposed U.S. Treasury Regulations, withholding on payments of gross proceeds is not required. Although such regulations are not final, applicable withholding agents may rely on the proposed regulations until final regulations are issued. </w:t>
      </w:r>
    </w:p>
    <w:p>
      <w:pPr>
        <w:pStyle w:val="TextBody"/>
        <w:bidi w:val="0"/>
        <w:spacing w:before="240" w:after="0"/>
        <w:jc w:val="left"/>
        <w:rPr>
          <w:rFonts w:ascii="Arial" w:hAnsi="Arial"/>
          <w:sz w:val="20"/>
        </w:rPr>
      </w:pPr>
      <w:r>
        <w:rPr>
          <w:rFonts w:ascii="Arial" w:hAnsi="Arial"/>
          <w:sz w:val="20"/>
        </w:rPr>
        <w:t xml:space="preserve">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 </w:t>
      </w:r>
    </w:p>
    <w:p>
      <w:pPr>
        <w:pStyle w:val="TextBody"/>
        <w:bidi w:val="0"/>
        <w:spacing w:before="240" w:after="0"/>
        <w:jc w:val="left"/>
        <w:rPr>
          <w:rFonts w:ascii="Arial" w:hAnsi="Arial"/>
          <w:b/>
          <w:sz w:val="20"/>
        </w:rPr>
      </w:pPr>
      <w:r>
        <w:rPr>
          <w:rFonts w:ascii="Arial" w:hAnsi="Arial"/>
          <w:b/>
          <w:sz w:val="20"/>
        </w:rPr>
        <w:t xml:space="preserve">The preceding discussion of material U.S. federal tax considerations is for informational purposes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1" w:name="suppbc510562_9"/>
      <w:bookmarkEnd w:id="11"/>
      <w:r>
        <w:rPr>
          <w:rFonts w:ascii="Arial" w:hAnsi="Arial"/>
          <w:b/>
          <w:sz w:val="20"/>
        </w:rPr>
        <w:t xml:space="preserve">UNDERWRITING </w:t>
      </w:r>
    </w:p>
    <w:p>
      <w:pPr>
        <w:pStyle w:val="TextBody"/>
        <w:bidi w:val="0"/>
        <w:spacing w:before="240" w:after="0"/>
        <w:jc w:val="left"/>
        <w:rPr>
          <w:rFonts w:ascii="Arial" w:hAnsi="Arial"/>
          <w:sz w:val="20"/>
        </w:rPr>
      </w:pPr>
      <w:r>
        <w:rPr>
          <w:rFonts w:ascii="Arial" w:hAnsi="Arial"/>
          <w:sz w:val="20"/>
        </w:rPr>
        <w:t xml:space="preserve">The company and the underwriters named below have entered into an underwriting agreement with respect to the shares being offered. Subject to certain conditions, each underwriter has severally agreed to purchase the number of shares of common stock indicated in the following table. Goldman Sachs &amp; Co. LLC is the representative of the underwriters.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31"/>
        <w:gridCol w:w="491"/>
        <w:gridCol w:w="89"/>
        <w:gridCol w:w="1632"/>
        <w:gridCol w:w="62"/>
      </w:tblGrid>
      <w:tr>
        <w:trPr/>
        <w:tc>
          <w:tcPr>
            <w:tcW w:w="7931"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931" w:type="dxa"/>
            <w:tcBorders>
              <w:bottom w:val="single" w:sz="8" w:space="0" w:color="000000"/>
            </w:tcBorders>
            <w:tcMar>
              <w:bottom w:w="28" w:type="dxa"/>
            </w:tcMar>
            <w:vAlign w:val="bottom"/>
          </w:tcPr>
          <w:p>
            <w:pPr>
              <w:pStyle w:val="TableContents"/>
              <w:bidi w:val="0"/>
              <w:spacing w:before="0" w:after="20"/>
              <w:jc w:val="left"/>
              <w:rPr>
                <w:rFonts w:ascii="Arial" w:hAnsi="Arial"/>
                <w:b/>
                <w:sz w:val="18"/>
              </w:rPr>
            </w:pPr>
            <w:r>
              <w:rPr>
                <w:rFonts w:ascii="Arial" w:hAnsi="Arial"/>
                <w:b/>
                <w:sz w:val="18"/>
              </w:rPr>
              <w:t>Underwriters</w:t>
            </w:r>
          </w:p>
        </w:tc>
        <w:tc>
          <w:tcPr>
            <w:tcW w:w="491" w:type="dxa"/>
            <w:tcBorders/>
            <w:vAlign w:val="bottom"/>
          </w:tcPr>
          <w:p>
            <w:pPr>
              <w:pStyle w:val="TableContents"/>
              <w:bidi w:val="0"/>
              <w:spacing w:before="0" w:after="283"/>
              <w:jc w:val="left"/>
              <w:rPr/>
            </w:pPr>
            <w:r>
              <w:rPr/>
              <w:t>  </w:t>
            </w:r>
          </w:p>
        </w:tc>
        <w:tc>
          <w:tcPr>
            <w:tcW w:w="17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rFonts w:ascii="Arial" w:hAnsi="Arial"/>
                <w:b/>
              </w:rPr>
              <w:t>Number of    </w:t>
              <w:br/>
              <w:t>Shares</w:t>
            </w:r>
          </w:p>
        </w:tc>
        <w:tc>
          <w:tcPr>
            <w:tcW w:w="62" w:type="dxa"/>
            <w:tcBorders/>
            <w:vAlign w:val="bottom"/>
          </w:tcPr>
          <w:p>
            <w:pPr>
              <w:pStyle w:val="TableContents"/>
              <w:bidi w:val="0"/>
              <w:spacing w:before="0" w:after="283"/>
              <w:jc w:val="left"/>
              <w:rPr/>
            </w:pPr>
            <w:r>
              <w:rPr/>
              <w:t> </w:t>
            </w:r>
          </w:p>
        </w:tc>
      </w:tr>
      <w:tr>
        <w:trPr/>
        <w:tc>
          <w:tcPr>
            <w:tcW w:w="7931" w:type="dxa"/>
            <w:tcBorders/>
            <w:shd w:fill="CCEEFF" w:val="clear"/>
          </w:tcPr>
          <w:p>
            <w:pPr>
              <w:pStyle w:val="TableContents"/>
              <w:bidi w:val="0"/>
              <w:spacing w:before="0" w:after="0"/>
              <w:jc w:val="left"/>
              <w:rPr>
                <w:rFonts w:ascii="Arial" w:hAnsi="Arial"/>
                <w:sz w:val="20"/>
              </w:rPr>
            </w:pPr>
            <w:r>
              <w:rPr>
                <w:rFonts w:ascii="Arial" w:hAnsi="Arial"/>
                <w:sz w:val="20"/>
              </w:rPr>
              <w:t>Goldman Sachs &amp; Co. LLC</w:t>
            </w:r>
          </w:p>
        </w:tc>
        <w:tc>
          <w:tcPr>
            <w:tcW w:w="4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rFonts w:ascii="Arial" w:hAnsi="Arial"/>
              </w:rPr>
            </w:pPr>
            <w:r>
              <w:rPr>
                <w:rFonts w:ascii="Arial" w:hAnsi="Arial"/>
              </w:rPr>
              <w:t>2,650,400</w:t>
            </w:r>
          </w:p>
        </w:tc>
        <w:tc>
          <w:tcPr>
            <w:tcW w:w="62" w:type="dxa"/>
            <w:tcBorders/>
            <w:shd w:fill="CCEEFF" w:val="clear"/>
            <w:vAlign w:val="bottom"/>
          </w:tcPr>
          <w:p>
            <w:pPr>
              <w:pStyle w:val="TableContents"/>
              <w:bidi w:val="0"/>
              <w:spacing w:before="0" w:after="283"/>
              <w:jc w:val="left"/>
              <w:rPr/>
            </w:pPr>
            <w:r>
              <w:rPr/>
              <w:t> </w:t>
            </w:r>
          </w:p>
        </w:tc>
      </w:tr>
      <w:tr>
        <w:trPr/>
        <w:tc>
          <w:tcPr>
            <w:tcW w:w="7931" w:type="dxa"/>
            <w:tcBorders/>
          </w:tcPr>
          <w:p>
            <w:pPr>
              <w:pStyle w:val="TableContents"/>
              <w:bidi w:val="0"/>
              <w:spacing w:before="0" w:after="0"/>
              <w:jc w:val="left"/>
              <w:rPr>
                <w:rFonts w:ascii="Arial" w:hAnsi="Arial"/>
                <w:sz w:val="20"/>
              </w:rPr>
            </w:pPr>
            <w:r>
              <w:rPr>
                <w:rFonts w:ascii="Arial" w:hAnsi="Arial"/>
                <w:sz w:val="20"/>
              </w:rPr>
              <w:t>J.P. Morgan Securities LLC</w:t>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632" w:type="dxa"/>
            <w:tcBorders/>
            <w:vAlign w:val="bottom"/>
          </w:tcPr>
          <w:p>
            <w:pPr>
              <w:pStyle w:val="TableContents"/>
              <w:bidi w:val="0"/>
              <w:spacing w:before="0" w:after="283"/>
              <w:jc w:val="right"/>
              <w:rPr>
                <w:rFonts w:ascii="Arial" w:hAnsi="Arial"/>
              </w:rPr>
            </w:pPr>
            <w:r>
              <w:rPr>
                <w:rFonts w:ascii="Arial" w:hAnsi="Arial"/>
              </w:rPr>
              <w:t>1,237,600</w:t>
            </w:r>
          </w:p>
        </w:tc>
        <w:tc>
          <w:tcPr>
            <w:tcW w:w="62" w:type="dxa"/>
            <w:tcBorders/>
            <w:vAlign w:val="bottom"/>
          </w:tcPr>
          <w:p>
            <w:pPr>
              <w:pStyle w:val="TableContents"/>
              <w:bidi w:val="0"/>
              <w:spacing w:before="0" w:after="283"/>
              <w:jc w:val="left"/>
              <w:rPr/>
            </w:pPr>
            <w:r>
              <w:rPr/>
              <w:t> </w:t>
            </w:r>
          </w:p>
        </w:tc>
      </w:tr>
      <w:tr>
        <w:trPr/>
        <w:tc>
          <w:tcPr>
            <w:tcW w:w="7931" w:type="dxa"/>
            <w:tcBorders/>
            <w:shd w:fill="CCEEFF" w:val="clear"/>
          </w:tcPr>
          <w:p>
            <w:pPr>
              <w:pStyle w:val="TableContents"/>
              <w:bidi w:val="0"/>
              <w:spacing w:before="0" w:after="0"/>
              <w:jc w:val="left"/>
              <w:rPr>
                <w:rFonts w:ascii="Arial" w:hAnsi="Arial"/>
                <w:sz w:val="20"/>
              </w:rPr>
            </w:pPr>
            <w:r>
              <w:rPr>
                <w:rFonts w:ascii="Arial" w:hAnsi="Arial"/>
                <w:sz w:val="20"/>
              </w:rPr>
              <w:t>BofA Securities, Inc.</w:t>
            </w:r>
          </w:p>
        </w:tc>
        <w:tc>
          <w:tcPr>
            <w:tcW w:w="4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rFonts w:ascii="Arial" w:hAnsi="Arial"/>
              </w:rPr>
            </w:pPr>
            <w:r>
              <w:rPr>
                <w:rFonts w:ascii="Arial" w:hAnsi="Arial"/>
              </w:rPr>
              <w:t>1,012,800</w:t>
            </w:r>
          </w:p>
        </w:tc>
        <w:tc>
          <w:tcPr>
            <w:tcW w:w="62" w:type="dxa"/>
            <w:tcBorders/>
            <w:shd w:fill="CCEEFF" w:val="clear"/>
            <w:vAlign w:val="bottom"/>
          </w:tcPr>
          <w:p>
            <w:pPr>
              <w:pStyle w:val="TableContents"/>
              <w:bidi w:val="0"/>
              <w:spacing w:before="0" w:after="283"/>
              <w:jc w:val="left"/>
              <w:rPr/>
            </w:pPr>
            <w:r>
              <w:rPr/>
              <w:t> </w:t>
            </w:r>
          </w:p>
        </w:tc>
      </w:tr>
      <w:tr>
        <w:trPr/>
        <w:tc>
          <w:tcPr>
            <w:tcW w:w="7931" w:type="dxa"/>
            <w:tcBorders/>
          </w:tcPr>
          <w:p>
            <w:pPr>
              <w:pStyle w:val="TableContents"/>
              <w:bidi w:val="0"/>
              <w:spacing w:before="0" w:after="0"/>
              <w:jc w:val="left"/>
              <w:rPr>
                <w:rFonts w:ascii="Arial" w:hAnsi="Arial"/>
                <w:sz w:val="20"/>
              </w:rPr>
            </w:pPr>
            <w:r>
              <w:rPr>
                <w:rFonts w:ascii="Arial" w:hAnsi="Arial"/>
                <w:sz w:val="20"/>
              </w:rPr>
              <w:t>Citigroup Global Markets Inc.</w:t>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632" w:type="dxa"/>
            <w:tcBorders/>
            <w:vAlign w:val="bottom"/>
          </w:tcPr>
          <w:p>
            <w:pPr>
              <w:pStyle w:val="TableContents"/>
              <w:bidi w:val="0"/>
              <w:spacing w:before="0" w:after="283"/>
              <w:jc w:val="right"/>
              <w:rPr>
                <w:rFonts w:ascii="Arial" w:hAnsi="Arial"/>
              </w:rPr>
            </w:pPr>
            <w:r>
              <w:rPr>
                <w:rFonts w:ascii="Arial" w:hAnsi="Arial"/>
              </w:rPr>
              <w:t>1,012,800</w:t>
            </w:r>
          </w:p>
        </w:tc>
        <w:tc>
          <w:tcPr>
            <w:tcW w:w="62" w:type="dxa"/>
            <w:tcBorders/>
            <w:vAlign w:val="bottom"/>
          </w:tcPr>
          <w:p>
            <w:pPr>
              <w:pStyle w:val="TableContents"/>
              <w:bidi w:val="0"/>
              <w:spacing w:before="0" w:after="283"/>
              <w:jc w:val="left"/>
              <w:rPr/>
            </w:pPr>
            <w:r>
              <w:rPr/>
              <w:t> </w:t>
            </w:r>
          </w:p>
        </w:tc>
      </w:tr>
      <w:tr>
        <w:trPr/>
        <w:tc>
          <w:tcPr>
            <w:tcW w:w="7931" w:type="dxa"/>
            <w:tcBorders/>
            <w:shd w:fill="CCEEFF" w:val="clear"/>
          </w:tcPr>
          <w:p>
            <w:pPr>
              <w:pStyle w:val="TableContents"/>
              <w:bidi w:val="0"/>
              <w:spacing w:before="0" w:after="0"/>
              <w:jc w:val="left"/>
              <w:rPr>
                <w:rFonts w:ascii="Arial" w:hAnsi="Arial"/>
                <w:sz w:val="20"/>
              </w:rPr>
            </w:pPr>
            <w:r>
              <w:rPr>
                <w:rFonts w:ascii="Arial" w:hAnsi="Arial"/>
                <w:sz w:val="20"/>
              </w:rPr>
              <w:t>RBC Capital Markets, LLC</w:t>
            </w:r>
          </w:p>
        </w:tc>
        <w:tc>
          <w:tcPr>
            <w:tcW w:w="4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rFonts w:ascii="Arial" w:hAnsi="Arial"/>
              </w:rPr>
            </w:pPr>
            <w:r>
              <w:rPr>
                <w:rFonts w:ascii="Arial" w:hAnsi="Arial"/>
              </w:rPr>
              <w:t>587,200</w:t>
            </w:r>
          </w:p>
        </w:tc>
        <w:tc>
          <w:tcPr>
            <w:tcW w:w="62" w:type="dxa"/>
            <w:tcBorders/>
            <w:shd w:fill="CCEEFF" w:val="clear"/>
            <w:vAlign w:val="bottom"/>
          </w:tcPr>
          <w:p>
            <w:pPr>
              <w:pStyle w:val="TableContents"/>
              <w:bidi w:val="0"/>
              <w:spacing w:before="0" w:after="283"/>
              <w:jc w:val="left"/>
              <w:rPr/>
            </w:pPr>
            <w:r>
              <w:rPr/>
              <w:t> </w:t>
            </w:r>
          </w:p>
        </w:tc>
      </w:tr>
      <w:tr>
        <w:trPr/>
        <w:tc>
          <w:tcPr>
            <w:tcW w:w="7931" w:type="dxa"/>
            <w:tcBorders/>
          </w:tcPr>
          <w:p>
            <w:pPr>
              <w:pStyle w:val="TableContents"/>
              <w:bidi w:val="0"/>
              <w:spacing w:before="0" w:after="0"/>
              <w:jc w:val="left"/>
              <w:rPr>
                <w:rFonts w:ascii="Arial" w:hAnsi="Arial"/>
                <w:sz w:val="20"/>
              </w:rPr>
            </w:pPr>
            <w:r>
              <w:rPr>
                <w:rFonts w:ascii="Arial" w:hAnsi="Arial"/>
                <w:sz w:val="20"/>
              </w:rPr>
              <w:t>Raymond James &amp; Associates, Inc.</w:t>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632" w:type="dxa"/>
            <w:tcBorders/>
            <w:vAlign w:val="bottom"/>
          </w:tcPr>
          <w:p>
            <w:pPr>
              <w:pStyle w:val="TableContents"/>
              <w:bidi w:val="0"/>
              <w:spacing w:before="0" w:after="283"/>
              <w:jc w:val="right"/>
              <w:rPr>
                <w:rFonts w:ascii="Arial" w:hAnsi="Arial"/>
              </w:rPr>
            </w:pPr>
            <w:r>
              <w:rPr>
                <w:rFonts w:ascii="Arial" w:hAnsi="Arial"/>
              </w:rPr>
              <w:t>450,400</w:t>
            </w:r>
          </w:p>
        </w:tc>
        <w:tc>
          <w:tcPr>
            <w:tcW w:w="62" w:type="dxa"/>
            <w:tcBorders/>
            <w:vAlign w:val="bottom"/>
          </w:tcPr>
          <w:p>
            <w:pPr>
              <w:pStyle w:val="TableContents"/>
              <w:bidi w:val="0"/>
              <w:spacing w:before="0" w:after="283"/>
              <w:jc w:val="left"/>
              <w:rPr/>
            </w:pPr>
            <w:r>
              <w:rPr/>
              <w:t> </w:t>
            </w:r>
          </w:p>
        </w:tc>
      </w:tr>
      <w:tr>
        <w:trPr/>
        <w:tc>
          <w:tcPr>
            <w:tcW w:w="7931" w:type="dxa"/>
            <w:tcBorders/>
            <w:shd w:fill="CCEEFF" w:val="clear"/>
          </w:tcPr>
          <w:p>
            <w:pPr>
              <w:pStyle w:val="TableContents"/>
              <w:bidi w:val="0"/>
              <w:spacing w:before="0" w:after="0"/>
              <w:jc w:val="left"/>
              <w:rPr>
                <w:rFonts w:ascii="Arial" w:hAnsi="Arial"/>
                <w:sz w:val="20"/>
              </w:rPr>
            </w:pPr>
            <w:r>
              <w:rPr>
                <w:rFonts w:ascii="Arial" w:hAnsi="Arial"/>
                <w:sz w:val="20"/>
              </w:rPr>
              <w:t>William Blair &amp; Company, L.L.C.</w:t>
            </w:r>
          </w:p>
        </w:tc>
        <w:tc>
          <w:tcPr>
            <w:tcW w:w="4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rFonts w:ascii="Arial" w:hAnsi="Arial"/>
              </w:rPr>
            </w:pPr>
            <w:r>
              <w:rPr>
                <w:rFonts w:ascii="Arial" w:hAnsi="Arial"/>
              </w:rPr>
              <w:t>450,400</w:t>
            </w:r>
          </w:p>
        </w:tc>
        <w:tc>
          <w:tcPr>
            <w:tcW w:w="62" w:type="dxa"/>
            <w:tcBorders/>
            <w:shd w:fill="CCEEFF" w:val="clear"/>
            <w:vAlign w:val="bottom"/>
          </w:tcPr>
          <w:p>
            <w:pPr>
              <w:pStyle w:val="TableContents"/>
              <w:bidi w:val="0"/>
              <w:spacing w:before="0" w:after="283"/>
              <w:jc w:val="left"/>
              <w:rPr/>
            </w:pPr>
            <w:r>
              <w:rPr/>
              <w:t> </w:t>
            </w:r>
          </w:p>
        </w:tc>
      </w:tr>
      <w:tr>
        <w:trPr/>
        <w:tc>
          <w:tcPr>
            <w:tcW w:w="7931" w:type="dxa"/>
            <w:tcBorders/>
          </w:tcPr>
          <w:p>
            <w:pPr>
              <w:pStyle w:val="TableContents"/>
              <w:bidi w:val="0"/>
              <w:spacing w:before="0" w:after="0"/>
              <w:jc w:val="left"/>
              <w:rPr>
                <w:rFonts w:ascii="Arial" w:hAnsi="Arial"/>
                <w:sz w:val="20"/>
              </w:rPr>
            </w:pPr>
            <w:r>
              <w:rPr>
                <w:rFonts w:ascii="Arial" w:hAnsi="Arial"/>
                <w:sz w:val="20"/>
              </w:rPr>
              <w:t>Nomura Securities International, Inc.</w:t>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632" w:type="dxa"/>
            <w:tcBorders/>
            <w:vAlign w:val="bottom"/>
          </w:tcPr>
          <w:p>
            <w:pPr>
              <w:pStyle w:val="TableContents"/>
              <w:bidi w:val="0"/>
              <w:spacing w:before="0" w:after="283"/>
              <w:jc w:val="right"/>
              <w:rPr>
                <w:rFonts w:ascii="Arial" w:hAnsi="Arial"/>
              </w:rPr>
            </w:pPr>
            <w:r>
              <w:rPr>
                <w:rFonts w:ascii="Arial" w:hAnsi="Arial"/>
              </w:rPr>
              <w:t>241,680</w:t>
            </w:r>
          </w:p>
        </w:tc>
        <w:tc>
          <w:tcPr>
            <w:tcW w:w="62" w:type="dxa"/>
            <w:tcBorders/>
            <w:vAlign w:val="bottom"/>
          </w:tcPr>
          <w:p>
            <w:pPr>
              <w:pStyle w:val="TableContents"/>
              <w:bidi w:val="0"/>
              <w:spacing w:before="0" w:after="283"/>
              <w:jc w:val="left"/>
              <w:rPr/>
            </w:pPr>
            <w:r>
              <w:rPr/>
              <w:t> </w:t>
            </w:r>
          </w:p>
        </w:tc>
      </w:tr>
      <w:tr>
        <w:trPr/>
        <w:tc>
          <w:tcPr>
            <w:tcW w:w="7931" w:type="dxa"/>
            <w:tcBorders/>
            <w:shd w:fill="CCEEFF" w:val="clear"/>
          </w:tcPr>
          <w:p>
            <w:pPr>
              <w:pStyle w:val="TableContents"/>
              <w:bidi w:val="0"/>
              <w:spacing w:before="0" w:after="0"/>
              <w:jc w:val="left"/>
              <w:rPr>
                <w:rFonts w:ascii="Arial" w:hAnsi="Arial"/>
                <w:sz w:val="20"/>
              </w:rPr>
            </w:pPr>
            <w:r>
              <w:rPr>
                <w:rFonts w:ascii="Arial" w:hAnsi="Arial"/>
                <w:sz w:val="20"/>
              </w:rPr>
              <w:t>B. Riley Securities, Inc.</w:t>
            </w:r>
          </w:p>
        </w:tc>
        <w:tc>
          <w:tcPr>
            <w:tcW w:w="4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rFonts w:ascii="Arial" w:hAnsi="Arial"/>
              </w:rPr>
            </w:pPr>
            <w:r>
              <w:rPr>
                <w:rFonts w:ascii="Arial" w:hAnsi="Arial"/>
              </w:rPr>
              <w:t>112,800</w:t>
            </w:r>
          </w:p>
        </w:tc>
        <w:tc>
          <w:tcPr>
            <w:tcW w:w="62" w:type="dxa"/>
            <w:tcBorders/>
            <w:shd w:fill="CCEEFF" w:val="clear"/>
            <w:vAlign w:val="bottom"/>
          </w:tcPr>
          <w:p>
            <w:pPr>
              <w:pStyle w:val="TableContents"/>
              <w:bidi w:val="0"/>
              <w:spacing w:before="0" w:after="283"/>
              <w:jc w:val="left"/>
              <w:rPr/>
            </w:pPr>
            <w:r>
              <w:rPr/>
              <w:t> </w:t>
            </w:r>
          </w:p>
        </w:tc>
      </w:tr>
      <w:tr>
        <w:trPr/>
        <w:tc>
          <w:tcPr>
            <w:tcW w:w="7931" w:type="dxa"/>
            <w:tcBorders/>
          </w:tcPr>
          <w:p>
            <w:pPr>
              <w:pStyle w:val="TableContents"/>
              <w:bidi w:val="0"/>
              <w:spacing w:before="0" w:after="0"/>
              <w:jc w:val="left"/>
              <w:rPr>
                <w:rFonts w:ascii="Arial" w:hAnsi="Arial"/>
                <w:sz w:val="20"/>
              </w:rPr>
            </w:pPr>
            <w:r>
              <w:rPr>
                <w:rFonts w:ascii="Arial" w:hAnsi="Arial"/>
                <w:sz w:val="20"/>
              </w:rPr>
              <w:t>Stephens Inc.</w:t>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632" w:type="dxa"/>
            <w:tcBorders/>
            <w:vAlign w:val="bottom"/>
          </w:tcPr>
          <w:p>
            <w:pPr>
              <w:pStyle w:val="TableContents"/>
              <w:bidi w:val="0"/>
              <w:spacing w:before="0" w:after="283"/>
              <w:jc w:val="right"/>
              <w:rPr>
                <w:rFonts w:ascii="Arial" w:hAnsi="Arial"/>
              </w:rPr>
            </w:pPr>
            <w:r>
              <w:rPr>
                <w:rFonts w:ascii="Arial" w:hAnsi="Arial"/>
              </w:rPr>
              <w:t>112,800</w:t>
            </w:r>
          </w:p>
        </w:tc>
        <w:tc>
          <w:tcPr>
            <w:tcW w:w="62" w:type="dxa"/>
            <w:tcBorders/>
            <w:vAlign w:val="bottom"/>
          </w:tcPr>
          <w:p>
            <w:pPr>
              <w:pStyle w:val="TableContents"/>
              <w:bidi w:val="0"/>
              <w:spacing w:before="0" w:after="283"/>
              <w:jc w:val="left"/>
              <w:rPr/>
            </w:pPr>
            <w:r>
              <w:rPr/>
              <w:t> </w:t>
            </w:r>
          </w:p>
        </w:tc>
      </w:tr>
      <w:tr>
        <w:trPr/>
        <w:tc>
          <w:tcPr>
            <w:tcW w:w="7931" w:type="dxa"/>
            <w:tcBorders/>
            <w:shd w:fill="CCEEFF" w:val="clear"/>
          </w:tcPr>
          <w:p>
            <w:pPr>
              <w:pStyle w:val="TableContents"/>
              <w:bidi w:val="0"/>
              <w:spacing w:before="0" w:after="0"/>
              <w:jc w:val="left"/>
              <w:rPr>
                <w:rFonts w:ascii="Arial" w:hAnsi="Arial"/>
                <w:sz w:val="20"/>
              </w:rPr>
            </w:pPr>
            <w:r>
              <w:rPr>
                <w:rFonts w:ascii="Arial" w:hAnsi="Arial"/>
                <w:sz w:val="20"/>
              </w:rPr>
              <w:t>Amerivet Securities, Inc.</w:t>
            </w:r>
          </w:p>
        </w:tc>
        <w:tc>
          <w:tcPr>
            <w:tcW w:w="4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rFonts w:ascii="Arial" w:hAnsi="Arial"/>
              </w:rPr>
            </w:pPr>
            <w:r>
              <w:rPr>
                <w:rFonts w:ascii="Arial" w:hAnsi="Arial"/>
              </w:rPr>
              <w:t>29,600</w:t>
            </w:r>
          </w:p>
        </w:tc>
        <w:tc>
          <w:tcPr>
            <w:tcW w:w="62" w:type="dxa"/>
            <w:tcBorders/>
            <w:shd w:fill="CCEEFF" w:val="clear"/>
            <w:vAlign w:val="bottom"/>
          </w:tcPr>
          <w:p>
            <w:pPr>
              <w:pStyle w:val="TableContents"/>
              <w:bidi w:val="0"/>
              <w:spacing w:before="0" w:after="283"/>
              <w:jc w:val="left"/>
              <w:rPr/>
            </w:pPr>
            <w:r>
              <w:rPr/>
              <w:t> </w:t>
            </w:r>
          </w:p>
        </w:tc>
      </w:tr>
      <w:tr>
        <w:trPr/>
        <w:tc>
          <w:tcPr>
            <w:tcW w:w="7931" w:type="dxa"/>
            <w:tcBorders/>
          </w:tcPr>
          <w:p>
            <w:pPr>
              <w:pStyle w:val="TableContents"/>
              <w:bidi w:val="0"/>
              <w:spacing w:before="0" w:after="0"/>
              <w:jc w:val="left"/>
              <w:rPr>
                <w:rFonts w:ascii="Arial" w:hAnsi="Arial"/>
                <w:sz w:val="20"/>
              </w:rPr>
            </w:pPr>
            <w:r>
              <w:rPr>
                <w:rFonts w:ascii="Arial" w:hAnsi="Arial"/>
                <w:sz w:val="20"/>
              </w:rPr>
              <w:t>Samuel A. Ramirez &amp; Company, Inc.</w:t>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632" w:type="dxa"/>
            <w:tcBorders/>
            <w:vAlign w:val="bottom"/>
          </w:tcPr>
          <w:p>
            <w:pPr>
              <w:pStyle w:val="TableContents"/>
              <w:bidi w:val="0"/>
              <w:spacing w:before="0" w:after="283"/>
              <w:jc w:val="right"/>
              <w:rPr>
                <w:rFonts w:ascii="Arial" w:hAnsi="Arial"/>
              </w:rPr>
            </w:pPr>
            <w:r>
              <w:rPr>
                <w:rFonts w:ascii="Arial" w:hAnsi="Arial"/>
              </w:rPr>
              <w:t>29,600</w:t>
            </w:r>
          </w:p>
        </w:tc>
        <w:tc>
          <w:tcPr>
            <w:tcW w:w="62" w:type="dxa"/>
            <w:tcBorders/>
            <w:vAlign w:val="bottom"/>
          </w:tcPr>
          <w:p>
            <w:pPr>
              <w:pStyle w:val="TableContents"/>
              <w:bidi w:val="0"/>
              <w:spacing w:before="0" w:after="283"/>
              <w:jc w:val="left"/>
              <w:rPr/>
            </w:pPr>
            <w:r>
              <w:rPr/>
              <w:t> </w:t>
            </w:r>
          </w:p>
        </w:tc>
      </w:tr>
      <w:tr>
        <w:trPr/>
        <w:tc>
          <w:tcPr>
            <w:tcW w:w="7931" w:type="dxa"/>
            <w:tcBorders/>
            <w:shd w:fill="CCEEFF" w:val="clear"/>
          </w:tcPr>
          <w:p>
            <w:pPr>
              <w:pStyle w:val="TableContents"/>
              <w:bidi w:val="0"/>
              <w:spacing w:before="0" w:after="0"/>
              <w:jc w:val="left"/>
              <w:rPr>
                <w:rFonts w:ascii="Arial" w:hAnsi="Arial"/>
                <w:sz w:val="20"/>
              </w:rPr>
            </w:pPr>
            <w:r>
              <w:rPr>
                <w:rFonts w:ascii="Arial" w:hAnsi="Arial"/>
                <w:sz w:val="20"/>
              </w:rPr>
              <w:t>Siebert Williams Shank &amp; Co., LLC</w:t>
            </w:r>
          </w:p>
        </w:tc>
        <w:tc>
          <w:tcPr>
            <w:tcW w:w="4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rFonts w:ascii="Arial" w:hAnsi="Arial"/>
              </w:rPr>
            </w:pPr>
            <w:r>
              <w:rPr>
                <w:rFonts w:ascii="Arial" w:hAnsi="Arial"/>
              </w:rPr>
              <w:t>29,600</w:t>
            </w:r>
          </w:p>
        </w:tc>
        <w:tc>
          <w:tcPr>
            <w:tcW w:w="62" w:type="dxa"/>
            <w:tcBorders/>
            <w:shd w:fill="CCEEFF" w:val="clear"/>
            <w:vAlign w:val="bottom"/>
          </w:tcPr>
          <w:p>
            <w:pPr>
              <w:pStyle w:val="TableContents"/>
              <w:bidi w:val="0"/>
              <w:spacing w:before="0" w:after="283"/>
              <w:jc w:val="left"/>
              <w:rPr/>
            </w:pPr>
            <w:r>
              <w:rPr/>
              <w:t> </w:t>
            </w:r>
          </w:p>
        </w:tc>
      </w:tr>
      <w:tr>
        <w:trPr/>
        <w:tc>
          <w:tcPr>
            <w:tcW w:w="7931" w:type="dxa"/>
            <w:tcBorders/>
          </w:tcPr>
          <w:p>
            <w:pPr>
              <w:pStyle w:val="TableContents"/>
              <w:bidi w:val="0"/>
              <w:spacing w:before="0" w:after="0"/>
              <w:jc w:val="left"/>
              <w:rPr>
                <w:rFonts w:ascii="Arial" w:hAnsi="Arial"/>
                <w:sz w:val="20"/>
              </w:rPr>
            </w:pPr>
            <w:r>
              <w:rPr>
                <w:rFonts w:ascii="Arial" w:hAnsi="Arial"/>
                <w:sz w:val="20"/>
              </w:rPr>
              <w:t>Telsey Advisory Group LLC</w:t>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632" w:type="dxa"/>
            <w:tcBorders/>
            <w:vAlign w:val="bottom"/>
          </w:tcPr>
          <w:p>
            <w:pPr>
              <w:pStyle w:val="TableContents"/>
              <w:bidi w:val="0"/>
              <w:spacing w:before="0" w:after="283"/>
              <w:jc w:val="right"/>
              <w:rPr>
                <w:rFonts w:ascii="Arial" w:hAnsi="Arial"/>
              </w:rPr>
            </w:pPr>
            <w:r>
              <w:rPr>
                <w:rFonts w:ascii="Arial" w:hAnsi="Arial"/>
              </w:rPr>
              <w:t>29,600</w:t>
            </w:r>
          </w:p>
        </w:tc>
        <w:tc>
          <w:tcPr>
            <w:tcW w:w="62" w:type="dxa"/>
            <w:tcBorders/>
            <w:vAlign w:val="bottom"/>
          </w:tcPr>
          <w:p>
            <w:pPr>
              <w:pStyle w:val="TableContents"/>
              <w:bidi w:val="0"/>
              <w:spacing w:before="0" w:after="283"/>
              <w:jc w:val="left"/>
              <w:rPr/>
            </w:pPr>
            <w:r>
              <w:rPr/>
              <w:t> </w:t>
            </w:r>
          </w:p>
        </w:tc>
      </w:tr>
      <w:tr>
        <w:trPr/>
        <w:tc>
          <w:tcPr>
            <w:tcW w:w="7931" w:type="dxa"/>
            <w:tcBorders/>
            <w:shd w:fill="CCEEFF" w:val="clear"/>
          </w:tcPr>
          <w:p>
            <w:pPr>
              <w:pStyle w:val="TableContents"/>
              <w:bidi w:val="0"/>
              <w:spacing w:before="0" w:after="0"/>
              <w:jc w:val="left"/>
              <w:rPr>
                <w:rFonts w:ascii="Arial" w:hAnsi="Arial"/>
                <w:sz w:val="20"/>
              </w:rPr>
            </w:pPr>
            <w:r>
              <w:rPr>
                <w:rFonts w:ascii="Arial" w:hAnsi="Arial"/>
                <w:sz w:val="20"/>
              </w:rPr>
              <w:t>WR Securities, LLC</w:t>
            </w:r>
          </w:p>
        </w:tc>
        <w:tc>
          <w:tcPr>
            <w:tcW w:w="4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32" w:type="dxa"/>
            <w:tcBorders/>
            <w:shd w:fill="CCEEFF" w:val="clear"/>
            <w:vAlign w:val="bottom"/>
          </w:tcPr>
          <w:p>
            <w:pPr>
              <w:pStyle w:val="TableContents"/>
              <w:bidi w:val="0"/>
              <w:spacing w:before="0" w:after="283"/>
              <w:jc w:val="right"/>
              <w:rPr>
                <w:rFonts w:ascii="Arial" w:hAnsi="Arial"/>
              </w:rPr>
            </w:pPr>
            <w:r>
              <w:rPr>
                <w:rFonts w:ascii="Arial" w:hAnsi="Arial"/>
              </w:rPr>
              <w:t>12,720</w:t>
            </w:r>
          </w:p>
        </w:tc>
        <w:tc>
          <w:tcPr>
            <w:tcW w:w="62" w:type="dxa"/>
            <w:tcBorders/>
            <w:shd w:fill="CCEEFF" w:val="clear"/>
            <w:vAlign w:val="bottom"/>
          </w:tcPr>
          <w:p>
            <w:pPr>
              <w:pStyle w:val="TableContents"/>
              <w:bidi w:val="0"/>
              <w:spacing w:before="0" w:after="283"/>
              <w:jc w:val="left"/>
              <w:rPr/>
            </w:pPr>
            <w:r>
              <w:rPr/>
              <w:t> </w:t>
            </w:r>
          </w:p>
        </w:tc>
      </w:tr>
      <w:tr>
        <w:trPr/>
        <w:tc>
          <w:tcPr>
            <w:tcW w:w="7931"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63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931" w:type="dxa"/>
            <w:tcBorders/>
          </w:tcPr>
          <w:p>
            <w:pPr>
              <w:pStyle w:val="TableContents"/>
              <w:bidi w:val="0"/>
              <w:spacing w:before="0" w:after="0"/>
              <w:jc w:val="left"/>
              <w:rPr>
                <w:rFonts w:ascii="Arial" w:hAnsi="Arial"/>
                <w:sz w:val="20"/>
              </w:rPr>
            </w:pPr>
            <w:r>
              <w:rPr>
                <w:rFonts w:ascii="Arial" w:hAnsi="Arial"/>
                <w:sz w:val="20"/>
              </w:rPr>
              <w:t>Total</w:t>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632" w:type="dxa"/>
            <w:tcBorders/>
            <w:vAlign w:val="bottom"/>
          </w:tcPr>
          <w:p>
            <w:pPr>
              <w:pStyle w:val="TableContents"/>
              <w:bidi w:val="0"/>
              <w:spacing w:before="0" w:after="283"/>
              <w:jc w:val="right"/>
              <w:rPr>
                <w:rFonts w:ascii="Arial" w:hAnsi="Arial"/>
              </w:rPr>
            </w:pPr>
            <w:r>
              <w:rPr>
                <w:rFonts w:ascii="Arial" w:hAnsi="Arial"/>
              </w:rPr>
              <w:t>8,000,000</w:t>
            </w:r>
          </w:p>
        </w:tc>
        <w:tc>
          <w:tcPr>
            <w:tcW w:w="62" w:type="dxa"/>
            <w:tcBorders/>
            <w:vAlign w:val="bottom"/>
          </w:tcPr>
          <w:p>
            <w:pPr>
              <w:pStyle w:val="TableContents"/>
              <w:bidi w:val="0"/>
              <w:spacing w:before="0" w:after="283"/>
              <w:jc w:val="left"/>
              <w:rPr/>
            </w:pPr>
            <w:r>
              <w:rPr/>
              <w:t> </w:t>
            </w:r>
          </w:p>
        </w:tc>
      </w:tr>
      <w:tr>
        <w:trPr/>
        <w:tc>
          <w:tcPr>
            <w:tcW w:w="7931"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63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 </w:t>
      </w:r>
    </w:p>
    <w:p>
      <w:pPr>
        <w:pStyle w:val="TextBody"/>
        <w:bidi w:val="0"/>
        <w:spacing w:before="240" w:after="0"/>
        <w:jc w:val="left"/>
        <w:rPr>
          <w:rFonts w:ascii="Arial" w:hAnsi="Arial"/>
          <w:sz w:val="20"/>
        </w:rPr>
      </w:pPr>
      <w:r>
        <w:rPr>
          <w:rFonts w:ascii="Arial" w:hAnsi="Arial"/>
          <w:sz w:val="20"/>
        </w:rPr>
        <w:t xml:space="preserve">The underwriters will be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Arial" w:hAnsi="Arial"/>
          <w:sz w:val="20"/>
        </w:rPr>
      </w:pPr>
      <w:r>
        <w:rPr>
          <w:rFonts w:ascii="Arial" w:hAnsi="Arial"/>
          <w:sz w:val="20"/>
        </w:rPr>
        <w:t xml:space="preserve">The underwriters have an option to buy up to an additional 1,200,000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Arial" w:hAnsi="Arial"/>
          <w:sz w:val="20"/>
        </w:rPr>
      </w:pPr>
      <w:r>
        <w:rPr>
          <w:rFonts w:ascii="Arial" w:hAnsi="Arial"/>
          <w:sz w:val="20"/>
        </w:rPr>
        <w:t xml:space="preserve">The following table shows the per share and total underwriting discounts and commissions to be paid to the underwriters by the company. Such amounts are shown assuming both no exercise and full exercise of the underwriters option to purchase 1,200,000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52"/>
        <w:gridCol w:w="227"/>
        <w:gridCol w:w="156"/>
        <w:gridCol w:w="1331"/>
        <w:gridCol w:w="60"/>
        <w:gridCol w:w="227"/>
        <w:gridCol w:w="156"/>
        <w:gridCol w:w="1331"/>
        <w:gridCol w:w="65"/>
      </w:tblGrid>
      <w:tr>
        <w:trPr/>
        <w:tc>
          <w:tcPr>
            <w:tcW w:w="6652"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65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No</w:t>
              <w:br/>
              <w:t>Exercise</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Full</w:t>
              <w:br/>
              <w:t>Exercise</w:t>
            </w:r>
          </w:p>
        </w:tc>
        <w:tc>
          <w:tcPr>
            <w:tcW w:w="65" w:type="dxa"/>
            <w:tcBorders/>
            <w:vAlign w:val="bottom"/>
          </w:tcPr>
          <w:p>
            <w:pPr>
              <w:pStyle w:val="TableContents"/>
              <w:bidi w:val="0"/>
              <w:spacing w:before="0" w:after="283"/>
              <w:jc w:val="left"/>
              <w:rPr/>
            </w:pPr>
            <w:r>
              <w:rPr/>
              <w:t> </w:t>
            </w:r>
          </w:p>
        </w:tc>
      </w:tr>
      <w:tr>
        <w:trPr/>
        <w:tc>
          <w:tcPr>
            <w:tcW w:w="6652" w:type="dxa"/>
            <w:tcBorders/>
            <w:shd w:fill="CCEEFF" w:val="clear"/>
          </w:tcPr>
          <w:p>
            <w:pPr>
              <w:pStyle w:val="TableContents"/>
              <w:bidi w:val="0"/>
              <w:spacing w:before="0" w:after="0"/>
              <w:jc w:val="left"/>
              <w:rPr>
                <w:rFonts w:ascii="Arial" w:hAnsi="Arial"/>
                <w:sz w:val="20"/>
              </w:rPr>
            </w:pPr>
            <w:r>
              <w:rPr>
                <w:rFonts w:ascii="Arial" w:hAnsi="Arial"/>
                <w:sz w:val="20"/>
              </w:rPr>
              <w:t>Per Share</w:t>
            </w:r>
          </w:p>
        </w:tc>
        <w:tc>
          <w:tcPr>
            <w:tcW w:w="22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rFonts w:ascii="Arial" w:hAnsi="Arial"/>
              </w:rPr>
            </w:pPr>
            <w:r>
              <w:rPr>
                <w:rFonts w:ascii="Arial" w:hAnsi="Arial"/>
              </w:rPr>
              <w:t>$</w:t>
            </w:r>
          </w:p>
        </w:tc>
        <w:tc>
          <w:tcPr>
            <w:tcW w:w="1331" w:type="dxa"/>
            <w:tcBorders/>
            <w:shd w:fill="CCEEFF" w:val="clear"/>
            <w:vAlign w:val="bottom"/>
          </w:tcPr>
          <w:p>
            <w:pPr>
              <w:pStyle w:val="TableContents"/>
              <w:bidi w:val="0"/>
              <w:spacing w:before="0" w:after="283"/>
              <w:jc w:val="right"/>
              <w:rPr>
                <w:rFonts w:ascii="Arial" w:hAnsi="Arial"/>
              </w:rPr>
            </w:pPr>
            <w:r>
              <w:rPr>
                <w:rFonts w:ascii="Arial" w:hAnsi="Arial"/>
              </w:rPr>
              <w:t>1.28</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rFonts w:ascii="Arial" w:hAnsi="Arial"/>
              </w:rPr>
            </w:pPr>
            <w:r>
              <w:rPr>
                <w:rFonts w:ascii="Arial" w:hAnsi="Arial"/>
              </w:rPr>
              <w:t>$</w:t>
            </w:r>
          </w:p>
        </w:tc>
        <w:tc>
          <w:tcPr>
            <w:tcW w:w="1331" w:type="dxa"/>
            <w:tcBorders/>
            <w:shd w:fill="CCEEFF" w:val="clear"/>
            <w:vAlign w:val="bottom"/>
          </w:tcPr>
          <w:p>
            <w:pPr>
              <w:pStyle w:val="TableContents"/>
              <w:bidi w:val="0"/>
              <w:spacing w:before="0" w:after="283"/>
              <w:jc w:val="right"/>
              <w:rPr>
                <w:rFonts w:ascii="Arial" w:hAnsi="Arial"/>
              </w:rPr>
            </w:pPr>
            <w:r>
              <w:rPr>
                <w:rFonts w:ascii="Arial" w:hAnsi="Arial"/>
              </w:rPr>
              <w:t>1.28</w:t>
            </w:r>
          </w:p>
        </w:tc>
        <w:tc>
          <w:tcPr>
            <w:tcW w:w="65" w:type="dxa"/>
            <w:tcBorders/>
            <w:shd w:fill="CCEEFF" w:val="clear"/>
            <w:vAlign w:val="bottom"/>
          </w:tcPr>
          <w:p>
            <w:pPr>
              <w:pStyle w:val="TableContents"/>
              <w:bidi w:val="0"/>
              <w:spacing w:before="0" w:after="283"/>
              <w:jc w:val="left"/>
              <w:rPr/>
            </w:pPr>
            <w:r>
              <w:rPr/>
              <w:t> </w:t>
            </w:r>
          </w:p>
        </w:tc>
      </w:tr>
      <w:tr>
        <w:trPr/>
        <w:tc>
          <w:tcPr>
            <w:tcW w:w="6652" w:type="dxa"/>
            <w:tcBorders/>
          </w:tcPr>
          <w:p>
            <w:pPr>
              <w:pStyle w:val="TableContents"/>
              <w:bidi w:val="0"/>
              <w:spacing w:before="0" w:after="0"/>
              <w:jc w:val="left"/>
              <w:rPr>
                <w:rFonts w:ascii="Arial" w:hAnsi="Arial"/>
                <w:sz w:val="20"/>
              </w:rPr>
            </w:pPr>
            <w:r>
              <w:rPr>
                <w:rFonts w:ascii="Arial" w:hAnsi="Arial"/>
                <w:sz w:val="20"/>
              </w:rPr>
              <w:t>Total</w:t>
            </w:r>
          </w:p>
        </w:tc>
        <w:tc>
          <w:tcPr>
            <w:tcW w:w="22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rFonts w:ascii="Arial" w:hAnsi="Arial"/>
              </w:rPr>
            </w:pPr>
            <w:r>
              <w:rPr>
                <w:rFonts w:ascii="Arial" w:hAnsi="Arial"/>
              </w:rPr>
              <w:t>$</w:t>
            </w:r>
          </w:p>
        </w:tc>
        <w:tc>
          <w:tcPr>
            <w:tcW w:w="1331" w:type="dxa"/>
            <w:tcBorders/>
            <w:vAlign w:val="bottom"/>
          </w:tcPr>
          <w:p>
            <w:pPr>
              <w:pStyle w:val="TableContents"/>
              <w:bidi w:val="0"/>
              <w:spacing w:before="0" w:after="283"/>
              <w:jc w:val="right"/>
              <w:rPr>
                <w:rFonts w:ascii="Arial" w:hAnsi="Arial"/>
              </w:rPr>
            </w:pPr>
            <w:r>
              <w:rPr>
                <w:rFonts w:ascii="Arial" w:hAnsi="Arial"/>
              </w:rPr>
              <w:t>10,240,000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rFonts w:ascii="Arial" w:hAnsi="Arial"/>
              </w:rPr>
            </w:pPr>
            <w:r>
              <w:rPr>
                <w:rFonts w:ascii="Arial" w:hAnsi="Arial"/>
              </w:rPr>
              <w:t>$</w:t>
            </w:r>
          </w:p>
        </w:tc>
        <w:tc>
          <w:tcPr>
            <w:tcW w:w="1331" w:type="dxa"/>
            <w:tcBorders/>
            <w:vAlign w:val="bottom"/>
          </w:tcPr>
          <w:p>
            <w:pPr>
              <w:pStyle w:val="TableContents"/>
              <w:bidi w:val="0"/>
              <w:spacing w:before="0" w:after="283"/>
              <w:jc w:val="right"/>
              <w:rPr>
                <w:rFonts w:ascii="Arial" w:hAnsi="Arial"/>
              </w:rPr>
            </w:pPr>
            <w:r>
              <w:rPr>
                <w:rFonts w:ascii="Arial" w:hAnsi="Arial"/>
              </w:rPr>
              <w:t>11,776,000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Shares sold by the underwriters to the public will initially be offered at the public offering price set forth on the cover of this prospectus supplement. Any shares sold by the underwriters to securities dealers may be sold at a discount of up to $0.768 per share from the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left"/>
        <w:rPr>
          <w:rFonts w:ascii="Arial" w:hAnsi="Arial"/>
          <w:sz w:val="20"/>
        </w:rPr>
      </w:pPr>
      <w:r>
        <w:rPr>
          <w:rFonts w:ascii="Arial" w:hAnsi="Arial"/>
          <w:sz w:val="20"/>
        </w:rPr>
        <w:t xml:space="preserve">The company and its officers and directors have agreed with the underwriters, subject to certain exceptions, not to dispose of or hedge any of their common stock or securities convertible into or exchangeable for shares of common stock (including our non-voting common stock) during the period from the date of this prospectus continuing through the date 90 days after the date of this prospectus, except with the prior written consent of Goldman Sachs &amp; Co. LLC, subject to certain exceptions. These restrictions do not apply to any existing employee benefit plans. </w:t>
      </w:r>
    </w:p>
    <w:p>
      <w:pPr>
        <w:pStyle w:val="TextBody"/>
        <w:bidi w:val="0"/>
        <w:spacing w:before="240" w:after="0"/>
        <w:jc w:val="left"/>
        <w:rPr>
          <w:rFonts w:ascii="Arial" w:hAnsi="Arial"/>
          <w:sz w:val="20"/>
        </w:rPr>
      </w:pPr>
      <w:r>
        <w:rPr>
          <w:rFonts w:ascii="Arial" w:hAnsi="Arial"/>
          <w:sz w:val="20"/>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Arial" w:hAnsi="Arial"/>
          <w:sz w:val="20"/>
        </w:rPr>
      </w:pPr>
      <w:r>
        <w:rPr>
          <w:rFonts w:ascii="Arial" w:hAnsi="Arial"/>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Arial" w:hAnsi="Arial"/>
          <w:sz w:val="20"/>
        </w:rPr>
      </w:pPr>
      <w:r>
        <w:rPr>
          <w:rFonts w:ascii="Arial" w:hAnsi="Arial"/>
          <w:sz w:val="20"/>
        </w:rPr>
        <w:t xml:space="preserve">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 </w:t>
      </w:r>
    </w:p>
    <w:p>
      <w:pPr>
        <w:pStyle w:val="TextBody"/>
        <w:bidi w:val="0"/>
        <w:spacing w:before="240" w:after="0"/>
        <w:jc w:val="left"/>
        <w:rPr>
          <w:rFonts w:ascii="Arial" w:hAnsi="Arial"/>
          <w:sz w:val="20"/>
        </w:rPr>
      </w:pPr>
      <w:r>
        <w:rPr>
          <w:rFonts w:ascii="Arial" w:hAnsi="Arial"/>
          <w:sz w:val="20"/>
        </w:rPr>
        <w:t xml:space="preserve">We estimate that our share of the total expenses of the offering, excluding underwriting discounts and commissions, will be approximately $1.1 million. We have agreed to reimburse the underwriters for certain of their expenses in an amount up to $20,000. </w:t>
      </w:r>
    </w:p>
    <w:p>
      <w:pPr>
        <w:pStyle w:val="TextBody"/>
        <w:bidi w:val="0"/>
        <w:spacing w:before="240" w:after="0"/>
        <w:jc w:val="left"/>
        <w:rPr>
          <w:rFonts w:ascii="Arial" w:hAnsi="Arial"/>
          <w:sz w:val="20"/>
        </w:rPr>
      </w:pPr>
      <w:r>
        <w:rPr>
          <w:rFonts w:ascii="Arial" w:hAnsi="Arial"/>
          <w:sz w:val="20"/>
        </w:rPr>
        <w:t xml:space="preserve">We have agreed to indemnify the several underwriters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w:t>
      </w:r>
    </w:p>
    <w:p>
      <w:pPr>
        <w:pStyle w:val="TextBody"/>
        <w:bidi w:val="0"/>
        <w:spacing w:before="240" w:after="0"/>
        <w:jc w:val="left"/>
        <w:rPr>
          <w:rFonts w:ascii="Arial" w:hAnsi="Arial"/>
          <w:sz w:val="20"/>
        </w:rPr>
      </w:pPr>
      <w:r>
        <w:rPr>
          <w:rFonts w:ascii="Arial" w:hAnsi="Arial"/>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Certain of the underwriters may offer and sell the shares through one or more of their respective affiliates or other registered broker-dealers or selling agents. </w:t>
      </w:r>
    </w:p>
    <w:p>
      <w:pPr>
        <w:pStyle w:val="TextBody"/>
        <w:bidi w:val="0"/>
        <w:spacing w:before="240" w:after="0"/>
        <w:jc w:val="left"/>
        <w:rPr>
          <w:rFonts w:ascii="Arial" w:hAnsi="Arial"/>
          <w:sz w:val="20"/>
        </w:rPr>
      </w:pPr>
      <w:r>
        <w:rPr>
          <w:rFonts w:ascii="Arial" w:hAnsi="Arial"/>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Arial" w:hAnsi="Arial"/>
          <w:sz w:val="20"/>
        </w:rPr>
      </w:pPr>
      <w:r>
        <w:rPr>
          <w:rFonts w:ascii="Arial" w:hAnsi="Arial"/>
          <w:sz w:val="20"/>
        </w:rPr>
        <w:t xml:space="preserve">Sales of shares made outside of the United States, or the US, may be made by affiliates of the underwriters. 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240" w:after="0"/>
        <w:jc w:val="center"/>
        <w:rPr>
          <w:rFonts w:ascii="Arial" w:hAnsi="Arial"/>
          <w:b/>
          <w:sz w:val="20"/>
        </w:rPr>
      </w:pPr>
      <w:r>
        <w:rPr>
          <w:rFonts w:ascii="Arial" w:hAnsi="Arial"/>
          <w:b/>
          <w:sz w:val="20"/>
        </w:rPr>
        <w:t xml:space="preserve">European Economic Area </w:t>
      </w:r>
    </w:p>
    <w:p>
      <w:pPr>
        <w:pStyle w:val="TextBody"/>
        <w:bidi w:val="0"/>
        <w:spacing w:before="240" w:after="0"/>
        <w:jc w:val="left"/>
        <w:rPr>
          <w:rFonts w:ascii="Arial" w:hAnsi="Arial"/>
          <w:sz w:val="20"/>
        </w:rPr>
      </w:pPr>
      <w:r>
        <w:rPr>
          <w:rFonts w:ascii="Arial" w:hAnsi="Arial"/>
          <w:sz w:val="20"/>
        </w:rPr>
        <w:t xml:space="preserve">In relation to each Member State of the European Economic Area (each a Member State), no common shares (the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to any legal entity which is a qualified investor as defined under the Prospectus Regulation;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to fewer than 150 natural or legal persons (other than qualified investors as defined under the Prospectus Regulation), subject to obtaining the prior consent of the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in any other circumstances falling within Article 1(4) of the Prospectus Regulation, </w:t>
            </w:r>
          </w:p>
        </w:tc>
      </w:tr>
    </w:tbl>
    <w:p>
      <w:pPr>
        <w:pStyle w:val="TextBody"/>
        <w:bidi w:val="0"/>
        <w:spacing w:before="240" w:after="0"/>
        <w:jc w:val="left"/>
        <w:rPr>
          <w:rFonts w:ascii="Arial" w:hAnsi="Arial"/>
          <w:sz w:val="20"/>
        </w:rPr>
      </w:pPr>
      <w:r>
        <w:rPr>
          <w:rFonts w:ascii="Arial" w:hAnsi="Arial"/>
          <w:sz w:val="20"/>
        </w:rPr>
        <w:t xml:space="preserve">provided that no such offer of Shares shall require the company or any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Arial" w:hAnsi="Arial"/>
          <w:sz w:val="20"/>
        </w:rPr>
      </w:pPr>
      <w:r>
        <w:rPr>
          <w:rFonts w:ascii="Arial" w:hAnsi="Arial"/>
          <w:sz w:val="20"/>
        </w:rPr>
        <w:t xml:space="preserve">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240" w:after="0"/>
        <w:jc w:val="center"/>
        <w:rPr>
          <w:rFonts w:ascii="Arial" w:hAnsi="Arial"/>
          <w:b/>
          <w:sz w:val="20"/>
        </w:rPr>
      </w:pPr>
      <w:r>
        <w:rPr>
          <w:rFonts w:ascii="Arial" w:hAnsi="Arial"/>
          <w:b/>
          <w:sz w:val="20"/>
        </w:rPr>
        <w:t xml:space="preserve">United Kingdom </w:t>
      </w:r>
    </w:p>
    <w:p>
      <w:pPr>
        <w:pStyle w:val="TextBody"/>
        <w:bidi w:val="0"/>
        <w:spacing w:before="240" w:after="0"/>
        <w:jc w:val="left"/>
        <w:rPr>
          <w:rFonts w:ascii="Arial" w:hAnsi="Arial"/>
          <w:sz w:val="20"/>
        </w:rPr>
      </w:pPr>
      <w:r>
        <w:rPr>
          <w:rFonts w:ascii="Arial" w:hAnsi="Arial"/>
          <w:sz w:val="20"/>
        </w:rPr>
        <w:t xml:space="preserve">Each Underwriter has represented and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it has complied and will comply with all applicable provisions of the FSMA with respect to anything done by it in relation to the shares in, from or otherwise involving the United Kingdom. </w:t>
            </w:r>
          </w:p>
        </w:tc>
      </w:tr>
    </w:tbl>
    <w:p>
      <w:pPr>
        <w:pStyle w:val="TextBody"/>
        <w:bidi w:val="0"/>
        <w:spacing w:before="240" w:after="0"/>
        <w:jc w:val="center"/>
        <w:rPr>
          <w:rFonts w:ascii="Arial" w:hAnsi="Arial"/>
          <w:b/>
          <w:sz w:val="20"/>
        </w:rPr>
      </w:pPr>
      <w:r>
        <w:rPr>
          <w:rFonts w:ascii="Arial" w:hAnsi="Arial"/>
          <w:b/>
          <w:sz w:val="20"/>
        </w:rPr>
        <w:t xml:space="preserve">Canada </w:t>
      </w:r>
    </w:p>
    <w:p>
      <w:pPr>
        <w:pStyle w:val="TextBody"/>
        <w:bidi w:val="0"/>
        <w:spacing w:before="240" w:after="0"/>
        <w:jc w:val="left"/>
        <w:rPr>
          <w:rFonts w:ascii="Arial" w:hAnsi="Arial"/>
          <w:sz w:val="20"/>
        </w:rPr>
      </w:pPr>
      <w:r>
        <w:rPr>
          <w:rFonts w:ascii="Arial" w:hAnsi="Arial"/>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w:t>
      </w:r>
    </w:p>
    <w:p>
      <w:pPr>
        <w:pStyle w:val="TextBody"/>
        <w:bidi w:val="0"/>
        <w:spacing w:before="24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0"/>
        <w:jc w:val="left"/>
        <w:rPr>
          <w:rFonts w:ascii="Arial" w:hAnsi="Arial"/>
          <w:sz w:val="20"/>
        </w:rPr>
      </w:pPr>
      <w:r>
        <w:rPr>
          <w:rFonts w:ascii="Arial" w:hAnsi="Arial"/>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240" w:after="0"/>
        <w:jc w:val="center"/>
        <w:rPr>
          <w:rFonts w:ascii="Arial" w:hAnsi="Arial"/>
          <w:b/>
          <w:sz w:val="20"/>
        </w:rPr>
      </w:pPr>
      <w:r>
        <w:rPr>
          <w:rFonts w:ascii="Arial" w:hAnsi="Arial"/>
          <w:b/>
          <w:sz w:val="20"/>
        </w:rPr>
        <w:t xml:space="preserve">Hong Kong </w:t>
      </w:r>
    </w:p>
    <w:p>
      <w:pPr>
        <w:pStyle w:val="TextBody"/>
        <w:bidi w:val="0"/>
        <w:spacing w:before="240" w:after="0"/>
        <w:jc w:val="left"/>
        <w:rPr>
          <w:rFonts w:ascii="Arial" w:hAnsi="Arial"/>
          <w:sz w:val="20"/>
        </w:rPr>
      </w:pPr>
      <w:r>
        <w:rPr>
          <w:rFonts w:ascii="Arial" w:hAnsi="Arial"/>
          <w:sz w:val="20"/>
        </w:rPr>
        <w:t xml:space="preserve">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 </w:t>
      </w:r>
    </w:p>
    <w:p>
      <w:pPr>
        <w:pStyle w:val="TextBody"/>
        <w:bidi w:val="0"/>
        <w:spacing w:before="240" w:after="0"/>
        <w:jc w:val="center"/>
        <w:rPr>
          <w:rFonts w:ascii="Arial" w:hAnsi="Arial"/>
          <w:b/>
          <w:sz w:val="20"/>
        </w:rPr>
      </w:pPr>
      <w:r>
        <w:rPr>
          <w:rFonts w:ascii="Arial" w:hAnsi="Arial"/>
          <w:b/>
          <w:sz w:val="20"/>
        </w:rPr>
        <w:t xml:space="preserve">Singapore </w:t>
      </w:r>
    </w:p>
    <w:p>
      <w:pPr>
        <w:pStyle w:val="TextBody"/>
        <w:bidi w:val="0"/>
        <w:spacing w:before="240" w:after="0"/>
        <w:jc w:val="left"/>
        <w:rPr>
          <w:rFonts w:ascii="Arial" w:hAnsi="Arial"/>
          <w:sz w:val="20"/>
        </w:rPr>
      </w:pPr>
      <w:r>
        <w:rPr>
          <w:rFonts w:ascii="Arial" w:hAnsi="Arial"/>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Arial" w:hAnsi="Arial"/>
          <w:sz w:val="20"/>
        </w:rPr>
      </w:pPr>
      <w:r>
        <w:rPr>
          <w:rFonts w:ascii="Arial" w:hAnsi="Arial"/>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 </w:t>
      </w:r>
    </w:p>
    <w:p>
      <w:pPr>
        <w:pStyle w:val="TextBody"/>
        <w:bidi w:val="0"/>
        <w:spacing w:before="240" w:after="0"/>
        <w:jc w:val="left"/>
        <w:rPr>
          <w:rFonts w:ascii="Arial" w:hAnsi="Arial"/>
          <w:sz w:val="20"/>
        </w:rPr>
      </w:pPr>
      <w:r>
        <w:rPr>
          <w:rFonts w:ascii="Arial" w:hAnsi="Arial"/>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Japan </w:t>
      </w:r>
    </w:p>
    <w:p>
      <w:pPr>
        <w:pStyle w:val="TextBody"/>
        <w:bidi w:val="0"/>
        <w:spacing w:before="240" w:after="0"/>
        <w:jc w:val="left"/>
        <w:rPr>
          <w:rFonts w:ascii="Arial" w:hAnsi="Arial"/>
          <w:sz w:val="20"/>
        </w:rPr>
      </w:pPr>
      <w:r>
        <w:rPr>
          <w:rFonts w:ascii="Arial" w:hAnsi="Arial"/>
          <w:sz w:val="20"/>
        </w:rPr>
        <w:t xml:space="preserve">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2" w:name="suppbc510562_10"/>
      <w:bookmarkEnd w:id="12"/>
      <w:r>
        <w:rPr>
          <w:rFonts w:ascii="Arial" w:hAnsi="Arial"/>
          <w:b/>
          <w:sz w:val="20"/>
        </w:rPr>
        <w:t xml:space="preserve">LEGAL MATTERS </w:t>
      </w:r>
    </w:p>
    <w:p>
      <w:pPr>
        <w:pStyle w:val="TextBody"/>
        <w:bidi w:val="0"/>
        <w:spacing w:before="240" w:after="0"/>
        <w:jc w:val="left"/>
        <w:rPr>
          <w:rFonts w:ascii="Arial" w:hAnsi="Arial"/>
          <w:sz w:val="20"/>
        </w:rPr>
      </w:pPr>
      <w:r>
        <w:rPr>
          <w:rFonts w:ascii="Arial" w:hAnsi="Arial"/>
          <w:sz w:val="20"/>
        </w:rPr>
        <w:t xml:space="preserve">The validity of the shares of our common stock offered in this prospectus supplement will be passed upon for us by Gunderson Dettmer Stough Villeneuve Franklin &amp; Hachigian, LLP, Boston, Massachusetts. Goodwin Procter LLP, Boston, Massachusetts, has acted as counsel for the underwriters in connection with this offering. </w:t>
      </w:r>
    </w:p>
    <w:p>
      <w:pPr>
        <w:pStyle w:val="TextBody"/>
        <w:bidi w:val="0"/>
        <w:spacing w:before="240" w:after="0"/>
        <w:jc w:val="center"/>
        <w:rPr>
          <w:rFonts w:ascii="Arial" w:hAnsi="Arial"/>
          <w:b/>
          <w:sz w:val="20"/>
        </w:rPr>
      </w:pPr>
      <w:bookmarkStart w:id="13" w:name="suppbc510562_11"/>
      <w:bookmarkEnd w:id="13"/>
      <w:r>
        <w:rPr>
          <w:rFonts w:ascii="Arial" w:hAnsi="Arial"/>
          <w:b/>
          <w:sz w:val="20"/>
        </w:rPr>
        <w:t xml:space="preserve">EXPERTS </w:t>
      </w:r>
    </w:p>
    <w:p>
      <w:pPr>
        <w:pStyle w:val="TextBody"/>
        <w:bidi w:val="0"/>
        <w:spacing w:before="240" w:after="0"/>
        <w:jc w:val="left"/>
        <w:rPr>
          <w:rFonts w:ascii="Arial" w:hAnsi="Arial"/>
          <w:sz w:val="20"/>
        </w:rPr>
      </w:pPr>
      <w:r>
        <w:rPr>
          <w:rFonts w:ascii="Arial" w:hAnsi="Arial"/>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center"/>
        <w:rPr>
          <w:rFonts w:ascii="Arial" w:hAnsi="Arial"/>
          <w:b/>
          <w:sz w:val="20"/>
        </w:rPr>
      </w:pPr>
      <w:bookmarkStart w:id="14" w:name="suppbc510562_12"/>
      <w:bookmarkEnd w:id="14"/>
      <w:r>
        <w:rPr>
          <w:rFonts w:ascii="Arial" w:hAnsi="Arial"/>
          <w:b/>
          <w:sz w:val="20"/>
        </w:rPr>
        <w:t xml:space="preserve">WHERE YOU CAN FIND ADDITIONAL INFORMATION </w:t>
      </w:r>
    </w:p>
    <w:p>
      <w:pPr>
        <w:pStyle w:val="TextBody"/>
        <w:bidi w:val="0"/>
        <w:spacing w:before="240" w:after="0"/>
        <w:jc w:val="left"/>
        <w:rPr>
          <w:rFonts w:ascii="Arial" w:hAnsi="Arial"/>
          <w:sz w:val="20"/>
        </w:rPr>
      </w:pPr>
      <w:r>
        <w:rPr>
          <w:rFonts w:ascii="Arial" w:hAnsi="Arial"/>
          <w:sz w:val="20"/>
        </w:rPr>
        <w:t xml:space="preserve">We have filed a registration statement on Form S-3 with the SEC under the Securities Act. This prospectus supplement and the accompanying base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base prospectus, and any references to this website or any other website are inactive textual references only. </w:t>
      </w:r>
    </w:p>
    <w:p>
      <w:pPr>
        <w:pStyle w:val="TextBody"/>
        <w:bidi w:val="0"/>
        <w:spacing w:before="240" w:after="0"/>
        <w:jc w:val="center"/>
        <w:rPr>
          <w:rFonts w:ascii="Arial" w:hAnsi="Arial"/>
          <w:b/>
          <w:sz w:val="20"/>
        </w:rPr>
      </w:pPr>
      <w:bookmarkStart w:id="15" w:name="suppbc510562_13"/>
      <w:bookmarkEnd w:id="15"/>
      <w:r>
        <w:rPr>
          <w:rFonts w:ascii="Arial" w:hAnsi="Arial"/>
          <w:b/>
          <w:sz w:val="20"/>
        </w:rPr>
        <w:t xml:space="preserve">INFORMATION INCORPORATED BY REFERENCE </w:t>
      </w:r>
    </w:p>
    <w:p>
      <w:pPr>
        <w:pStyle w:val="TextBody"/>
        <w:bidi w:val="0"/>
        <w:spacing w:before="240" w:after="0"/>
        <w:jc w:val="left"/>
        <w:rPr>
          <w:rFonts w:ascii="Arial" w:hAnsi="Arial"/>
          <w:sz w:val="20"/>
        </w:rPr>
      </w:pPr>
      <w:r>
        <w:rPr>
          <w:rFonts w:ascii="Arial" w:hAnsi="Arial"/>
          <w:sz w:val="20"/>
        </w:rPr>
        <w:t xml:space="preserve">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base prospectus. Information that is incorporated by reference is considered to be part of this prospectus supplement and the accompanying base prospectus and you should read it with the same care that you read this prospectus supplement and the accompanying base prospectus. Later information that we file with the SEC will automatically update and supersede the information that is either contained, or incorporated by reference, in this prospectus supplement and the accompanying base prospectus, and will be considered to be a part of this prospectus supplement and the accompanying base prospectus from the date those documents are filed. We incorporate by reference the documents listed below and any future filings we make with the SEC under Section 13(a), 13(c), 14, or 15(d) of the Exchange Act (in each case, other than those documents or the portions of those documents furnished (but not filed) pursuant to Items 2.02 or 7.01 of any Current Report on Form 8-K) prior to the termination of any offering of securities made by this prospectus supplement and accompanying base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rFonts w:ascii="Arial" w:hAnsi="Arial"/>
                <w:sz w:val="20"/>
              </w:rPr>
              <w:t xml:space="preserve">our Annual Report on </w:t>
            </w:r>
            <w:hyperlink r:id="rId3">
              <w:r>
                <w:rPr>
                  <w:rStyle w:val="InternetLink"/>
                  <w:rFonts w:ascii="Arial" w:hAnsi="Arial"/>
                  <w:sz w:val="20"/>
                </w:rPr>
                <w:t>Form 10-K</w:t>
              </w:r>
            </w:hyperlink>
            <w:r>
              <w:rPr>
                <w:rFonts w:ascii="Arial" w:hAnsi="Arial"/>
                <w:sz w:val="20"/>
              </w:rPr>
              <w:t xml:space="preserve"> for the year ended December 31, 2022 filed with the SEC on March 10,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20"/>
              </w:rPr>
              <w:t xml:space="preserve">our Quarterly Reports on Form 10-Q for the quarters ended March 31, 2023 and June 30, 2023 filed with the SEC on </w:t>
            </w:r>
            <w:hyperlink r:id="rId4">
              <w:r>
                <w:rPr>
                  <w:rStyle w:val="InternetLink"/>
                  <w:rFonts w:ascii="Arial" w:hAnsi="Arial"/>
                  <w:sz w:val="20"/>
                </w:rPr>
                <w:t>May  10, 2023</w:t>
              </w:r>
            </w:hyperlink>
            <w:r>
              <w:rPr>
                <w:rFonts w:ascii="Arial" w:hAnsi="Arial"/>
                <w:sz w:val="20"/>
              </w:rPr>
              <w:t xml:space="preserve"> and </w:t>
            </w:r>
            <w:hyperlink r:id="rId5">
              <w:r>
                <w:rPr>
                  <w:rStyle w:val="InternetLink"/>
                  <w:rFonts w:ascii="Arial" w:hAnsi="Arial"/>
                  <w:sz w:val="20"/>
                </w:rPr>
                <w:t>August 8, 2023</w:t>
              </w:r>
            </w:hyperlink>
            <w:r>
              <w:rPr>
                <w:rFonts w:ascii="Arial" w:hAnsi="Arial"/>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20"/>
              </w:rPr>
              <w:t xml:space="preserve">our Current Reports on Form 8-K filed with the SEC on </w:t>
            </w:r>
            <w:hyperlink r:id="rId6">
              <w:r>
                <w:rPr>
                  <w:rStyle w:val="InternetLink"/>
                  <w:rFonts w:ascii="Arial" w:hAnsi="Arial"/>
                  <w:sz w:val="20"/>
                </w:rPr>
                <w:t>January 10, 2023</w:t>
              </w:r>
            </w:hyperlink>
            <w:r>
              <w:rPr>
                <w:rFonts w:ascii="Arial" w:hAnsi="Arial"/>
                <w:sz w:val="20"/>
              </w:rPr>
              <w:t xml:space="preserve"> and </w:t>
            </w:r>
            <w:hyperlink r:id="rId7">
              <w:r>
                <w:rPr>
                  <w:rStyle w:val="InternetLink"/>
                  <w:rFonts w:ascii="Arial" w:hAnsi="Arial"/>
                  <w:sz w:val="20"/>
                </w:rPr>
                <w:t>June 9, 2023</w:t>
              </w:r>
            </w:hyperlink>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rFonts w:ascii="Arial" w:hAnsi="Arial"/>
                <w:sz w:val="20"/>
              </w:rPr>
              <w:t xml:space="preserve">our Definitive Proxy Statement on Schedule 14A filed with the SEC on </w:t>
            </w:r>
            <w:hyperlink r:id="rId8">
              <w:r>
                <w:rPr>
                  <w:rStyle w:val="InternetLink"/>
                  <w:rFonts w:ascii="Arial" w:hAnsi="Arial"/>
                  <w:sz w:val="20"/>
                </w:rPr>
                <w:t>April 25, 2023</w:t>
              </w:r>
            </w:hyperlink>
            <w:r>
              <w:rPr>
                <w:rFonts w:ascii="Arial" w:hAnsi="Arial"/>
                <w:sz w:val="20"/>
              </w:rPr>
              <w:t xml:space="preserve"> (excluding those portions that are not incorporated by reference into our Annual Report on Form 10-K for the year ended December 31, 2022);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20"/>
              </w:rPr>
              <w:t xml:space="preserve">the description of our common stock contained in our registration statement on </w:t>
            </w:r>
            <w:hyperlink r:id="rId9">
              <w:r>
                <w:rPr>
                  <w:rStyle w:val="InternetLink"/>
                  <w:rFonts w:ascii="Arial" w:hAnsi="Arial"/>
                  <w:sz w:val="20"/>
                </w:rPr>
                <w:t>Form 8-A</w:t>
              </w:r>
            </w:hyperlink>
            <w:r>
              <w:rPr>
                <w:rFonts w:ascii="Arial" w:hAnsi="Arial"/>
                <w:sz w:val="20"/>
              </w:rPr>
              <w:t xml:space="preserve">, dated May 21, 2021, and any other amendment or report filed for the purpose of updating such description. </w:t>
            </w:r>
          </w:p>
        </w:tc>
      </w:tr>
    </w:tbl>
    <w:p>
      <w:pPr>
        <w:pStyle w:val="TextBody"/>
        <w:bidi w:val="0"/>
        <w:spacing w:before="240" w:after="0"/>
        <w:jc w:val="left"/>
        <w:rPr>
          <w:rFonts w:ascii="Arial" w:hAnsi="Arial"/>
          <w:sz w:val="20"/>
        </w:rPr>
      </w:pPr>
      <w:r>
        <w:rPr>
          <w:rFonts w:ascii="Arial" w:hAnsi="Arial"/>
          <w:sz w:val="20"/>
        </w:rPr>
        <w:t xml:space="preserve">You may request a copy of any or all of the documents incorporated by reference but not delivered with this prospectus supplement and the accompanying base prospectus, at no cost, by writing or telephoning us at the following address and number: Flywire Corporation, 141 Tremont St., 10th Floor, Boston, MA 02111 and (617) 329-4524. We will not, however, send exhibits to those documents, unless the exhibits are specifically incorporated by reference in those documents. </w:t>
      </w:r>
    </w:p>
    <w:p>
      <w:pPr>
        <w:pStyle w:val="TextBody"/>
        <w:bidi w:val="0"/>
        <w:spacing w:before="240" w:after="0"/>
        <w:jc w:val="left"/>
        <w:rPr>
          <w:rFonts w:ascii="Arial" w:hAnsi="Arial"/>
          <w:sz w:val="20"/>
        </w:rPr>
      </w:pPr>
      <w:r>
        <w:rPr>
          <w:rFonts w:ascii="Arial" w:hAnsi="Arial"/>
          <w:sz w:val="20"/>
        </w:rPr>
        <w:t xml:space="preserve">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www.flywire.com. The information contained on, or that can be accessed through, our website is not a part of this prospectus supplement. Investors should not rely on any such information in deciding whether to purchase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51765" cy="533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51765" cy="53340"/>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 xml:space="preserve">We may, from time to time in one or more offerings, offer to sell common stock, preferred stock, debt securities or warrants. We refer to our common stock, preferred stock, debt securities and warrants collectively as the securities. The securities we may offer may be convertible into or exercisable or exchangeable for other securities. We may offer the securities separately or together, in separate classes, series and in amounts, at prices and on terms that will be determined at the time the securities are offered. </w:t>
      </w:r>
    </w:p>
    <w:p>
      <w:pPr>
        <w:pStyle w:val="TextBody"/>
        <w:bidi w:val="0"/>
        <w:spacing w:before="160" w:after="0"/>
        <w:jc w:val="left"/>
        <w:rPr>
          <w:rFonts w:ascii="Times New Roman" w:hAnsi="Times New Roman"/>
          <w:sz w:val="20"/>
        </w:rPr>
      </w:pPr>
      <w:r>
        <w:rPr>
          <w:rFonts w:ascii="Times New Roman" w:hAnsi="Times New Roman"/>
          <w:sz w:val="20"/>
        </w:rPr>
        <w:t xml:space="preserve">In addition, from time to time, the selling securityholders to be named in a prospectus supplement may offer our securities. We will not receive any of the proceeds from the sale of securities by the selling securityholders. </w:t>
      </w:r>
    </w:p>
    <w:p>
      <w:pPr>
        <w:pStyle w:val="TextBody"/>
        <w:bidi w:val="0"/>
        <w:spacing w:before="160" w:after="0"/>
        <w:jc w:val="left"/>
        <w:rPr>
          <w:rFonts w:ascii="Times New Roman" w:hAnsi="Times New Roman"/>
          <w:sz w:val="20"/>
        </w:rPr>
      </w:pPr>
      <w:r>
        <w:rPr>
          <w:rFonts w:ascii="Times New Roman" w:hAnsi="Times New Roman"/>
          <w:sz w:val="20"/>
        </w:rPr>
        <w:t xml:space="preserve">This prospectus describes some of the general terms that may apply to these securities. Each time securities are sold, the specific terms and amounts of the securities to be offered, and any other information relating to the specific offering and, if applicable, the selling securityholders, will be set forth in a supplement to this prospectus. You should read this prospectus and any prospectus supplement carefully before you invest in any of the securities. This prospectus may not be used to offer and sell securities unless accompanied by a prospectus supplement. </w:t>
      </w:r>
    </w:p>
    <w:p>
      <w:pPr>
        <w:pStyle w:val="TextBody"/>
        <w:bidi w:val="0"/>
        <w:spacing w:before="160" w:after="0"/>
        <w:jc w:val="left"/>
        <w:rPr>
          <w:rFonts w:ascii="Times New Roman" w:hAnsi="Times New Roman"/>
          <w:sz w:val="20"/>
        </w:rPr>
      </w:pPr>
      <w:r>
        <w:rPr>
          <w:rFonts w:ascii="Times New Roman" w:hAnsi="Times New Roman"/>
          <w:sz w:val="20"/>
        </w:rPr>
        <w:t xml:space="preserve">We or any selling securityholder may offer and sell these securities to or through one or more underwriters, dealers and agents, directly to purchasers, or through other means, on a continuous or delayed basis. If any underwriters are involved in the sale of any securities offered by this prospectus and any prospectus supplement, their names, and any applicable purchase price, fee, commission or discount arrangement between or among them, will be set forth, or may be calculable from the information set forth, in the accompanying prospectus supplement. </w:t>
      </w:r>
    </w:p>
    <w:p>
      <w:pPr>
        <w:pStyle w:val="TextBody"/>
        <w:bidi w:val="0"/>
        <w:spacing w:before="160" w:after="0"/>
        <w:jc w:val="left"/>
        <w:rPr>
          <w:rFonts w:ascii="Times New Roman" w:hAnsi="Times New Roman"/>
          <w:sz w:val="20"/>
        </w:rPr>
      </w:pPr>
      <w:r>
        <w:rPr>
          <w:rFonts w:ascii="Times New Roman" w:hAnsi="Times New Roman"/>
          <w:sz w:val="20"/>
        </w:rPr>
        <w:t xml:space="preserve">We have two classes of common stock, voting common stock and non-voting common stock. The rights of the holders of voting common stock and non-voting common stock are identical, except for voting and conversion rights. Each share of voting common stock is entitled to one vote and is not convertible into another class or series of our securities. Non-voting common stock is not entitled to vote, except as required by law, and automatically converts without the payment of additional consideration into voting common stock upon transfer by holders of non-voting common stock in certain circumstances. As such, only holders of voting common stock are entitled to vote on the election of members of our board of directors. Unless otherwise noted or unless the context provides otherwise, all references in this prospectus to our common stock refers to our voting common stock. </w:t>
      </w:r>
    </w:p>
    <w:p>
      <w:pPr>
        <w:pStyle w:val="TextBody"/>
        <w:bidi w:val="0"/>
        <w:spacing w:before="160" w:after="0"/>
        <w:jc w:val="left"/>
        <w:rPr>
          <w:rFonts w:ascii="Times New Roman" w:hAnsi="Times New Roman"/>
          <w:sz w:val="20"/>
        </w:rPr>
      </w:pPr>
      <w:r>
        <w:rPr>
          <w:rFonts w:ascii="Times New Roman" w:hAnsi="Times New Roman"/>
          <w:sz w:val="20"/>
        </w:rPr>
        <w:t xml:space="preserve">Our common stock, $0.0001 par value per share, is listed on The Nasdaq Global Select Market under the symbol FLYW. </w:t>
      </w:r>
    </w:p>
    <w:p>
      <w:pPr>
        <w:pStyle w:val="TextBody"/>
        <w:bidi w:val="0"/>
        <w:spacing w:before="160" w:after="0"/>
        <w:jc w:val="left"/>
        <w:rPr>
          <w:rFonts w:ascii="Times New Roman" w:hAnsi="Times New Roman"/>
          <w:b/>
          <w:sz w:val="20"/>
        </w:rPr>
      </w:pPr>
      <w:r>
        <w:rPr>
          <w:rFonts w:ascii="Times New Roman" w:hAnsi="Times New Roman"/>
          <w:b/>
          <w:sz w:val="20"/>
        </w:rPr>
        <w:t xml:space="preserve">Investing in our securities involves risks.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pPr>
      <w:r>
        <w:rPr>
          <w:rFonts w:ascii="Times New Roman" w:hAnsi="Times New Roman"/>
          <w:b/>
          <w:sz w:val="24"/>
        </w:rPr>
        <w:t>See the section of this prospectus captioned </w:t>
      </w:r>
      <w:hyperlink w:anchor="tx487210_4">
        <w:r>
          <w:rPr>
            <w:rStyle w:val="InternetLink"/>
            <w:rFonts w:ascii="Times New Roman" w:hAnsi="Times New Roman"/>
            <w:b/>
            <w:sz w:val="24"/>
          </w:rPr>
          <w:t>Risk Factors</w:t>
        </w:r>
      </w:hyperlink>
      <w:r>
        <w:rPr>
          <w:rFonts w:ascii="Times New Roman" w:hAnsi="Times New Roman"/>
          <w:b/>
          <w:sz w:val="24"/>
        </w:rPr>
        <w:t xml:space="preserve"> beginning on page 4, in any applicable prospectus supplement and in our Securities and Exchange Commission (SEC) filings that are incorporated by reference herein. </w:t>
      </w:r>
    </w:p>
    <w:p>
      <w:pPr>
        <w:pStyle w:val="TextBody"/>
        <w:bidi w:val="0"/>
        <w:spacing w:before="16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0"/>
        </w:rPr>
      </w:pPr>
      <w:r>
        <w:rPr>
          <w:rFonts w:ascii="Times New Roman" w:hAnsi="Times New Roman"/>
          <w:b/>
          <w:sz w:val="20"/>
        </w:rPr>
        <w:t xml:space="preserve">The date of this prospectus is August 9,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42"/>
        <w:gridCol w:w="387"/>
        <w:gridCol w:w="154"/>
        <w:gridCol w:w="361"/>
        <w:gridCol w:w="61"/>
      </w:tblGrid>
      <w:tr>
        <w:trPr/>
        <w:tc>
          <w:tcPr>
            <w:tcW w:w="9242"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
              <w:r>
                <w:rPr>
                  <w:rStyle w:val="InternetLink"/>
                  <w:rFonts w:ascii="Times New Roman" w:hAnsi="Times New Roman"/>
                  <w:sz w:val="20"/>
                </w:rPr>
                <w:t xml:space="preserve">Special Note Regarding Forward-Looking Statements </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2">
              <w:r>
                <w:rPr>
                  <w:rStyle w:val="InternetLink"/>
                  <w:rFonts w:ascii="Times New Roman" w:hAnsi="Times New Roman"/>
                  <w:sz w:val="20"/>
                </w:rPr>
                <w:t>About This Prospectus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3">
              <w:r>
                <w:rPr>
                  <w:rStyle w:val="InternetLink"/>
                  <w:rFonts w:ascii="Times New Roman" w:hAnsi="Times New Roman"/>
                  <w:sz w:val="20"/>
                </w:rPr>
                <w:t>The Company</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4">
              <w:r>
                <w:rPr>
                  <w:rStyle w:val="InternetLink"/>
                  <w:rFonts w:ascii="Times New Roman" w:hAnsi="Times New Roman"/>
                  <w:sz w:val="20"/>
                </w:rPr>
                <w:t>Risk Factors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5">
              <w:r>
                <w:rPr>
                  <w:rStyle w:val="InternetLink"/>
                  <w:rFonts w:ascii="Times New Roman" w:hAnsi="Times New Roman"/>
                  <w:sz w:val="20"/>
                </w:rPr>
                <w:t>Use of Proceeds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6">
              <w:r>
                <w:rPr>
                  <w:rStyle w:val="InternetLink"/>
                  <w:rFonts w:ascii="Times New Roman" w:hAnsi="Times New Roman"/>
                  <w:sz w:val="20"/>
                </w:rPr>
                <w:t>Selling Securityholders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7">
              <w:r>
                <w:rPr>
                  <w:rStyle w:val="InternetLink"/>
                  <w:rFonts w:ascii="Times New Roman" w:hAnsi="Times New Roman"/>
                  <w:sz w:val="20"/>
                </w:rPr>
                <w:t>Plan of Distribution</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8">
              <w:r>
                <w:rPr>
                  <w:rStyle w:val="InternetLink"/>
                  <w:rFonts w:ascii="Times New Roman" w:hAnsi="Times New Roman"/>
                  <w:sz w:val="20"/>
                </w:rPr>
                <w:t>Description of Capital Stock</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9">
              <w:r>
                <w:rPr>
                  <w:rStyle w:val="InternetLink"/>
                  <w:rFonts w:ascii="Times New Roman" w:hAnsi="Times New Roman"/>
                  <w:sz w:val="20"/>
                </w:rPr>
                <w:t>Description of Debt Securities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0">
              <w:r>
                <w:rPr>
                  <w:rStyle w:val="InternetLink"/>
                  <w:rFonts w:ascii="Times New Roman" w:hAnsi="Times New Roman"/>
                  <w:sz w:val="20"/>
                </w:rPr>
                <w:t>Description of Warrants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1">
              <w:r>
                <w:rPr>
                  <w:rStyle w:val="InternetLink"/>
                  <w:rFonts w:ascii="Times New Roman" w:hAnsi="Times New Roman"/>
                  <w:sz w:val="20"/>
                </w:rPr>
                <w:t>Legal Matters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2">
              <w:r>
                <w:rPr>
                  <w:rStyle w:val="InternetLink"/>
                  <w:rFonts w:ascii="Times New Roman" w:hAnsi="Times New Roman"/>
                  <w:sz w:val="20"/>
                </w:rPr>
                <w:t>Experts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3">
              <w:r>
                <w:rPr>
                  <w:rStyle w:val="InternetLink"/>
                  <w:rFonts w:ascii="Times New Roman" w:hAnsi="Times New Roman"/>
                  <w:sz w:val="20"/>
                </w:rPr>
                <w:t>Where You Can Find More Information</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4">
              <w:r>
                <w:rPr>
                  <w:rStyle w:val="InternetLink"/>
                  <w:rFonts w:ascii="Times New Roman" w:hAnsi="Times New Roman"/>
                  <w:sz w:val="20"/>
                </w:rPr>
                <w:t>Incorporation by Reference</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x487210_1"/>
      <w:bookmarkEnd w:id="1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contain or may contain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 are forward-looking statements. Forward-looking statements are often identified by the use of words such as, but not limited to, believe, may, will, potentially, estimate, continue, anticipate, intend, could, would, project, target, plan, expect, or the negative of these terms or other similar expressions that concern our expectations, strategy, plans or intentions.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not guarantees of future performance and involve risks and uncertainties. The forward-looking statements contained in this prospectus, any prospectus supplement, and the information incorporated by reference in this prospectus or any prospectus supplement are based on information currently available to us and expectations and assumptions that we deem reasonable at the time the statements were made. We do not undertake any obligation to update any forward-looking statements in this prospectus, any prospectus supplement, and the information incorporated by reference in this prospectus or any prospectus supplement or in any of our other communications, except as required by law. Such forward-looking statements are subject to risks, uncertainties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 </w:t>
      </w:r>
    </w:p>
    <w:p>
      <w:pPr>
        <w:pStyle w:val="TextBody"/>
        <w:bidi w:val="0"/>
        <w:spacing w:before="240" w:after="0"/>
        <w:jc w:val="left"/>
        <w:rPr>
          <w:rFonts w:ascii="Times New Roman" w:hAnsi="Times New Roman"/>
          <w:sz w:val="20"/>
        </w:rPr>
      </w:pPr>
      <w:r>
        <w:rPr>
          <w:rFonts w:ascii="Times New Roman" w:hAnsi="Times New Roman"/>
          <w:sz w:val="20"/>
        </w:rPr>
        <w:t xml:space="preserve">Factors that could cause or contribute to such differences include, but are not limited to, those identified below, and those discussed in the section titled Risk Factors of any Annual Report on Form 10-K and any Quarterly Report on Form 10-Q incorporated by reference in this prospectus and in the section of any related prospectus supplement entitled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487210_2"/>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that we filed with the Securities and Exchange Commission (the SEC) as a well-known seasoned issuer as defined in Rule 405 under the Securities Act of 1933, as amended (the Securities Act), utilizing a shelf registration process. Under this shelf registration process, we and/or the selling securityholders to be named in a prospectus supplement may sell any combination of the securities described in this prospectus from time to time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(as supplemented and amended), including the information incorporated by reference. We have not authorized anyone to provide you with information that is different from that contained in this prospectus (as supplemented and amended). We take no responsibility for, and can provide no assurance as to the reliability of, any other information that others may give you. This prospectus (as supplemented and amended) does not constitute an offer to sell or the solicitation of an offer to buy any securities other than the securities described in this prospectus or an offer to sell or the solicitation of an offer to buy any such securities in any circumstances in which such offer or solicitation is unlawful. This document may only be used where it is legal to sell these securities. You should not assume that the information contained in this prospectus (as supplemented and amended) is accurate as of any dates other than their respective dates. We and/or the selling securityholders provided the information contained in the aforementioned documents only as of the date of the applicable document, and it is possible that the information, including our business, financial condition, and results of operations,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only provides you with a general description of the securities that we may offer. Each time we and/or the selling securityholders sell securities pursuant to this prospectus, we and/or the selling securityholders, as the case may be, will provide a prospectus supplement that contains specific information about the terms of that offering, including the specific amounts, prices and terms of the securities offered, and, if applicable, the selling securityholders. In addition, the prospectus supplement may also add, update or change the information contained in this prospectus. If this prospectus is inconsistent with the prospectus supplement, you should rely upon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read carefully this prospectus (as supplemented and amended) before deciding whether to purchase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we use the terms Flywire, the Company, we, us, our and similar designations in this prospectus to refer to Flywire Corporation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x487210_3"/>
      <w:bookmarkEnd w:id="19"/>
      <w:r>
        <w:rPr>
          <w:rFonts w:ascii="Times New Roman" w:hAnsi="Times New Roman"/>
          <w:b/>
          <w:sz w:val="20"/>
        </w:rPr>
        <w:t xml:space="preserve">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 </w:t>
      </w:r>
    </w:p>
    <w:p>
      <w:pPr>
        <w:pStyle w:val="TextBody"/>
        <w:bidi w:val="0"/>
        <w:spacing w:before="240" w:after="0"/>
        <w:jc w:val="left"/>
        <w:rPr>
          <w:rFonts w:ascii="Times New Roman" w:hAnsi="Times New Roman"/>
          <w:sz w:val="20"/>
        </w:rPr>
      </w:pPr>
      <w:r>
        <w:rPr>
          <w:rFonts w:ascii="Times New Roman" w:hAnsi="Times New Roman"/>
          <w:sz w:val="20"/>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Times New Roman" w:hAnsi="Times New Roman"/>
          <w:i/>
          <w:sz w:val="20"/>
        </w:rPr>
        <w:t>Flywire Advantage</w:t>
      </w:r>
      <w:r>
        <w:rPr>
          <w:rFonts w:ascii="Times New Roman" w:hAnsi="Times New Roman"/>
          <w:sz w:val="20"/>
        </w:rPr>
        <w:t xml:space="preserve">. Our </w:t>
      </w:r>
      <w:r>
        <w:rPr>
          <w:rFonts w:ascii="Times New Roman" w:hAnsi="Times New Roman"/>
          <w:i/>
          <w:sz w:val="20"/>
        </w:rPr>
        <w:t>Flywire Advantage</w:t>
      </w:r>
      <w:r>
        <w:rPr>
          <w:rFonts w:ascii="Times New Roman" w:hAnsi="Times New Roman"/>
          <w:sz w:val="20"/>
        </w:rPr>
        <w:t xml:space="preserve"> is derived from three core elements: (i) our next-gen payments platform; (ii) our proprietary global payment network; and (iii) our vertical-specific software backed by our deep industry expertise. With our </w:t>
      </w:r>
      <w:r>
        <w:rPr>
          <w:rFonts w:ascii="Times New Roman" w:hAnsi="Times New Roman"/>
          <w:i/>
          <w:sz w:val="20"/>
        </w:rPr>
        <w:t>Flywire Advantage</w:t>
      </w:r>
      <w:r>
        <w:rPr>
          <w:rFonts w:ascii="Times New Roman" w:hAnsi="Times New Roman"/>
          <w:sz w:val="20"/>
        </w:rPr>
        <w:t xml:space="preserve">,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initially formed in July 2009 as peerTransfer Corporation, a Delaware corporation. We changed our name to Flywire Corporation in December 2016. Our principal executive offices are located at 141 Tremont St., #10F, Boston, MA 02111. Our telephone number is (617) 329-4524. Our website address is www.flywire.com. The information contained on, or that can be accessed through, our website is not incorporated by reference herein or a part of this prospectus. Investors should not rely on any such information in deciding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487210_4"/>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purchase our securities, you should consider carefully the risks and uncertainties discussed under the section titled Risk Factors contained in our most recent Annual Report on Form 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above titled Special Note Regarding Forward-Looking Statements. </w:t>
      </w:r>
    </w:p>
    <w:p>
      <w:pPr>
        <w:pStyle w:val="TextBody"/>
        <w:bidi w:val="0"/>
        <w:spacing w:before="480" w:after="0"/>
        <w:jc w:val="center"/>
        <w:rPr>
          <w:rFonts w:ascii="Times New Roman" w:hAnsi="Times New Roman"/>
          <w:b/>
          <w:sz w:val="20"/>
        </w:rPr>
      </w:pPr>
      <w:bookmarkStart w:id="21" w:name="tx487210_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our securities offered hereby. Unless otherwise indicated in the applicable prospectus supplement, we currently intend to use the net proceeds from the sale of the securities under this prospectus for general corporate purposes; however, we do not currently have any specific uses of the net proceeds planned. General corporate purposes may include acquisitions, repayment of debt, investments, additions to working capital, capital expenditures, repurchases of common stock and advances to or investments in our subsidiaries. Pending the use of net proceeds, we intend to invest these funds in investment-grade, interest-bearing securities, or hold as cash. We will not receive any of the proceeds from the sale of securities by selling securityholders. </w:t>
      </w:r>
    </w:p>
    <w:p>
      <w:pPr>
        <w:pStyle w:val="TextBody"/>
        <w:bidi w:val="0"/>
        <w:spacing w:before="480" w:after="0"/>
        <w:jc w:val="center"/>
        <w:rPr>
          <w:rFonts w:ascii="Times New Roman" w:hAnsi="Times New Roman"/>
          <w:b/>
          <w:sz w:val="20"/>
        </w:rPr>
      </w:pPr>
      <w:bookmarkStart w:id="22" w:name="tx487210_6"/>
      <w:bookmarkEnd w:id="22"/>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an amendment to the registration statement of which this prospectus is a part, or in filings we make with the SEC under the Exchange Act, which are incorporated by reference. </w:t>
      </w:r>
    </w:p>
    <w:p>
      <w:pPr>
        <w:pStyle w:val="TextBody"/>
        <w:bidi w:val="0"/>
        <w:spacing w:before="480" w:after="0"/>
        <w:jc w:val="center"/>
        <w:rPr>
          <w:rFonts w:ascii="Times New Roman" w:hAnsi="Times New Roman"/>
          <w:b/>
          <w:sz w:val="20"/>
        </w:rPr>
      </w:pPr>
      <w:bookmarkStart w:id="23" w:name="tx487210_7"/>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 any selling securityholder may offer and sell the securities being offered hereby in one or more of the following ways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of these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other purchasers, persons or entities and any applicable compensation, in a prospectus supplement, in an amendment to the registration statement of which this prospectus is a part, or in other filings we make with the SEC under the Exchange Act, which are incorporated by reference. </w:t>
      </w:r>
    </w:p>
    <w:p>
      <w:pPr>
        <w:pStyle w:val="TextBody"/>
        <w:bidi w:val="0"/>
        <w:spacing w:before="480" w:after="0"/>
        <w:jc w:val="center"/>
        <w:rPr>
          <w:rFonts w:ascii="Times New Roman" w:hAnsi="Times New Roman"/>
          <w:b/>
          <w:sz w:val="20"/>
        </w:rPr>
      </w:pPr>
      <w:bookmarkStart w:id="24" w:name="tx487210_8"/>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For a complete statement of the terms and rights of our capital stock, you should refer to the applicable provisions of our amended and restated certificate of incorporation, amended and restated bylaws and the documents that we have incorporated by reference, including the description of capital stock contained in the registration statement on Form 8-A, as updated by Exhibit 4.1 to our Annual Report on Form 10-K for the year ended December 31, 2021, and any amendment or report filed for the purpose of updating such description, copies of which are exhibits to the registration statement of which this prospectus forms a part, and which are incorporated herein by reference. Copies of our amended and restated certificate of incorporation and amended and restated bylaws will be sent to you at no charge upon request. See Where You Can Find More Information below. </w:t>
      </w:r>
    </w:p>
    <w:p>
      <w:pPr>
        <w:pStyle w:val="TextBody"/>
        <w:bidi w:val="0"/>
        <w:spacing w:before="480" w:after="0"/>
        <w:jc w:val="center"/>
        <w:rPr>
          <w:rFonts w:ascii="Times New Roman" w:hAnsi="Times New Roman"/>
          <w:b/>
          <w:sz w:val="20"/>
        </w:rPr>
      </w:pPr>
      <w:bookmarkStart w:id="25" w:name="tx487210_9"/>
      <w:bookmarkEnd w:id="25"/>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which we refer to as the base indenture, and supplemental indentures and forms of debt securities containing the terms of the debt securities being offered and sold will be filed as exhibits to the registration statement and/or will be incorporated by reference from reports that we file with the SEC. The actual base indenture we enter into in connection with an offering of debt securities may differ significantly from the form of base indenture we have filed. The base indenture, as amended or supplemented from time to time by one or more supplemental indentures, is referred to below collectively as the indenture.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Please note that the terms of any series of debt securities that we may offer may differ significantly from the general terms described in this prospectus. The prospectus supplement relating to the particular series of debt securities being offered will specify the particular amounts, prices and terms of those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487210_10"/>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before="480" w:after="0"/>
        <w:jc w:val="center"/>
        <w:rPr>
          <w:rFonts w:ascii="Times New Roman" w:hAnsi="Times New Roman"/>
          <w:b/>
          <w:sz w:val="20"/>
        </w:rPr>
      </w:pPr>
      <w:bookmarkStart w:id="27" w:name="tx487210_11"/>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any accompanying prospectus supplement, Gunderson Dettmer Stough Villeneuve Franklin &amp; Hachigian, LLP, Boston, Massachusetts, will opine as to the legality of the securities offered under this prospectus. As appropriate, legal counsel representing any underwriters, dealers, agents or selling securityholder(s) will be named in the applicable prospectus supplement. </w:t>
      </w:r>
    </w:p>
    <w:p>
      <w:pPr>
        <w:pStyle w:val="TextBody"/>
        <w:bidi w:val="0"/>
        <w:spacing w:before="480" w:after="0"/>
        <w:jc w:val="center"/>
        <w:rPr>
          <w:rFonts w:ascii="Times New Roman" w:hAnsi="Times New Roman"/>
          <w:b/>
          <w:sz w:val="20"/>
        </w:rPr>
      </w:pPr>
      <w:bookmarkStart w:id="28" w:name="tx487210_12"/>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29" w:name="tx487210_13"/>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www.flywire.com. Information accessible on or through our website is not incorporated herein or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the securities we or the selling securityholders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480" w:after="0"/>
        <w:jc w:val="center"/>
        <w:rPr>
          <w:rFonts w:ascii="Times New Roman" w:hAnsi="Times New Roman"/>
          <w:b/>
          <w:sz w:val="20"/>
        </w:rPr>
      </w:pPr>
      <w:bookmarkStart w:id="30" w:name="tx487210_14"/>
      <w:bookmarkEnd w:id="30"/>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to the extent set forth herein, this prospectus is continually updated and those future filings may modify or supersede some of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that we make with the SEC under Sections 13(a), 13(c), 14 or 15(d) of the Exchange Act (in each case, other than those documents or the portions of those documents furnished (but not filed) pursuant to Items 2.02 or 7.01 of any Current Report on Form 8-K), until the offering of the securities being registered under this prospectus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1">
              <w:r>
                <w:rPr>
                  <w:rStyle w:val="InternetLink"/>
                  <w:rFonts w:ascii="Times New Roman" w:hAnsi="Times New Roman"/>
                  <w:sz w:val="20"/>
                </w:rPr>
                <w:t>Form 10-K</w:t>
              </w:r>
            </w:hyperlink>
            <w:r>
              <w:rPr>
                <w:rFonts w:ascii="Times New Roman" w:hAnsi="Times New Roman"/>
                <w:sz w:val="20"/>
              </w:rPr>
              <w:t xml:space="preserve"> for the year ended December 31, 2022 filed with the SEC on March 10,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2023 and June 30, 2023 filed with the SEC on </w:t>
            </w:r>
            <w:hyperlink r:id="rId12">
              <w:r>
                <w:rPr>
                  <w:rStyle w:val="InternetLink"/>
                  <w:rFonts w:ascii="Times New Roman" w:hAnsi="Times New Roman"/>
                  <w:sz w:val="20"/>
                </w:rPr>
                <w:t>May  10, 2023</w:t>
              </w:r>
            </w:hyperlink>
            <w:r>
              <w:rPr>
                <w:rFonts w:ascii="Times New Roman" w:hAnsi="Times New Roman"/>
                <w:sz w:val="20"/>
              </w:rPr>
              <w:t xml:space="preserve"> and </w:t>
            </w:r>
            <w:hyperlink r:id="rId13">
              <w:r>
                <w:rPr>
                  <w:rStyle w:val="InternetLink"/>
                  <w:rFonts w:ascii="Times New Roman" w:hAnsi="Times New Roman"/>
                  <w:sz w:val="20"/>
                </w:rPr>
                <w:t>August 8,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4">
              <w:r>
                <w:rPr>
                  <w:rStyle w:val="InternetLink"/>
                  <w:rFonts w:ascii="Times New Roman" w:hAnsi="Times New Roman"/>
                  <w:sz w:val="20"/>
                </w:rPr>
                <w:t>January 10, 2023</w:t>
              </w:r>
            </w:hyperlink>
            <w:r>
              <w:rPr>
                <w:rFonts w:ascii="Times New Roman" w:hAnsi="Times New Roman"/>
                <w:sz w:val="20"/>
              </w:rPr>
              <w:t xml:space="preserve"> and </w:t>
            </w:r>
            <w:hyperlink r:id="rId15">
              <w:r>
                <w:rPr>
                  <w:rStyle w:val="InternetLink"/>
                  <w:rFonts w:ascii="Times New Roman" w:hAnsi="Times New Roman"/>
                  <w:sz w:val="20"/>
                </w:rPr>
                <w:t>June 9,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Schedule 14A filed with the SEC on </w:t>
            </w:r>
            <w:hyperlink r:id="rId16">
              <w:r>
                <w:rPr>
                  <w:rStyle w:val="InternetLink"/>
                  <w:rFonts w:ascii="Times New Roman" w:hAnsi="Times New Roman"/>
                  <w:sz w:val="20"/>
                </w:rPr>
                <w:t>April 25, 2023</w:t>
              </w:r>
            </w:hyperlink>
            <w:r>
              <w:rPr>
                <w:rFonts w:ascii="Times New Roman" w:hAnsi="Times New Roman"/>
                <w:sz w:val="20"/>
              </w:rPr>
              <w:t xml:space="preserve"> (excluding those portions that are not incorporated by reference into our Annual Report on Form 10-K for the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7">
              <w:r>
                <w:rPr>
                  <w:rStyle w:val="InternetLink"/>
                  <w:rFonts w:ascii="Times New Roman" w:hAnsi="Times New Roman"/>
                  <w:sz w:val="20"/>
                </w:rPr>
                <w:t>Form 8-A</w:t>
              </w:r>
            </w:hyperlink>
            <w:r>
              <w:rPr>
                <w:rFonts w:ascii="Times New Roman" w:hAnsi="Times New Roman"/>
                <w:sz w:val="20"/>
              </w:rPr>
              <w:t xml:space="preserve">, dated May 21, 2021, as updated by </w:t>
            </w:r>
            <w:hyperlink r:id="rId18">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2021, and any other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any such person, a copy of any or all of the documents that have been or may be incorporated by reference into this prospectus at no cost. Any such request may be made in writing or by telephoning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Flywire Corporation </w:t>
      </w:r>
    </w:p>
    <w:p>
      <w:pPr>
        <w:pStyle w:val="TextBody"/>
        <w:bidi w:val="0"/>
        <w:spacing w:before="0" w:after="0"/>
        <w:jc w:val="center"/>
        <w:rPr>
          <w:rFonts w:ascii="Times New Roman" w:hAnsi="Times New Roman"/>
          <w:sz w:val="20"/>
        </w:rPr>
      </w:pPr>
      <w:r>
        <w:rPr>
          <w:rFonts w:ascii="Times New Roman" w:hAnsi="Times New Roman"/>
          <w:sz w:val="20"/>
        </w:rPr>
        <w:t xml:space="preserve">141 Tremont St., 10th Floor </w:t>
      </w:r>
    </w:p>
    <w:p>
      <w:pPr>
        <w:pStyle w:val="TextBody"/>
        <w:bidi w:val="0"/>
        <w:spacing w:before="0" w:after="0"/>
        <w:jc w:val="center"/>
        <w:rPr>
          <w:rFonts w:ascii="Times New Roman" w:hAnsi="Times New Roman"/>
          <w:sz w:val="20"/>
        </w:rPr>
      </w:pPr>
      <w:r>
        <w:rPr>
          <w:rFonts w:ascii="Times New Roman" w:hAnsi="Times New Roman"/>
          <w:sz w:val="20"/>
        </w:rPr>
        <w:t xml:space="preserve">Boston, MA 02111 </w:t>
      </w:r>
    </w:p>
    <w:p>
      <w:pPr>
        <w:pStyle w:val="TextBody"/>
        <w:bidi w:val="0"/>
        <w:spacing w:before="0" w:after="0"/>
        <w:jc w:val="center"/>
        <w:rPr>
          <w:rFonts w:ascii="Times New Roman" w:hAnsi="Times New Roman"/>
          <w:sz w:val="20"/>
        </w:rPr>
      </w:pPr>
      <w:r>
        <w:rPr>
          <w:rFonts w:ascii="Times New Roman" w:hAnsi="Times New Roman"/>
          <w:sz w:val="20"/>
        </w:rPr>
        <w:t xml:space="preserve">(617) 329-4524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900" w:after="0"/>
        <w:jc w:val="center"/>
        <w:rPr>
          <w:rFonts w:ascii="Arial" w:hAnsi="Arial"/>
          <w:sz w:val="28"/>
        </w:rPr>
      </w:pPr>
      <w:r>
        <w:rPr>
          <w:rFonts w:ascii="Arial" w:hAnsi="Arial"/>
          <w:sz w:val="28"/>
        </w:rPr>
        <w:t xml:space="preserve">8,000,000 Shares of 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151765" cy="533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51765" cy="533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28"/>
        </w:rPr>
      </w:pPr>
      <w:r>
        <w:rPr>
          <w:rFonts w:ascii="Arial" w:hAnsi="Arial"/>
          <w:b/>
          <w:sz w:val="28"/>
        </w:rPr>
        <w:t xml:space="preserve">PROSPECTUS SUPPLEMENT </w:t>
      </w:r>
    </w:p>
    <w:p>
      <w:pPr>
        <w:pStyle w:val="TextBody"/>
        <w:bidi w:val="0"/>
        <w:spacing w:before="40" w:after="0"/>
        <w:jc w:val="center"/>
        <w:rPr>
          <w:rFonts w:ascii="Arial" w:hAnsi="Arial"/>
          <w:b/>
          <w:sz w:val="20"/>
        </w:rPr>
      </w:pPr>
      <w:r>
        <w:rPr>
          <w:rFonts w:ascii="Arial" w:hAnsi="Arial"/>
          <w:b/>
          <w:sz w:val="20"/>
        </w:rPr>
        <w:t xml:space="preserve">August 9, 2023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center"/>
              <w:rPr>
                <w:rFonts w:ascii="Arial" w:hAnsi="Arial"/>
                <w:b/>
              </w:rPr>
            </w:pPr>
            <w:r>
              <w:rPr>
                <w:rFonts w:ascii="Arial" w:hAnsi="Arial"/>
                <w:b/>
              </w:rPr>
              <w:t>Goldman Sachs &amp; Co. LLC</w:t>
            </w:r>
          </w:p>
        </w:tc>
      </w:tr>
    </w:tbl>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368"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Citigroup</w:t>
            </w:r>
          </w:p>
        </w:tc>
      </w:tr>
      <w:tr>
        <w:trPr>
          <w:trHeight w:val="60" w:hRule="atLeast"/>
        </w:trPr>
        <w:tc>
          <w:tcPr>
            <w:tcW w:w="3368"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RBC Capital Markets</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Raymond James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William Blair</w:t>
            </w:r>
          </w:p>
        </w:tc>
      </w:tr>
    </w:tbl>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368"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sz w:val="18"/>
              </w:rPr>
            </w:pPr>
            <w:r>
              <w:rPr>
                <w:b/>
                <w:sz w:val="18"/>
              </w:rPr>
              <w:t>Wolfe | Nomura Alliance</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sz w:val="18"/>
              </w:rPr>
            </w:pPr>
            <w:r>
              <w:rPr>
                <w:b/>
                <w:sz w:val="18"/>
              </w:rPr>
              <w:t>B. Riley Securities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0"/>
              <w:jc w:val="right"/>
              <w:rPr>
                <w:rFonts w:ascii="Arial" w:hAnsi="Arial"/>
                <w:b/>
                <w:sz w:val="18"/>
              </w:rPr>
            </w:pPr>
            <w:r>
              <w:rPr>
                <w:rFonts w:ascii="Arial" w:hAnsi="Arial"/>
                <w:b/>
                <w:sz w:val="18"/>
              </w:rPr>
              <w:t>Stephens Inc.</w:t>
            </w:r>
          </w:p>
        </w:tc>
      </w:tr>
    </w:tbl>
    <w:tbl>
      <w:tblPr>
        <w:tblW w:w="5000" w:type="pct"/>
        <w:jc w:val="center"/>
        <w:tblInd w:w="0" w:type="dxa"/>
        <w:tblLayout w:type="fixed"/>
        <w:tblCellMar>
          <w:top w:w="0" w:type="dxa"/>
          <w:left w:w="0" w:type="dxa"/>
          <w:bottom w:w="0" w:type="dxa"/>
          <w:right w:w="0" w:type="dxa"/>
        </w:tblCellMar>
      </w:tblPr>
      <w:tblGrid>
        <w:gridCol w:w="2059"/>
        <w:gridCol w:w="90"/>
        <w:gridCol w:w="2545"/>
        <w:gridCol w:w="90"/>
        <w:gridCol w:w="2872"/>
        <w:gridCol w:w="90"/>
        <w:gridCol w:w="2459"/>
      </w:tblGrid>
      <w:tr>
        <w:trPr/>
        <w:tc>
          <w:tcPr>
            <w:tcW w:w="20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059" w:type="dxa"/>
            <w:tcBorders/>
            <w:vAlign w:val="center"/>
          </w:tcPr>
          <w:p>
            <w:pPr>
              <w:pStyle w:val="TableContents"/>
              <w:bidi w:val="0"/>
              <w:spacing w:before="0" w:after="283"/>
              <w:jc w:val="left"/>
              <w:rPr>
                <w:sz w:val="4"/>
                <w:szCs w:val="4"/>
              </w:rPr>
            </w:pPr>
            <w:r>
              <w:rPr>
                <w:sz w:val="4"/>
                <w:szCs w:val="4"/>
              </w:rPr>
            </w:r>
          </w:p>
        </w:tc>
        <w:tc>
          <w:tcPr>
            <w:tcW w:w="2635" w:type="dxa"/>
            <w:gridSpan w:val="2"/>
            <w:tcBorders/>
            <w:vAlign w:val="center"/>
          </w:tcPr>
          <w:p>
            <w:pPr>
              <w:pStyle w:val="TableContents"/>
              <w:bidi w:val="0"/>
              <w:spacing w:before="0" w:after="283"/>
              <w:jc w:val="left"/>
              <w:rPr>
                <w:sz w:val="4"/>
                <w:szCs w:val="4"/>
              </w:rPr>
            </w:pPr>
            <w:r>
              <w:rPr>
                <w:sz w:val="4"/>
                <w:szCs w:val="4"/>
              </w:rPr>
            </w:r>
          </w:p>
        </w:tc>
        <w:tc>
          <w:tcPr>
            <w:tcW w:w="2962" w:type="dxa"/>
            <w:gridSpan w:val="2"/>
            <w:tcBorders/>
            <w:vAlign w:val="center"/>
          </w:tcPr>
          <w:p>
            <w:pPr>
              <w:pStyle w:val="TableContents"/>
              <w:bidi w:val="0"/>
              <w:spacing w:before="0" w:after="283"/>
              <w:jc w:val="left"/>
              <w:rPr>
                <w:sz w:val="4"/>
                <w:szCs w:val="4"/>
              </w:rPr>
            </w:pPr>
            <w:r>
              <w:rPr>
                <w:sz w:val="4"/>
                <w:szCs w:val="4"/>
              </w:rPr>
            </w:r>
          </w:p>
        </w:tc>
        <w:tc>
          <w:tcPr>
            <w:tcW w:w="2549" w:type="dxa"/>
            <w:gridSpan w:val="2"/>
            <w:tcBorders/>
            <w:vAlign w:val="center"/>
          </w:tcPr>
          <w:p>
            <w:pPr>
              <w:pStyle w:val="TableContents"/>
              <w:bidi w:val="0"/>
              <w:spacing w:before="0" w:after="283"/>
              <w:jc w:val="left"/>
              <w:rPr>
                <w:sz w:val="4"/>
                <w:szCs w:val="4"/>
              </w:rPr>
            </w:pPr>
            <w:r>
              <w:rPr>
                <w:sz w:val="4"/>
                <w:szCs w:val="4"/>
              </w:rPr>
            </w:r>
          </w:p>
        </w:tc>
      </w:tr>
      <w:tr>
        <w:trPr/>
        <w:tc>
          <w:tcPr>
            <w:tcW w:w="2059" w:type="dxa"/>
            <w:tcBorders/>
          </w:tcPr>
          <w:p>
            <w:pPr>
              <w:pStyle w:val="TableContents"/>
              <w:bidi w:val="0"/>
              <w:spacing w:before="0" w:after="283"/>
              <w:jc w:val="left"/>
              <w:rPr>
                <w:b/>
              </w:rPr>
            </w:pPr>
            <w:r>
              <w:rPr>
                <w:b/>
              </w:rPr>
              <w:t>AmeriVet Securities</w:t>
            </w:r>
          </w:p>
        </w:tc>
        <w:tc>
          <w:tcPr>
            <w:tcW w:w="90" w:type="dxa"/>
            <w:tcBorders/>
            <w:vAlign w:val="bottom"/>
          </w:tcPr>
          <w:p>
            <w:pPr>
              <w:pStyle w:val="TableContents"/>
              <w:bidi w:val="0"/>
              <w:spacing w:before="0" w:after="283"/>
              <w:jc w:val="left"/>
              <w:rPr/>
            </w:pPr>
            <w:r>
              <w:rPr/>
              <w:t> </w:t>
            </w:r>
          </w:p>
        </w:tc>
        <w:tc>
          <w:tcPr>
            <w:tcW w:w="2545" w:type="dxa"/>
            <w:tcBorders/>
          </w:tcPr>
          <w:p>
            <w:pPr>
              <w:pStyle w:val="TableContents"/>
              <w:bidi w:val="0"/>
              <w:spacing w:before="0" w:after="283"/>
              <w:jc w:val="right"/>
              <w:rPr>
                <w:b/>
              </w:rPr>
            </w:pPr>
            <w:r>
              <w:rPr>
                <w:b/>
              </w:rPr>
              <w:t>Ramirez &amp; Co., Inc.</w:t>
            </w:r>
          </w:p>
        </w:tc>
        <w:tc>
          <w:tcPr>
            <w:tcW w:w="90" w:type="dxa"/>
            <w:tcBorders/>
            <w:vAlign w:val="bottom"/>
          </w:tcPr>
          <w:p>
            <w:pPr>
              <w:pStyle w:val="TableContents"/>
              <w:bidi w:val="0"/>
              <w:spacing w:before="0" w:after="283"/>
              <w:jc w:val="left"/>
              <w:rPr/>
            </w:pPr>
            <w:r>
              <w:rPr/>
              <w:t> </w:t>
            </w:r>
          </w:p>
        </w:tc>
        <w:tc>
          <w:tcPr>
            <w:tcW w:w="2872" w:type="dxa"/>
            <w:tcBorders/>
          </w:tcPr>
          <w:p>
            <w:pPr>
              <w:pStyle w:val="TableContents"/>
              <w:bidi w:val="0"/>
              <w:spacing w:before="0" w:after="283"/>
              <w:jc w:val="right"/>
              <w:rPr>
                <w:b/>
              </w:rPr>
            </w:pPr>
            <w:r>
              <w:rPr>
                <w:b/>
              </w:rPr>
              <w:t>Siebert Williams Shank</w:t>
            </w:r>
          </w:p>
        </w:tc>
        <w:tc>
          <w:tcPr>
            <w:tcW w:w="90" w:type="dxa"/>
            <w:tcBorders/>
            <w:vAlign w:val="bottom"/>
          </w:tcPr>
          <w:p>
            <w:pPr>
              <w:pStyle w:val="TableContents"/>
              <w:bidi w:val="0"/>
              <w:spacing w:before="0" w:after="283"/>
              <w:jc w:val="left"/>
              <w:rPr/>
            </w:pPr>
            <w:r>
              <w:rPr/>
              <w:t> </w:t>
            </w:r>
          </w:p>
        </w:tc>
        <w:tc>
          <w:tcPr>
            <w:tcW w:w="2459" w:type="dxa"/>
            <w:tcBorders/>
          </w:tcPr>
          <w:p>
            <w:pPr>
              <w:pStyle w:val="TableContents"/>
              <w:bidi w:val="0"/>
              <w:spacing w:before="0" w:after="283"/>
              <w:jc w:val="right"/>
              <w:rPr>
                <w:b/>
              </w:rPr>
            </w:pPr>
            <w:r>
              <w:rPr>
                <w:b/>
              </w:rPr>
              <w:t>Telsey Advisory Group</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right"/>
        <w:rPr>
          <w:rFonts w:ascii="Times New Roman" w:hAnsi="Times New Roman"/>
          <w:b/>
          <w:sz w:val="20"/>
        </w:rPr>
      </w:pPr>
      <w:bookmarkStart w:id="31" w:name="d510562dexfilingfees.htm"/>
      <w:bookmarkStart w:id="32" w:name="ksd510562dexfilingfees"/>
      <w:bookmarkEnd w:id="31"/>
      <w:bookmarkEnd w:id="32"/>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424(b)(5)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Flywire Corporation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 Newly Registered and Carry Forward Securities </w:t>
      </w:r>
    </w:p>
    <w:p>
      <w:pPr>
        <w:pStyle w:val="TextBody"/>
        <w:bidi w:val="0"/>
        <w:spacing w:before="0" w:after="0"/>
        <w:jc w:val="left"/>
        <w:rPr/>
      </w:pPr>
      <w:r>
        <w:rPr/>
        <w:t> </w:t>
      </w:r>
    </w:p>
    <w:tbl>
      <w:tblPr>
        <w:tblW w:w="15050" w:type="dxa"/>
        <w:jc w:val="left"/>
        <w:tblInd w:w="0" w:type="dxa"/>
        <w:tblLayout w:type="fixed"/>
        <w:tblCellMar>
          <w:top w:w="0" w:type="dxa"/>
          <w:left w:w="0" w:type="dxa"/>
          <w:bottom w:w="0" w:type="dxa"/>
          <w:right w:w="0" w:type="dxa"/>
        </w:tblCellMar>
      </w:tblPr>
      <w:tblGrid>
        <w:gridCol w:w="785"/>
        <w:gridCol w:w="60"/>
        <w:gridCol w:w="980"/>
        <w:gridCol w:w="60"/>
        <w:gridCol w:w="1220"/>
        <w:gridCol w:w="60"/>
        <w:gridCol w:w="1190"/>
        <w:gridCol w:w="60"/>
        <w:gridCol w:w="1310"/>
        <w:gridCol w:w="60"/>
        <w:gridCol w:w="1070"/>
        <w:gridCol w:w="60"/>
        <w:gridCol w:w="1400"/>
        <w:gridCol w:w="60"/>
        <w:gridCol w:w="1220"/>
        <w:gridCol w:w="60"/>
        <w:gridCol w:w="1160"/>
        <w:gridCol w:w="60"/>
        <w:gridCol w:w="935"/>
        <w:gridCol w:w="60"/>
        <w:gridCol w:w="935"/>
        <w:gridCol w:w="60"/>
        <w:gridCol w:w="935"/>
        <w:gridCol w:w="60"/>
        <w:gridCol w:w="1190"/>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78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8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b/>
              </w:rPr>
            </w:pPr>
            <w:r>
              <w:rPr>
                <w:b/>
              </w:rPr>
              <w:t>Security  </w:t>
              <w:br/>
              <w:t>Type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b/>
              </w:rPr>
            </w:pPr>
            <w:r>
              <w:rPr>
                <w:b/>
              </w:rPr>
              <w:t>Security Class 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b/>
              </w:rPr>
            </w:pPr>
            <w:r>
              <w:rPr>
                <w:b/>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Amount</w:t>
            </w:r>
          </w:p>
          <w:p>
            <w:pPr>
              <w:pStyle w:val="TableContents"/>
              <w:bidi w:val="0"/>
              <w:spacing w:before="0" w:after="20"/>
              <w:jc w:val="center"/>
              <w:rPr>
                <w:rFonts w:ascii="Times New Roman" w:hAnsi="Times New Roman"/>
                <w:b/>
                <w:sz w:val="14"/>
              </w:rPr>
            </w:pPr>
            <w:r>
              <w:rPr>
                <w:rFonts w:ascii="Times New Roman" w:hAnsi="Times New Roman"/>
                <w:b/>
                <w:sz w:val="14"/>
              </w:rP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b/>
              </w:rPr>
            </w:pPr>
            <w:r>
              <w:rPr>
                <w:b/>
              </w:rPr>
              <w:t>Maximum</w:t>
              <w:br/>
              <w:t>Aggregate</w:t>
              <w:br/>
              <w:t>Offering 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b/>
              </w:rPr>
            </w:pPr>
            <w:r>
              <w:rPr>
                <w:b/>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Amount of</w:t>
              <w:br/>
              <w:t>Registration</w:t>
            </w:r>
          </w:p>
          <w:p>
            <w:pPr>
              <w:pStyle w:val="TableContents"/>
              <w:bidi w:val="0"/>
              <w:spacing w:before="0" w:after="20"/>
              <w:jc w:val="center"/>
              <w:rPr>
                <w:rFonts w:ascii="Times New Roman" w:hAnsi="Times New Roman"/>
                <w:b/>
                <w:sz w:val="14"/>
              </w:rPr>
            </w:pPr>
            <w:r>
              <w:rPr>
                <w:rFonts w:ascii="Times New Roman" w:hAnsi="Times New Roman"/>
                <w:b/>
                <w:sz w:val="14"/>
              </w:rPr>
              <w:t>Fee (1)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b/>
              </w:rPr>
            </w:pPr>
            <w:r>
              <w:rPr>
                <w:b/>
              </w:rPr>
              <w:t>Filing Fee</w:t>
              <w:br/>
              <w:t>Previously</w:t>
              <w:br/>
              <w:t>Paid In</w:t>
              <w:br/>
              <w:t>Connection</w:t>
              <w:br/>
              <w:t>with</w:t>
              <w:br/>
              <w:t>Unsold</w:t>
              <w:br/>
              <w:t>Securities</w:t>
              <w:br/>
              <w:t>to be</w:t>
              <w:br/>
              <w:t>Carried</w:t>
              <w:br/>
              <w:t>Forward</w:t>
            </w:r>
          </w:p>
        </w:tc>
      </w:tr>
      <w:tr>
        <w:trPr>
          <w:trHeight w:val="15" w:hRule="atLeast"/>
        </w:trPr>
        <w:tc>
          <w:tcPr>
            <w:tcW w:w="1505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505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b/>
              </w:rPr>
            </w:pPr>
            <w:r>
              <w:rPr>
                <w:b/>
              </w:rPr>
              <w:t>Newly Registered Securities</w:t>
            </w:r>
          </w:p>
        </w:tc>
      </w:tr>
      <w:tr>
        <w:trPr>
          <w:trHeight w:val="15" w:hRule="atLeast"/>
        </w:trPr>
        <w:tc>
          <w:tcPr>
            <w:tcW w:w="78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8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Equity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center"/>
              <w:rPr>
                <w:rFonts w:ascii="Times New Roman" w:hAnsi="Times New Roman"/>
                <w:sz w:val="18"/>
              </w:rPr>
            </w:pPr>
            <w:r>
              <w:rPr>
                <w:rFonts w:ascii="Times New Roman" w:hAnsi="Times New Roman"/>
                <w:sz w:val="18"/>
              </w:rPr>
              <w:t>Voting common  stock, $0.0001  par value </w:t>
            </w:r>
          </w:p>
          <w:p>
            <w:pPr>
              <w:pStyle w:val="TableContents"/>
              <w:bidi w:val="0"/>
              <w:spacing w:before="0" w:after="20"/>
              <w:jc w:val="center"/>
              <w:rPr>
                <w:rFonts w:ascii="Times New Roman" w:hAnsi="Times New Roman"/>
                <w:sz w:val="18"/>
              </w:rPr>
            </w:pPr>
            <w:r>
              <w:rPr>
                <w:rFonts w:ascii="Times New Roman" w:hAnsi="Times New Roman"/>
                <w:sz w:val="18"/>
              </w:rPr>
              <w:t>per share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Rule 457(r)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center"/>
              <w:rPr/>
            </w:pPr>
            <w:r>
              <w:rPr/>
              <w:t>9,200,000(2)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$32.00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$294,400,000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pPr>
            <w:r>
              <w:rPr/>
              <w:t>$0.0001102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$32,442.88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78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8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18"/>
              </w:rPr>
            </w:pPr>
            <w:r>
              <w:rPr>
                <w:rFonts w:ascii="Times New Roman" w:hAnsi="Times New Roman"/>
                <w:sz w:val="18"/>
              </w:rPr>
              <w:t>Fees</w:t>
            </w:r>
          </w:p>
          <w:p>
            <w:pPr>
              <w:pStyle w:val="TableContents"/>
              <w:bidi w:val="0"/>
              <w:spacing w:before="0" w:after="0"/>
              <w:jc w:val="center"/>
              <w:rPr>
                <w:rFonts w:ascii="Times New Roman" w:hAnsi="Times New Roman"/>
                <w:sz w:val="18"/>
              </w:rPr>
            </w:pPr>
            <w:r>
              <w:rPr>
                <w:rFonts w:ascii="Times New Roman" w:hAnsi="Times New Roman"/>
                <w:sz w:val="18"/>
              </w:rPr>
              <w:t>Previously</w:t>
            </w:r>
          </w:p>
          <w:p>
            <w:pPr>
              <w:pStyle w:val="TableContents"/>
              <w:bidi w:val="0"/>
              <w:spacing w:before="0" w:after="20"/>
              <w:jc w:val="center"/>
              <w:rPr>
                <w:rFonts w:ascii="Times New Roman" w:hAnsi="Times New Roman"/>
                <w:sz w:val="18"/>
              </w:rPr>
            </w:pPr>
            <w:r>
              <w:rPr>
                <w:rFonts w:ascii="Times New Roman" w:hAnsi="Times New Roman"/>
                <w:sz w:val="18"/>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505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505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b/>
              </w:rPr>
            </w:pPr>
            <w:r>
              <w:rPr>
                <w:b/>
              </w:rPr>
              <w:t>Carry Forward Securities</w:t>
            </w:r>
          </w:p>
        </w:tc>
      </w:tr>
      <w:tr>
        <w:trPr>
          <w:trHeight w:val="15" w:hRule="atLeast"/>
        </w:trPr>
        <w:tc>
          <w:tcPr>
            <w:tcW w:w="78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8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18"/>
              </w:rPr>
            </w:pPr>
            <w:r>
              <w:rPr>
                <w:rFonts w:ascii="Times New Roman" w:hAnsi="Times New Roman"/>
                <w:sz w:val="18"/>
              </w:rPr>
              <w:t>Carry</w:t>
            </w:r>
          </w:p>
          <w:p>
            <w:pPr>
              <w:pStyle w:val="TableContents"/>
              <w:bidi w:val="0"/>
              <w:spacing w:before="0" w:after="0"/>
              <w:jc w:val="center"/>
              <w:rPr>
                <w:rFonts w:ascii="Times New Roman" w:hAnsi="Times New Roman"/>
                <w:sz w:val="18"/>
              </w:rPr>
            </w:pPr>
            <w:r>
              <w:rPr>
                <w:rFonts w:ascii="Times New Roman" w:hAnsi="Times New Roman"/>
                <w:sz w:val="18"/>
              </w:rPr>
              <w:t>Forward</w:t>
            </w:r>
          </w:p>
          <w:p>
            <w:pPr>
              <w:pStyle w:val="TableContents"/>
              <w:bidi w:val="0"/>
              <w:spacing w:before="0" w:after="20"/>
              <w:jc w:val="center"/>
              <w:rPr>
                <w:rFonts w:ascii="Times New Roman" w:hAnsi="Times New Roman"/>
                <w:sz w:val="18"/>
              </w:rPr>
            </w:pPr>
            <w:r>
              <w:rPr>
                <w:rFonts w:ascii="Times New Roman" w:hAnsi="Times New Roman"/>
                <w:sz w:val="18"/>
              </w:rP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    </w:t>
            </w: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    </w:t>
            </w: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    </w:t>
            </w: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center"/>
              <w:rPr/>
            </w:pPr>
            <w:r>
              <w:rPr/>
              <w:t>    </w:t>
            </w:r>
            <w:r>
              <w:rPr/>
              <w:t>     </w:t>
            </w:r>
          </w:p>
        </w:tc>
      </w:tr>
      <w:tr>
        <w:trPr>
          <w:trHeight w:val="15" w:hRule="atLeast"/>
        </w:trPr>
        <w:tc>
          <w:tcPr>
            <w:tcW w:w="78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4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8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80" w:type="dxa"/>
            <w:gridSpan w:val="7"/>
            <w:tcBorders/>
            <w:vAlign w:val="bottom"/>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$294,400,000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$32,442.88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78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4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8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80" w:type="dxa"/>
            <w:gridSpan w:val="7"/>
            <w:tcBorders/>
            <w:vAlign w:val="bottom"/>
          </w:tcPr>
          <w:p>
            <w:pPr>
              <w:pStyle w:val="TableContents"/>
              <w:bidi w:val="0"/>
              <w:spacing w:before="0" w:after="283"/>
              <w:jc w:val="center"/>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78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4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8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80" w:type="dxa"/>
            <w:gridSpan w:val="7"/>
            <w:tcBorders/>
            <w:vAlign w:val="bottom"/>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78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4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85"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80" w:type="dxa"/>
            <w:gridSpan w:val="7"/>
            <w:tcBorders>
              <w:bottom w:val="single" w:sz="2" w:space="0" w:color="000000"/>
            </w:tcBorders>
            <w:tcMar>
              <w:bottom w:w="28" w:type="dxa"/>
            </w:tcMar>
            <w:vAlign w:val="bottom"/>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center"/>
              <w:rPr/>
            </w:pPr>
            <w:r>
              <w:rPr/>
              <w:t>$32,442.88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in accordance with Rule 457(r) under the Securities Act of 1933, as amended. In accordance with Rules 456(b) and 457(r) of the Securities Act of 1933, as amended, the registrant initially deferred payment of all of the registration fees for Registration Statement on Form S-3ASR No. 333-273835 filed by the registrant on August 9,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1,200,000 shares of registrants voting common stock, $0.0001 par value per share, which may be purchased by the underwriters upon exercise of the underwriters option to purchase additional shares.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80560/000095017023007149/flyw-20221231.htm" TargetMode="External"/><Relationship Id="rId4" Type="http://schemas.openxmlformats.org/officeDocument/2006/relationships/hyperlink" Target="http://www.sec.gov/Archives/edgar/data/../../../ix?doc=/Archives/edgar/data/1580560/000095017023019929/flyw-20230331.htm" TargetMode="External"/><Relationship Id="rId5" Type="http://schemas.openxmlformats.org/officeDocument/2006/relationships/hyperlink" Target="http://www.sec.gov/Archives/edgar/data/../../../ix?doc=/Archives/edgar/data/1580560/000095017023039957/flyw-20230630.htm" TargetMode="External"/><Relationship Id="rId6" Type="http://schemas.openxmlformats.org/officeDocument/2006/relationships/hyperlink" Target="http://www.sec.gov/Archives/edgar/data/../../../ix?doc=/Archives/edgar/data/1580560/000119312523005671/d432856d8k.htm" TargetMode="External"/><Relationship Id="rId7" Type="http://schemas.openxmlformats.org/officeDocument/2006/relationships/hyperlink" Target="http://www.sec.gov/Archives/edgar/data/../../../ix?doc=/Archives/edgar/data/1580560/000119312523164473/d517395d8k.htm" TargetMode="External"/><Relationship Id="rId8" Type="http://schemas.openxmlformats.org/officeDocument/2006/relationships/hyperlink" Target="http://www.sec.gov/Archives/edgar/data/../../../ix?doc=/Archives/edgar/data/1580560/000119312523115432/d359255ddef14a.htm" TargetMode="External"/><Relationship Id="rId9" Type="http://schemas.openxmlformats.org/officeDocument/2006/relationships/hyperlink" Target="http://www.sec.gov/Archives/edgar/data/1580560/000119312521169294/d140633d8a12b.htm" TargetMode="External"/><Relationship Id="rId10" Type="http://schemas.openxmlformats.org/officeDocument/2006/relationships/image" Target="media/image1.jpeg"/><Relationship Id="rId11" Type="http://schemas.openxmlformats.org/officeDocument/2006/relationships/hyperlink" Target="http://www.sec.gov/Archives/edgar/data/../../../ix?doc=/Archives/edgar/data/1580560/000095017023007149/flyw-20221231.htm" TargetMode="External"/><Relationship Id="rId12" Type="http://schemas.openxmlformats.org/officeDocument/2006/relationships/hyperlink" Target="http://www.sec.gov/Archives/edgar/data/../../../ix?doc=/Archives/edgar/data/1580560/000095017023019929/flyw-20230331.htm" TargetMode="External"/><Relationship Id="rId13" Type="http://schemas.openxmlformats.org/officeDocument/2006/relationships/hyperlink" Target="http://www.sec.gov/Archives/edgar/data/../../../ix?doc=/Archives/edgar/data/1580560/000095017023039957/flyw-20230630.htm" TargetMode="External"/><Relationship Id="rId14" Type="http://schemas.openxmlformats.org/officeDocument/2006/relationships/hyperlink" Target="http://www.sec.gov/Archives/edgar/data/../../../ix?doc=/Archives/edgar/data/1580560/000119312523005671/d432856d8k.htm" TargetMode="External"/><Relationship Id="rId15" Type="http://schemas.openxmlformats.org/officeDocument/2006/relationships/hyperlink" Target="http://www.sec.gov/Archives/edgar/data/../../../ix?doc=/Archives/edgar/data/1580560/000119312523164473/d517395d8k.htm" TargetMode="External"/><Relationship Id="rId16" Type="http://schemas.openxmlformats.org/officeDocument/2006/relationships/hyperlink" Target="http://www.sec.gov/Archives/edgar/data/../../../ix?doc=/Archives/edgar/data/1580560/000119312523115432/d359255ddef14a.htm" TargetMode="External"/><Relationship Id="rId17" Type="http://schemas.openxmlformats.org/officeDocument/2006/relationships/hyperlink" Target="http://www.sec.gov/Archives/edgar/data/1580560/000119312521169294/d140633d8a12b.htm" TargetMode="External"/><Relationship Id="rId18" Type="http://schemas.openxmlformats.org/officeDocument/2006/relationships/hyperlink" Target="http://www.sec.gov/Archives/edgar/data/1580560/000095017022004937/flyw-ex4_1.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17502</Words>
  <Characters>92618</Characters>
  <CharactersWithSpaces>110492</CharactersWithSpaces>
  <Paragraphs>1603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