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85"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500" w:type="dxa"/>
            <w:vAlign w:val="bottom"/>
            <w:gridSpan w:val="7"/>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BAIN CAPITAL VENTURE</w:t>
              </w:r>
            </w:hyperlink>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500" w:type="dxa"/>
            <w:vAlign w:val="bottom"/>
            <w:gridSpan w:val="7"/>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500" w:type="dxa"/>
            <w:vAlign w:val="bottom"/>
            <w:gridSpan w:val="7"/>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Director</w:t>
            </w:r>
          </w:p>
        </w:tc>
        <w:tc>
          <w:tcPr>
            <w:tcW w:w="16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500" w:type="dxa"/>
            <w:vAlign w:val="bottom"/>
            <w:gridSpan w:val="7"/>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60" w:type="dxa"/>
            <w:vAlign w:val="bottom"/>
            <w:tcBorders>
              <w:top w:val="single" w:sz="8" w:color="0000EE"/>
            </w:tcBorders>
            <w:gridSpan w:val="4"/>
            <w:vMerge w:val="restart"/>
          </w:tcPr>
          <w:p>
            <w:pPr>
              <w:spacing w:after="0" w:line="207" w:lineRule="exact"/>
              <w:rPr>
                <w:rFonts w:ascii="Times New Roman" w:cs="Times New Roman" w:eastAsia="Times New Roman" w:hAnsi="Times New Roman"/>
                <w:sz w:val="21"/>
                <w:szCs w:val="21"/>
                <w:color w:val="0000EE"/>
                <w:w w:val="98"/>
              </w:rPr>
            </w:pPr>
            <w:hyperlink r:id="rId12">
              <w:r>
                <w:rPr>
                  <w:rFonts w:ascii="Times New Roman" w:cs="Times New Roman" w:eastAsia="Times New Roman" w:hAnsi="Times New Roman"/>
                  <w:sz w:val="21"/>
                  <w:szCs w:val="21"/>
                  <w:color w:val="0000EE"/>
                  <w:w w:val="98"/>
                </w:rPr>
                <w:t>INVESTORS, LLC</w:t>
              </w:r>
            </w:hyperlink>
          </w:p>
        </w:tc>
        <w:tc>
          <w:tcPr>
            <w:tcW w:w="6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Borders>
              <w:bottom w:val="single" w:sz="8" w:color="0000EE"/>
            </w:tcBorders>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4"/>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2C2C2C"/>
              <w:bottom w:val="single" w:sz="8" w:color="2C2C2C"/>
            </w:tcBorders>
          </w:tcPr>
          <w:p>
            <w:pPr>
              <w:spacing w:after="0"/>
              <w:rPr>
                <w:sz w:val="10"/>
                <w:szCs w:val="10"/>
                <w:color w:val="auto"/>
              </w:rPr>
            </w:pPr>
          </w:p>
        </w:tc>
        <w:tc>
          <w:tcPr>
            <w:tcW w:w="2920" w:type="dxa"/>
            <w:vAlign w:val="bottom"/>
            <w:tcBorders>
              <w:top w:val="single" w:sz="8" w:color="2C2C2C"/>
              <w:bottom w:val="single" w:sz="8" w:color="2C2C2C"/>
            </w:tcBorders>
            <w:gridSpan w:val="9"/>
          </w:tcPr>
          <w:p>
            <w:pPr>
              <w:spacing w:after="0" w:line="126" w:lineRule="exact"/>
              <w:rPr>
                <w:sz w:val="20"/>
                <w:szCs w:val="20"/>
                <w:color w:val="auto"/>
              </w:rPr>
            </w:pPr>
            <w:r>
              <w:rPr>
                <w:rFonts w:ascii="Arial" w:cs="Arial" w:eastAsia="Arial" w:hAnsi="Arial"/>
                <w:sz w:val="13"/>
                <w:szCs w:val="13"/>
                <w:color w:val="auto"/>
              </w:rPr>
              <w:t>3. Date of Earliest Transaction (Month/Day/Year)</w:t>
            </w:r>
          </w:p>
        </w:tc>
        <w:tc>
          <w:tcPr>
            <w:tcW w:w="500" w:type="dxa"/>
            <w:vAlign w:val="bottom"/>
            <w:tcBorders>
              <w:top w:val="single" w:sz="8" w:color="2C2C2C"/>
            </w:tcBorders>
          </w:tcPr>
          <w:p>
            <w:pPr>
              <w:spacing w:after="0"/>
              <w:rPr>
                <w:sz w:val="10"/>
                <w:szCs w:val="10"/>
                <w:color w:val="auto"/>
              </w:rPr>
            </w:pPr>
          </w:p>
        </w:tc>
        <w:tc>
          <w:tcPr>
            <w:tcW w:w="80" w:type="dxa"/>
            <w:vAlign w:val="bottom"/>
            <w:tcBorders>
              <w:top w:val="single" w:sz="8" w:color="2C2C2C"/>
            </w:tcBorders>
          </w:tcPr>
          <w:p>
            <w:pPr>
              <w:spacing w:after="0"/>
              <w:rPr>
                <w:sz w:val="10"/>
                <w:szCs w:val="10"/>
                <w:color w:val="auto"/>
              </w:rPr>
            </w:pPr>
          </w:p>
        </w:tc>
        <w:tc>
          <w:tcPr>
            <w:tcW w:w="160" w:type="dxa"/>
            <w:vAlign w:val="bottom"/>
            <w:tcBorders>
              <w:top w:val="single" w:sz="8" w:color="2C2C2C"/>
            </w:tcBorders>
          </w:tcPr>
          <w:p>
            <w:pPr>
              <w:spacing w:after="0"/>
              <w:rPr>
                <w:sz w:val="10"/>
                <w:szCs w:val="10"/>
                <w:color w:val="auto"/>
              </w:rPr>
            </w:pPr>
          </w:p>
        </w:tc>
        <w:tc>
          <w:tcPr>
            <w:tcW w:w="80" w:type="dxa"/>
            <w:vAlign w:val="bottom"/>
            <w:tcBorders>
              <w:top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gridSpan w:val="2"/>
          </w:tcPr>
          <w:p>
            <w:pPr>
              <w:ind w:left="20"/>
              <w:spacing w:after="0" w:line="126" w:lineRule="exact"/>
              <w:rPr>
                <w:sz w:val="20"/>
                <w:szCs w:val="20"/>
                <w:color w:val="auto"/>
              </w:rPr>
            </w:pPr>
            <w:r>
              <w:rPr>
                <w:rFonts w:ascii="Arial" w:cs="Arial" w:eastAsia="Arial" w:hAnsi="Arial"/>
                <w:sz w:val="13"/>
                <w:szCs w:val="13"/>
                <w:color w:val="auto"/>
              </w:rPr>
              <w:t>below)</w:t>
            </w:r>
          </w:p>
        </w:tc>
        <w:tc>
          <w:tcPr>
            <w:tcW w:w="88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0"/>
                <w:szCs w:val="20"/>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(Middle)</w:t>
            </w:r>
          </w:p>
        </w:tc>
        <w:tc>
          <w:tcPr>
            <w:tcW w:w="1080" w:type="dxa"/>
            <w:vAlign w:val="bottom"/>
            <w:gridSpan w:val="8"/>
          </w:tcPr>
          <w:p>
            <w:pPr>
              <w:ind w:left="280"/>
              <w:spacing w:after="0"/>
              <w:rPr>
                <w:sz w:val="20"/>
                <w:szCs w:val="20"/>
                <w:color w:val="auto"/>
              </w:rPr>
            </w:pPr>
            <w:r>
              <w:rPr>
                <w:rFonts w:ascii="Times New Roman" w:cs="Times New Roman" w:eastAsia="Times New Roman" w:hAnsi="Times New Roman"/>
                <w:sz w:val="17"/>
                <w:szCs w:val="17"/>
                <w:color w:val="0000FF"/>
              </w:rPr>
              <w:t>06/03/2022</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2840" w:type="dxa"/>
            <w:vAlign w:val="bottom"/>
            <w:gridSpan w:val="6"/>
            <w:vMerge w:val="restart"/>
          </w:tcPr>
          <w:p>
            <w:pPr>
              <w:ind w:left="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0000FF"/>
              </w:rPr>
              <w:t>MA</w:t>
            </w:r>
          </w:p>
        </w:tc>
        <w:tc>
          <w:tcPr>
            <w:tcW w:w="12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02116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840" w:type="dxa"/>
            <w:vAlign w:val="bottom"/>
            <w:gridSpan w:val="6"/>
          </w:tcPr>
          <w:p>
            <w:pPr>
              <w:ind w:left="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Person</w:t>
            </w: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6"/>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4"/>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7"/>
          </w:tcPr>
          <w:p>
            <w:pPr>
              <w:ind w:left="40"/>
              <w:spacing w:after="0"/>
              <w:rPr>
                <w:sz w:val="20"/>
                <w:szCs w:val="20"/>
                <w:color w:val="auto"/>
              </w:rPr>
            </w:pPr>
            <w:r>
              <w:rPr>
                <w:rFonts w:ascii="Arial" w:cs="Arial" w:eastAsia="Arial" w:hAnsi="Arial"/>
                <w:sz w:val="12"/>
                <w:szCs w:val="12"/>
                <w:b w:val="1"/>
                <w:bCs w:val="1"/>
                <w:color w:val="auto"/>
              </w:rPr>
              <w:t>2A. Deemed</w:t>
            </w:r>
          </w:p>
        </w:tc>
        <w:tc>
          <w:tcPr>
            <w:tcW w:w="4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82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5. Amount of</w:t>
            </w:r>
          </w:p>
        </w:tc>
        <w:tc>
          <w:tcPr>
            <w:tcW w:w="30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16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7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30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0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2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6"/>
                <w:szCs w:val="6"/>
                <w:color w:val="auto"/>
              </w:rPr>
            </w:pPr>
          </w:p>
        </w:tc>
        <w:tc>
          <w:tcPr>
            <w:tcW w:w="8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ind w:left="320"/>
              <w:spacing w:after="0"/>
              <w:rPr>
                <w:sz w:val="20"/>
                <w:szCs w:val="20"/>
                <w:color w:val="auto"/>
              </w:rPr>
            </w:pPr>
            <w:r>
              <w:rPr>
                <w:rFonts w:ascii="Arial" w:cs="Arial" w:eastAsia="Arial" w:hAnsi="Arial"/>
                <w:sz w:val="12"/>
                <w:szCs w:val="12"/>
                <w:b w:val="1"/>
                <w:bCs w:val="1"/>
                <w:color w:val="auto"/>
              </w:rPr>
              <w:t>(D)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(Instr. 3 and 4)</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40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06/03/2022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ind w:left="80"/>
              <w:spacing w:after="0" w:line="280" w:lineRule="exact"/>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16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1,240,490   D</w:t>
            </w:r>
          </w:p>
        </w:tc>
        <w:tc>
          <w:tcPr>
            <w:tcW w:w="500" w:type="dxa"/>
            <w:vAlign w:val="bottom"/>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4"/>
          </w:tcPr>
          <w:p>
            <w:pPr>
              <w:jc w:val="right"/>
              <w:ind w:right="113"/>
              <w:spacing w:after="0"/>
              <w:rPr>
                <w:sz w:val="20"/>
                <w:szCs w:val="20"/>
                <w:color w:val="auto"/>
              </w:rPr>
            </w:pPr>
            <w:r>
              <w:rPr>
                <w:rFonts w:ascii="Times New Roman" w:cs="Times New Roman" w:eastAsia="Times New Roman" w:hAnsi="Times New Roman"/>
                <w:sz w:val="17"/>
                <w:szCs w:val="17"/>
                <w:color w:val="0000FF"/>
                <w:w w:val="99"/>
              </w:rPr>
              <w:t>15,299,374</w:t>
            </w:r>
          </w:p>
        </w:tc>
        <w:tc>
          <w:tcPr>
            <w:tcW w:w="8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(3)(4)(5)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(6)(7)(8)</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6"/>
          </w:tcPr>
          <w:p>
            <w:pPr>
              <w:spacing w:after="0"/>
              <w:rPr>
                <w:sz w:val="7"/>
                <w:szCs w:val="7"/>
                <w:color w:val="auto"/>
              </w:rPr>
            </w:pPr>
          </w:p>
        </w:tc>
        <w:tc>
          <w:tcPr>
            <w:tcW w:w="440" w:type="dxa"/>
            <w:vAlign w:val="bottom"/>
            <w:tcBorders>
              <w:bottom w:val="single" w:sz="8" w:color="2C2C2C"/>
            </w:tcBorders>
            <w:gridSpan w:val="3"/>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23"/>
          </w:tcPr>
          <w:p>
            <w:pPr>
              <w:jc w:val="center"/>
              <w:ind w:right="6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0" w:type="dxa"/>
            <w:vAlign w:val="bottom"/>
            <w:gridSpan w:val="20"/>
          </w:tcPr>
          <w:p>
            <w:pPr>
              <w:jc w:val="center"/>
              <w:ind w:left="1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20" w:type="dxa"/>
            <w:vAlign w:val="bottom"/>
          </w:tcPr>
          <w:p>
            <w:pPr>
              <w:spacing w:after="0"/>
              <w:rPr>
                <w:sz w:val="15"/>
                <w:szCs w:val="15"/>
                <w:color w:val="auto"/>
              </w:rPr>
            </w:pP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5"/>
          </w:tcPr>
          <w:p>
            <w:pPr>
              <w:ind w:left="20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8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300" w:type="dxa"/>
            <w:vAlign w:val="bottom"/>
          </w:tcPr>
          <w:p>
            <w:pPr>
              <w:spacing w:after="0"/>
              <w:rPr>
                <w:sz w:val="11"/>
                <w:szCs w:val="11"/>
                <w:color w:val="auto"/>
              </w:rPr>
            </w:pP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4"/>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gridSpan w:val="5"/>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900" w:type="dxa"/>
            <w:vAlign w:val="bottom"/>
            <w:gridSpan w:val="5"/>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BAIN CAPITAL VENTURE INVESTORS,</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Bain Capital Venture Coinvestment Fund II,</w:t>
        </w:r>
      </w:hyperlink>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BCV 2019-MD Coinvestment II, L.P.</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85" w:orient="portrait"/>
          <w:cols w:equalWidth="0" w:num="1">
            <w:col w:w="11080"/>
          </w:cols>
          <w:pgMar w:left="460" w:top="219" w:right="359" w:bottom="0" w:gutter="0" w:footer="0" w:header="0"/>
          <w:type w:val="continuous"/>
        </w:sectPr>
      </w:pP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STREET</w:t>
      </w:r>
    </w:p>
    <w:p>
      <w:pPr>
        <w:sectPr>
          <w:pgSz w:w="11900" w:h="16885" w:orient="portrait"/>
          <w:cols w:equalWidth="0" w:num="1">
            <w:col w:w="11080"/>
          </w:cols>
          <w:pgMar w:left="460" w:top="219" w:right="359" w:bottom="0" w:gutter="0" w:footer="0" w:header="0"/>
          <w:type w:val="continuous"/>
        </w:sectPr>
      </w:pPr>
    </w:p>
    <w:bookmarkStart w:id="1" w:name="page2"/>
    <w:bookmarkEnd w:id="1"/>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Bain Capital Venture Coinvestment II Investors,</w:t>
        </w:r>
      </w:hyperlink>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BAIN CAPITAL VENTURE FUND 2014,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Bain Capital Venture Partners 2014,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Bain Capital Venture Fund 2016,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Bain Capital Venture Partners 2016,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BCIP Venture Associates</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3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71" w:orient="portrait"/>
          <w:cols w:equalWidth="0" w:num="1">
            <w:col w:w="9979"/>
          </w:cols>
          <w:pgMar w:left="480" w:top="460" w:right="1440" w:bottom="0" w:gutter="0" w:footer="0" w:header="0"/>
        </w:sectPr>
      </w:pPr>
    </w:p>
    <w:p>
      <w:pPr>
        <w:spacing w:after="0" w:line="35"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BOSTON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7"/>
          <w:szCs w:val="17"/>
          <w:color w:val="0000FF"/>
        </w:rPr>
        <w:t>02116</w:t>
      </w:r>
    </w:p>
    <w:p>
      <w:pPr>
        <w:sectPr>
          <w:pgSz w:w="11900" w:h="16871" w:orient="portrait"/>
          <w:cols w:equalWidth="0" w:num="1">
            <w:col w:w="9979"/>
          </w:cols>
          <w:pgMar w:left="480" w:top="460" w:right="1440" w:bottom="0" w:gutter="0" w:footer="0" w:header="0"/>
          <w:type w:val="continuous"/>
        </w:sectPr>
      </w:pPr>
    </w:p>
    <w:bookmarkStart w:id="2" w:name="page3"/>
    <w:bookmarkEnd w:id="2"/>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026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2026285"/>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BCIP VENTURE ASSOCIATES-B</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2022 Bain Capital Venture Fund 2014, L.P. ("Venture Fund 2014") sold 1,017,977 shares of the Issuer's Voting Common Stock, Bain Capital Venture Fund 2016, L.P. ("Venture Fund 2016") sold 67,862 shares of the Issuer's Voting Common Stock, Bain Capital Venture Coinvestment Fund II, L.P. ("Venture Coinvestment Fund II") sold 31,770 shares of the Issuer's Voting Common Stock, BCV 2019-MD Coinvestment II, L.P. ("2019-MD Coinvestment II") sold 1,271 shares of the Issuer's Voting Common Stock, BCIP Venture Associates ("BCIP Venture") sold 103,781 shares of the Issuer's Voting Common Stock, BCIP Venture Associates B ("BCIP Venture-B") sold 6,982 shares of the Issuer's Voting Common Stock, BCIP Venture Associates II, LP ("BCIP Venture II") sold 10,086 shares of the Issuer's Voting Common Stock,</w:t>
      </w:r>
    </w:p>
    <w:p>
      <w:pPr>
        <w:spacing w:after="0" w:line="26" w:lineRule="exact"/>
        <w:rPr>
          <w:rFonts w:ascii="Times New Roman" w:cs="Times New Roman" w:eastAsia="Times New Roman" w:hAnsi="Times New Roman"/>
          <w:sz w:val="13"/>
          <w:szCs w:val="13"/>
          <w:color w:val="008000"/>
        </w:rPr>
      </w:pPr>
    </w:p>
    <w:p>
      <w:pPr>
        <w:ind w:right="6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and BCIP Venture Associates II-B, LP ("BCIP Venture II-B" and, together with Venture Fund 2014, Venture Fund 2016, Venture Coinvestment Fund II, 2019-MD Coinvestment II, BCIP Venture, BCIP Venture-B and BCIP Venture II, the "Bain Capital Venture Entities"), sold 761 shares of the Issuer's Voting Common Stock, in each case pursuant to Rule 144 under the Securities Act of 1933, as amended.</w:t>
      </w:r>
    </w:p>
    <w:p>
      <w:pPr>
        <w:spacing w:after="0" w:line="20" w:lineRule="exact"/>
        <w:rPr>
          <w:rFonts w:ascii="Times New Roman" w:cs="Times New Roman" w:eastAsia="Times New Roman" w:hAnsi="Times New Roman"/>
          <w:sz w:val="13"/>
          <w:szCs w:val="13"/>
          <w:color w:val="008000"/>
        </w:rPr>
      </w:pPr>
    </w:p>
    <w:p>
      <w:pPr>
        <w:ind w:right="8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12,555,058 shares of the Issuer's Voting Common Stock held directly by Venture Fund 2014, 836,959 shares of the Issuer's Voting Common Stock held directly by Venture Fund 2016, 1,279,972 shares of the Issuer's Voting Common Stock held directly by BCIP Venture, 86,114 shares of the Issuer's Voting Common Stock held directly by BCIP Venture-B, 124,389 shares of the Issuer's Voting Common Stock held directly by BCIP Venture II, 9,379 shares of the Issuer's Voting Common Stock held directly by BCIP Venture II-B, 391,830 shares of the Issuer's Voting Common Stock held directly by Venture Coinvestment Fund II and 15,673 shares of the Issuer's Voting Common Stock held directly by 2019-MD Coinvestment II, in each case, after giving effect to the sales referenced in footnote 1 above.</w:t>
      </w:r>
    </w:p>
    <w:p>
      <w:pPr>
        <w:spacing w:after="0" w:line="26" w:lineRule="exact"/>
        <w:rPr>
          <w:rFonts w:ascii="Times New Roman" w:cs="Times New Roman" w:eastAsia="Times New Roman" w:hAnsi="Times New Roman"/>
          <w:sz w:val="13"/>
          <w:szCs w:val="13"/>
          <w:color w:val="008000"/>
        </w:rPr>
      </w:pPr>
    </w:p>
    <w:p>
      <w:pPr>
        <w:ind w:right="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Bain Capital Venture Investors, LLC ("BCVI") is (i) the general partner of Bain Capital Venture Partners 2014, L.P. ("Venture Partners 2014"), which is the general partner of Venture Fund 2014. As a result, Venture Partners 2014 may be deemed to share voting and dispositive power with respect to the securities held by Venture Fund 2014. Venture Partners 2014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jc w:val="both"/>
        <w:ind w:right="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BCVI is the general partner of Bain Capital Venture Partners 2016, L.P. ("Venture Partners 2016"), which is the general partner of Venture Fund 2016. As a result, Venture Partners 2016 may be deemed to share voting and dispositive power with respect to the securities held by Venture Fund 2016. Venture Partners 2016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ind w:right="6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BCVI is the manager of Bain Capital Venture Coinvestment II Investors, LLC ("Venture Coinvestment II Investors"), which is the general partner of each of Venture Coinvestment Fund II and 2019-MD Coinvestment II. As a result, Venture Coinvestment II Investors may be deemed to share voting and dispositive power with respect to the securities held by each of Venture Coinvestment Fund II and 2019-MD Coinvestment II. Venture Coinvestment II Investors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Boylston Coinvestors, LLC is (i) the managing partner of each of BCIP Venture and BCIP Venture-B and (ii) the general partner of each of BCIP Venture II and BCIP Venture II-B.</w:t>
      </w:r>
    </w:p>
    <w:p>
      <w:pPr>
        <w:spacing w:after="0" w:line="50" w:lineRule="exact"/>
        <w:rPr>
          <w:rFonts w:ascii="Times New Roman" w:cs="Times New Roman" w:eastAsia="Times New Roman" w:hAnsi="Times New Roman"/>
          <w:sz w:val="13"/>
          <w:szCs w:val="13"/>
          <w:color w:val="008000"/>
        </w:rPr>
      </w:pPr>
    </w:p>
    <w:p>
      <w:pPr>
        <w:ind w:right="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governance, investment strategy and decision-making process with respect to the investments held by the Bain Capital Venture Entities is directed by the Executive Committee of BCVI, which consists of Enrique Salem and Ajay Agarwal. As a result, BCVI and Messrs. Salem and Agarwal may be deemed to share voting and dispositive power with respect to all of the securities held by the Bain Capital Venture Entities. BCVI and Messrs. Salem and Agarwal disclaim beneficial ownership of such securities except to the extent of its or his pecuniary interest therein.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Form 1 of 2.</w:t>
      </w:r>
    </w:p>
    <w:p>
      <w:pPr>
        <w:sectPr>
          <w:pgSz w:w="11900" w:h="16838" w:orient="portrait"/>
          <w:cols w:equalWidth="0" w:num="1">
            <w:col w:w="10880"/>
          </w:cols>
          <w:pgMar w:left="500" w:top="433" w:right="519" w:bottom="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22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Investors,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15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12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60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2014,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Partners 2014,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Venture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2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2014,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12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60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2016,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Partners 2016,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Venture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1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26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2016,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12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226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Coinvestment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9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Coinvestment II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1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226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20" w:space="120"/>
            <w:col w:w="2140"/>
          </w:cols>
          <w:pgMar w:left="500" w:top="433" w:right="51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Investors, 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4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71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1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BCV 2019-MD Coinvestment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58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II,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Coinvestment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Investors,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0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10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By: /s/ Matthew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1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Harris,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75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226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Coinvestment II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By: /s/ Matthew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1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Harris,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75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BCIP Venture Associates,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58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Boylston Coinvestors,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managing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12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BCIP Venture Associates-B,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96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Boylston Coinvestors,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99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71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22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0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24"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2" Type="http://schemas.openxmlformats.org/officeDocument/2006/relationships/hyperlink" Target="http://www.sec.gov/cgi-bin/browse-edgar?action=getcompany&amp;CIK=0001309469" TargetMode="External"/><Relationship Id="rId13" Type="http://schemas.openxmlformats.org/officeDocument/2006/relationships/hyperlink" Target="http://www.sec.gov/cgi-bin/browse-edgar?action=getcompany&amp;CIK=0001580560" TargetMode="External"/><Relationship Id="rId15" Type="http://schemas.openxmlformats.org/officeDocument/2006/relationships/hyperlink" Target="http://www.sec.gov/cgi-bin/browse-edgar?action=getcompany&amp;CIK=0001756820" TargetMode="External"/><Relationship Id="rId16" Type="http://schemas.openxmlformats.org/officeDocument/2006/relationships/hyperlink" Target="http://www.sec.gov/cgi-bin/browse-edgar?action=getcompany&amp;CIK=0001758683" TargetMode="External"/><Relationship Id="rId18" Type="http://schemas.openxmlformats.org/officeDocument/2006/relationships/hyperlink" Target="http://www.sec.gov/cgi-bin/browse-edgar?action=getcompany&amp;CIK=0001862142" TargetMode="External"/><Relationship Id="rId19" Type="http://schemas.openxmlformats.org/officeDocument/2006/relationships/hyperlink" Target="http://www.sec.gov/cgi-bin/browse-edgar?action=getcompany&amp;CIK=0001609330" TargetMode="External"/><Relationship Id="rId20" Type="http://schemas.openxmlformats.org/officeDocument/2006/relationships/hyperlink" Target="http://www.sec.gov/cgi-bin/browse-edgar?action=getcompany&amp;CIK=0001767194" TargetMode="External"/><Relationship Id="rId21" Type="http://schemas.openxmlformats.org/officeDocument/2006/relationships/hyperlink" Target="http://www.sec.gov/cgi-bin/browse-edgar?action=getcompany&amp;CIK=0001678394" TargetMode="External"/><Relationship Id="rId22" Type="http://schemas.openxmlformats.org/officeDocument/2006/relationships/hyperlink" Target="http://www.sec.gov/cgi-bin/browse-edgar?action=getcompany&amp;CIK=0001862138" TargetMode="External"/><Relationship Id="rId23" Type="http://schemas.openxmlformats.org/officeDocument/2006/relationships/hyperlink" Target="http://www.sec.gov/cgi-bin/browse-edgar?action=getcompany&amp;CIK=0001408649" TargetMode="External"/><Relationship Id="rId25" Type="http://schemas.openxmlformats.org/officeDocument/2006/relationships/hyperlink" Target="http://www.sec.gov/cgi-bin/browse-edgar?action=getcompany&amp;CIK=00014086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2022-06-07T16:26:38Z</dcterms:created>
  <dcterms:modified xsi:type="dcterms:W3CDTF">2022-06-07T16:26:38Z</dcterms:modified>
</cp:coreProperties>
</file>