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9427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784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00" w:space="44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12/08/2022</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86"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3" w:lineRule="exact"/>
        <w:rPr>
          <w:sz w:val="24"/>
          <w:szCs w:val="24"/>
          <w:color w:val="auto"/>
        </w:rPr>
      </w:pPr>
    </w:p>
    <w:p>
      <w:pPr>
        <w:sectPr>
          <w:pgSz w:w="11900" w:h="16838" w:orient="portrait"/>
          <w:cols w:equalWidth="0" w:num="3">
            <w:col w:w="3180" w:space="720"/>
            <w:col w:w="3101" w:space="720"/>
            <w:col w:w="3359"/>
          </w:cols>
          <w:pgMar w:left="460" w:top="215" w:right="359" w:bottom="0" w:gutter="0" w:footer="0" w:header="0"/>
          <w:type w:val="continuous"/>
        </w:sectPr>
      </w:pP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1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20" w:lineRule="exact"/>
        <w:rPr>
          <w:sz w:val="24"/>
          <w:szCs w:val="24"/>
          <w:color w:val="auto"/>
        </w:rPr>
      </w:pPr>
    </w:p>
    <w:p>
      <w:pPr>
        <w:jc w:val="both"/>
        <w:ind w:left="4020"/>
        <w:spacing w:after="0"/>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0" w:lineRule="exact"/>
        <w:rPr>
          <w:sz w:val="24"/>
          <w:szCs w:val="24"/>
          <w:color w:val="auto"/>
        </w:rPr>
      </w:pPr>
    </w:p>
    <w:p>
      <w:pPr>
        <w:sectPr>
          <w:pgSz w:w="11900" w:h="16838" w:orient="portrait"/>
          <w:cols w:equalWidth="0" w:num="2">
            <w:col w:w="3740" w:space="16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67"/>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12/08/2022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92,320</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9"/>
                <w:szCs w:val="19"/>
                <w:color w:val="auto"/>
              </w:rPr>
            </w:pPr>
          </w:p>
        </w:tc>
        <w:tc>
          <w:tcPr>
            <w:tcW w:w="1480" w:type="dxa"/>
            <w:vAlign w:val="bottom"/>
            <w:gridSpan w:val="2"/>
          </w:tcPr>
          <w:p>
            <w:pPr>
              <w:jc w:val="right"/>
              <w:ind w:right="582"/>
              <w:spacing w:after="0"/>
              <w:rPr>
                <w:sz w:val="20"/>
                <w:szCs w:val="20"/>
                <w:color w:val="auto"/>
              </w:rPr>
            </w:pPr>
            <w:r>
              <w:rPr>
                <w:rFonts w:ascii="Times New Roman" w:cs="Times New Roman" w:eastAsia="Times New Roman" w:hAnsi="Times New Roman"/>
                <w:sz w:val="16"/>
                <w:szCs w:val="16"/>
                <w:color w:val="0000FF"/>
              </w:rPr>
              <w:t>1,128,027</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12/08/2022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92,320</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21.37</w:t>
            </w:r>
          </w:p>
        </w:tc>
        <w:tc>
          <w:tcPr>
            <w:tcW w:w="60" w:type="dxa"/>
            <w:vAlign w:val="bottom"/>
          </w:tcPr>
          <w:p>
            <w:pPr>
              <w:spacing w:after="0"/>
              <w:rPr>
                <w:sz w:val="20"/>
                <w:szCs w:val="20"/>
                <w:color w:val="auto"/>
              </w:rPr>
            </w:pPr>
          </w:p>
        </w:tc>
        <w:tc>
          <w:tcPr>
            <w:tcW w:w="1480" w:type="dxa"/>
            <w:vAlign w:val="bottom"/>
            <w:gridSpan w:val="2"/>
            <w:vMerge w:val="restart"/>
          </w:tcPr>
          <w:p>
            <w:pPr>
              <w:jc w:val="right"/>
              <w:ind w:right="582"/>
              <w:spacing w:after="0"/>
              <w:rPr>
                <w:sz w:val="20"/>
                <w:szCs w:val="20"/>
                <w:color w:val="auto"/>
              </w:rPr>
            </w:pPr>
            <w:r>
              <w:rPr>
                <w:rFonts w:ascii="Times New Roman" w:cs="Times New Roman" w:eastAsia="Times New Roman" w:hAnsi="Times New Roman"/>
                <w:sz w:val="16"/>
                <w:szCs w:val="16"/>
                <w:color w:val="0000FF"/>
              </w:rPr>
              <w:t>1,035,707</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12/09/2022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65,918</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22"/>
                <w:szCs w:val="22"/>
                <w:color w:val="auto"/>
              </w:rPr>
            </w:pPr>
          </w:p>
        </w:tc>
        <w:tc>
          <w:tcPr>
            <w:tcW w:w="1480" w:type="dxa"/>
            <w:vAlign w:val="bottom"/>
            <w:gridSpan w:val="2"/>
          </w:tcPr>
          <w:p>
            <w:pPr>
              <w:jc w:val="right"/>
              <w:ind w:right="582"/>
              <w:spacing w:after="0"/>
              <w:rPr>
                <w:sz w:val="20"/>
                <w:szCs w:val="20"/>
                <w:color w:val="auto"/>
              </w:rPr>
            </w:pPr>
            <w:r>
              <w:rPr>
                <w:rFonts w:ascii="Times New Roman" w:cs="Times New Roman" w:eastAsia="Times New Roman" w:hAnsi="Times New Roman"/>
                <w:sz w:val="16"/>
                <w:szCs w:val="16"/>
                <w:color w:val="0000FF"/>
              </w:rPr>
              <w:t>1,291,669</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12/09/2022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65,918</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21.21</w:t>
            </w:r>
          </w:p>
        </w:tc>
        <w:tc>
          <w:tcPr>
            <w:tcW w:w="60" w:type="dxa"/>
            <w:vAlign w:val="bottom"/>
          </w:tcPr>
          <w:p>
            <w:pPr>
              <w:spacing w:after="0"/>
              <w:rPr>
                <w:sz w:val="20"/>
                <w:szCs w:val="20"/>
                <w:color w:val="auto"/>
              </w:rPr>
            </w:pPr>
          </w:p>
        </w:tc>
        <w:tc>
          <w:tcPr>
            <w:tcW w:w="1480" w:type="dxa"/>
            <w:vAlign w:val="bottom"/>
            <w:gridSpan w:val="2"/>
            <w:vMerge w:val="restart"/>
          </w:tcPr>
          <w:p>
            <w:pPr>
              <w:jc w:val="right"/>
              <w:ind w:right="582"/>
              <w:spacing w:after="0"/>
              <w:rPr>
                <w:sz w:val="20"/>
                <w:szCs w:val="20"/>
                <w:color w:val="auto"/>
              </w:rPr>
            </w:pPr>
            <w:r>
              <w:rPr>
                <w:rFonts w:ascii="Times New Roman" w:cs="Times New Roman" w:eastAsia="Times New Roman" w:hAnsi="Times New Roman"/>
                <w:sz w:val="16"/>
                <w:szCs w:val="16"/>
                <w:color w:val="0000FF"/>
              </w:rPr>
              <w:t>1,225,751</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59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gridSpan w:val="9"/>
          </w:tcPr>
          <w:p>
            <w:pPr>
              <w:jc w:val="center"/>
              <w:ind w:left="23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Form:</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5"/>
                <w:szCs w:val="5"/>
                <w:color w:val="auto"/>
              </w:rPr>
            </w:pP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92,320</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38" w:lineRule="exact"/>
              <w:rPr>
                <w:sz w:val="20"/>
                <w:szCs w:val="20"/>
                <w:color w:val="auto"/>
              </w:rPr>
            </w:pPr>
            <w:r>
              <w:rPr>
                <w:rFonts w:ascii="Times New Roman" w:cs="Times New Roman" w:eastAsia="Times New Roman" w:hAnsi="Times New Roman"/>
                <w:sz w:val="13"/>
                <w:szCs w:val="13"/>
                <w:color w:val="0000FF"/>
              </w:rPr>
              <w:t>12/08/2022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38" w:lineRule="exact"/>
              <w:rPr>
                <w:sz w:val="20"/>
                <w:szCs w:val="20"/>
                <w:color w:val="auto"/>
              </w:rPr>
            </w:pPr>
            <w:r>
              <w:rPr>
                <w:rFonts w:ascii="Times New Roman" w:cs="Times New Roman" w:eastAsia="Times New Roman" w:hAnsi="Times New Roman"/>
                <w:sz w:val="13"/>
                <w:szCs w:val="13"/>
                <w:color w:val="0000FF"/>
              </w:rPr>
              <w:t>92,320</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80"/>
              <w:spacing w:after="0" w:line="138" w:lineRule="exact"/>
              <w:rPr>
                <w:sz w:val="20"/>
                <w:szCs w:val="20"/>
                <w:color w:val="auto"/>
              </w:rPr>
            </w:pPr>
            <w:r>
              <w:rPr>
                <w:rFonts w:ascii="Times New Roman" w:cs="Times New Roman" w:eastAsia="Times New Roman" w:hAnsi="Times New Roman"/>
                <w:sz w:val="13"/>
                <w:szCs w:val="13"/>
                <w:color w:val="0000FF"/>
              </w:rPr>
              <w:t>379,829</w:t>
            </w:r>
          </w:p>
        </w:tc>
        <w:tc>
          <w:tcPr>
            <w:tcW w:w="100" w:type="dxa"/>
            <w:vAlign w:val="bottom"/>
          </w:tcPr>
          <w:p>
            <w:pPr>
              <w:spacing w:after="0"/>
              <w:rPr>
                <w:sz w:val="5"/>
                <w:szCs w:val="5"/>
                <w:color w:val="auto"/>
              </w:rPr>
            </w:pPr>
          </w:p>
        </w:tc>
        <w:tc>
          <w:tcPr>
            <w:tcW w:w="640" w:type="dxa"/>
            <w:vAlign w:val="bottom"/>
            <w:vMerge w:val="restart"/>
          </w:tcPr>
          <w:p>
            <w:pPr>
              <w:ind w:left="26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6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0000FF"/>
              </w:rPr>
              <w:t>See footnote</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ind w:left="60"/>
              <w:spacing w:after="0" w:line="75" w:lineRule="exact"/>
              <w:rPr>
                <w:sz w:val="20"/>
                <w:szCs w:val="20"/>
                <w:color w:val="auto"/>
              </w:rPr>
            </w:pPr>
            <w:r>
              <w:rPr>
                <w:rFonts w:ascii="Times New Roman" w:cs="Times New Roman" w:eastAsia="Times New Roman" w:hAnsi="Times New Roman"/>
                <w:sz w:val="8"/>
                <w:szCs w:val="8"/>
                <w:color w:val="008000"/>
              </w:rPr>
              <w:t>(4)(5)</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continue"/>
          </w:tcPr>
          <w:p>
            <w:pPr>
              <w:spacing w:after="0"/>
              <w:rPr>
                <w:sz w:val="5"/>
                <w:szCs w:val="5"/>
                <w:color w:val="auto"/>
              </w:rPr>
            </w:pP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65,918</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38" w:lineRule="exact"/>
              <w:rPr>
                <w:sz w:val="20"/>
                <w:szCs w:val="20"/>
                <w:color w:val="auto"/>
              </w:rPr>
            </w:pPr>
            <w:r>
              <w:rPr>
                <w:rFonts w:ascii="Times New Roman" w:cs="Times New Roman" w:eastAsia="Times New Roman" w:hAnsi="Times New Roman"/>
                <w:sz w:val="13"/>
                <w:szCs w:val="13"/>
                <w:color w:val="0000FF"/>
              </w:rPr>
              <w:t>12/09/2022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38" w:lineRule="exact"/>
              <w:rPr>
                <w:sz w:val="20"/>
                <w:szCs w:val="20"/>
                <w:color w:val="auto"/>
              </w:rPr>
            </w:pPr>
            <w:r>
              <w:rPr>
                <w:rFonts w:ascii="Times New Roman" w:cs="Times New Roman" w:eastAsia="Times New Roman" w:hAnsi="Times New Roman"/>
                <w:sz w:val="13"/>
                <w:szCs w:val="13"/>
                <w:color w:val="0000FF"/>
              </w:rPr>
              <w:t>65,918</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80"/>
              <w:spacing w:after="0" w:line="138" w:lineRule="exact"/>
              <w:rPr>
                <w:sz w:val="20"/>
                <w:szCs w:val="20"/>
                <w:color w:val="auto"/>
              </w:rPr>
            </w:pPr>
            <w:r>
              <w:rPr>
                <w:rFonts w:ascii="Times New Roman" w:cs="Times New Roman" w:eastAsia="Times New Roman" w:hAnsi="Times New Roman"/>
                <w:sz w:val="13"/>
                <w:szCs w:val="13"/>
                <w:color w:val="0000FF"/>
              </w:rPr>
              <w:t>313,911</w:t>
            </w:r>
          </w:p>
        </w:tc>
        <w:tc>
          <w:tcPr>
            <w:tcW w:w="100" w:type="dxa"/>
            <w:vAlign w:val="bottom"/>
          </w:tcPr>
          <w:p>
            <w:pPr>
              <w:spacing w:after="0"/>
              <w:rPr>
                <w:sz w:val="5"/>
                <w:szCs w:val="5"/>
                <w:color w:val="auto"/>
              </w:rPr>
            </w:pPr>
          </w:p>
        </w:tc>
        <w:tc>
          <w:tcPr>
            <w:tcW w:w="640" w:type="dxa"/>
            <w:vAlign w:val="bottom"/>
            <w:vMerge w:val="restart"/>
          </w:tcPr>
          <w:p>
            <w:pPr>
              <w:ind w:left="26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6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0000FF"/>
              </w:rPr>
              <w:t>See footnote</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ind w:left="60"/>
              <w:spacing w:after="0" w:line="75" w:lineRule="exact"/>
              <w:rPr>
                <w:sz w:val="20"/>
                <w:szCs w:val="20"/>
                <w:color w:val="auto"/>
              </w:rPr>
            </w:pPr>
            <w:r>
              <w:rPr>
                <w:rFonts w:ascii="Times New Roman" w:cs="Times New Roman" w:eastAsia="Times New Roman" w:hAnsi="Times New Roman"/>
                <w:sz w:val="8"/>
                <w:szCs w:val="8"/>
                <w:color w:val="008000"/>
              </w:rPr>
              <w:t>(4)(5)</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-5528945</wp:posOffset>
            </wp:positionV>
            <wp:extent cx="28575" cy="2476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76500"/>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Goldman Sachs PSI Global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-128905</wp:posOffset>
            </wp:positionV>
            <wp:extent cx="2811145" cy="605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1145" cy="60534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8"/>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600" w:type="dxa"/>
            <w:vAlign w:val="bottom"/>
            <w:gridSpan w:val="4"/>
          </w:tcPr>
          <w:p>
            <w:pPr>
              <w:ind w:left="20"/>
              <w:spacing w:after="0" w:line="213"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StoneBridge 2020,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10282-2198</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jc w:val="both"/>
        <w:ind w:left="2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December 8, 2022, the reporting person consummated the sale of all 92,320 shares of Non-Voting Common Stock, resulting in the automatic conversion of such shares into Voting Common Stock upon the execution of the sale of such shares as reported in Table I.</w:t>
      </w:r>
    </w:p>
    <w:p>
      <w:pPr>
        <w:spacing w:after="0" w:line="24" w:lineRule="exact"/>
        <w:rPr>
          <w:rFonts w:ascii="Times New Roman" w:cs="Times New Roman" w:eastAsia="Times New Roman" w:hAnsi="Times New Roman"/>
          <w:sz w:val="13"/>
          <w:szCs w:val="13"/>
          <w:color w:val="008000"/>
        </w:rPr>
      </w:pPr>
    </w:p>
    <w:p>
      <w:pPr>
        <w:ind w:left="20" w:right="40" w:hanging="2"/>
        <w:spacing w:after="0" w:line="229"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6" w:lineRule="exact"/>
        <w:rPr>
          <w:rFonts w:ascii="Times New Roman" w:cs="Times New Roman" w:eastAsia="Times New Roman" w:hAnsi="Times New Roman"/>
          <w:sz w:val="13"/>
          <w:szCs w:val="13"/>
          <w:color w:val="008000"/>
        </w:rPr>
      </w:pPr>
    </w:p>
    <w:p>
      <w:pPr>
        <w:ind w:left="20" w:right="3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21" w:lineRule="exact"/>
        <w:rPr>
          <w:rFonts w:ascii="Times New Roman" w:cs="Times New Roman" w:eastAsia="Times New Roman" w:hAnsi="Times New Roman"/>
          <w:sz w:val="13"/>
          <w:szCs w:val="13"/>
          <w:color w:val="008000"/>
        </w:rPr>
      </w:pPr>
    </w:p>
    <w:p>
      <w:pPr>
        <w:ind w:left="20" w:right="4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21" w:lineRule="exact"/>
        <w:rPr>
          <w:rFonts w:ascii="Times New Roman" w:cs="Times New Roman" w:eastAsia="Times New Roman" w:hAnsi="Times New Roman"/>
          <w:sz w:val="13"/>
          <w:szCs w:val="13"/>
          <w:color w:val="008000"/>
        </w:rPr>
      </w:pPr>
    </w:p>
    <w:p>
      <w:pPr>
        <w:ind w:left="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21" w:lineRule="exact"/>
        <w:rPr>
          <w:rFonts w:ascii="Times New Roman" w:cs="Times New Roman" w:eastAsia="Times New Roman" w:hAnsi="Times New Roman"/>
          <w:sz w:val="13"/>
          <w:szCs w:val="13"/>
          <w:color w:val="008000"/>
        </w:rPr>
      </w:pPr>
    </w:p>
    <w:p>
      <w:pPr>
        <w:jc w:val="both"/>
        <w:ind w:left="2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December 9, 2022, the reporting person consummated the sale of all 65,918 shares of Non-Voting Common Stock, resulting in the automatic conversion of such shares into Voting Common Stock upon the execution of the sale of such shares as reported in Table I.</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12/12/2022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12/12/2022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12/12/2022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12/12/2022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12/12/2022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12/12/2022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56"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14" w:right="519"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2022-12-12T16:04:37Z</dcterms:created>
  <dcterms:modified xsi:type="dcterms:W3CDTF">2022-12-12T16:04:37Z</dcterms:modified>
</cp:coreProperties>
</file>