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2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00" w:type="dxa"/>
            <w:vAlign w:val="bottom"/>
            <w:vMerge w:val="restart"/>
          </w:tcPr>
          <w:p>
            <w:pPr>
              <w:ind w:left="36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00" w:type="dxa"/>
            <w:vAlign w:val="bottom"/>
          </w:tcPr>
          <w:p>
            <w:pPr>
              <w:ind w:left="360"/>
              <w:spacing w:after="0"/>
              <w:rPr>
                <w:sz w:val="20"/>
                <w:szCs w:val="20"/>
                <w:color w:val="auto"/>
              </w:rPr>
            </w:pPr>
            <w:r>
              <w:rPr>
                <w:rFonts w:ascii="Arial" w:cs="Arial" w:eastAsia="Arial" w:hAnsi="Arial"/>
                <w:sz w:val="19"/>
                <w:szCs w:val="19"/>
                <w:color w:val="auto"/>
                <w:w w:val="95"/>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296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40" w:type="dxa"/>
            <w:vAlign w:val="bottom"/>
          </w:tcPr>
          <w:p>
            <w:pPr>
              <w:ind w:left="20"/>
              <w:spacing w:after="0"/>
              <w:rPr>
                <w:sz w:val="20"/>
                <w:szCs w:val="20"/>
                <w:color w:val="auto"/>
              </w:rPr>
            </w:pPr>
            <w:r>
              <w:rPr>
                <w:rFonts w:ascii="Arial" w:cs="Arial" w:eastAsia="Arial" w:hAnsi="Arial"/>
                <w:sz w:val="22"/>
                <w:szCs w:val="22"/>
                <w:color w:val="auto"/>
              </w:rPr>
              <w:t>0001758683</w:t>
            </w:r>
          </w:p>
        </w:tc>
        <w:tc>
          <w:tcPr>
            <w:tcW w:w="3680" w:type="dxa"/>
            <w:vAlign w:val="bottom"/>
          </w:tcPr>
          <w:p>
            <w:pPr>
              <w:spacing w:after="0"/>
              <w:rPr>
                <w:sz w:val="23"/>
                <w:szCs w:val="23"/>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40" w:type="dxa"/>
            <w:vAlign w:val="bottom"/>
          </w:tcPr>
          <w:p>
            <w:pPr>
              <w:ind w:left="20"/>
              <w:spacing w:after="0"/>
              <w:rPr>
                <w:sz w:val="20"/>
                <w:szCs w:val="20"/>
                <w:color w:val="auto"/>
              </w:rPr>
            </w:pPr>
            <w:r>
              <w:rPr>
                <w:rFonts w:ascii="Arial" w:cs="Arial" w:eastAsia="Arial" w:hAnsi="Arial"/>
                <w:sz w:val="22"/>
                <w:szCs w:val="22"/>
                <w:color w:val="auto"/>
              </w:rPr>
              <w:t>XXXXXXXX</w:t>
            </w:r>
          </w:p>
        </w:tc>
        <w:tc>
          <w:tcPr>
            <w:tcW w:w="3680" w:type="dxa"/>
            <w:vAlign w:val="bottom"/>
          </w:tcPr>
          <w:p>
            <w:pPr>
              <w:spacing w:after="0"/>
              <w:rPr>
                <w:sz w:val="24"/>
                <w:szCs w:val="24"/>
                <w:color w:val="auto"/>
              </w:rPr>
            </w:pPr>
          </w:p>
        </w:tc>
      </w:tr>
      <w:tr>
        <w:trPr>
          <w:trHeight w:val="324"/>
        </w:trPr>
        <w:tc>
          <w:tcPr>
            <w:tcW w:w="296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40" w:type="dxa"/>
            <w:vAlign w:val="bottom"/>
          </w:tcPr>
          <w:p>
            <w:pPr>
              <w:ind w:left="280"/>
              <w:spacing w:after="0"/>
              <w:rPr>
                <w:sz w:val="20"/>
                <w:szCs w:val="20"/>
                <w:color w:val="auto"/>
              </w:rPr>
            </w:pPr>
            <w:r>
              <w:rPr>
                <w:rFonts w:ascii="Arial" w:cs="Arial" w:eastAsia="Arial" w:hAnsi="Arial"/>
                <w:sz w:val="22"/>
                <w:szCs w:val="22"/>
                <w:color w:val="auto"/>
              </w:rPr>
              <w:t>LIVE   TEST</w:t>
            </w:r>
          </w:p>
        </w:tc>
        <w:tc>
          <w:tcPr>
            <w:tcW w:w="36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5"/>
              </w:rPr>
              <w:t>Submission Contact Information</w:t>
            </w:r>
          </w:p>
        </w:tc>
        <w:tc>
          <w:tcPr>
            <w:tcW w:w="3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1"/>
        </w:trPr>
        <w:tc>
          <w:tcPr>
            <w:tcW w:w="2960" w:type="dxa"/>
            <w:vAlign w:val="bottom"/>
          </w:tcPr>
          <w:p>
            <w:pPr>
              <w:ind w:left="40"/>
              <w:spacing w:after="0"/>
              <w:rPr>
                <w:sz w:val="20"/>
                <w:szCs w:val="20"/>
                <w:color w:val="auto"/>
              </w:rPr>
            </w:pPr>
            <w:r>
              <w:rPr>
                <w:rFonts w:ascii="Arial" w:cs="Arial" w:eastAsia="Arial" w:hAnsi="Arial"/>
                <w:sz w:val="22"/>
                <w:szCs w:val="22"/>
                <w:color w:val="auto"/>
              </w:rPr>
              <w:t>Name</w:t>
            </w:r>
          </w:p>
        </w:tc>
        <w:tc>
          <w:tcPr>
            <w:tcW w:w="3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49"/>
        </w:trPr>
        <w:tc>
          <w:tcPr>
            <w:tcW w:w="61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80" w:type="dxa"/>
            <w:vAlign w:val="bottom"/>
          </w:tcPr>
          <w:p>
            <w:pPr>
              <w:spacing w:after="0"/>
              <w:rPr>
                <w:sz w:val="24"/>
                <w:szCs w:val="24"/>
                <w:color w:val="auto"/>
              </w:rPr>
            </w:pPr>
          </w:p>
        </w:tc>
      </w:tr>
      <w:tr>
        <w:trPr>
          <w:trHeight w:val="555"/>
        </w:trPr>
        <w:tc>
          <w:tcPr>
            <w:tcW w:w="296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40" w:type="dxa"/>
            <w:vAlign w:val="bottom"/>
          </w:tcPr>
          <w:p>
            <w:pPr>
              <w:spacing w:after="0"/>
              <w:rPr>
                <w:sz w:val="24"/>
                <w:szCs w:val="24"/>
                <w:color w:val="auto"/>
              </w:rPr>
            </w:pPr>
          </w:p>
        </w:tc>
        <w:tc>
          <w:tcPr>
            <w:tcW w:w="3680" w:type="dxa"/>
            <w:vAlign w:val="bottom"/>
          </w:tcPr>
          <w:p>
            <w:pPr>
              <w:ind w:left="440"/>
              <w:spacing w:after="0"/>
              <w:rPr>
                <w:sz w:val="20"/>
                <w:szCs w:val="20"/>
                <w:color w:val="auto"/>
              </w:rPr>
            </w:pPr>
            <w:r>
              <w:rPr>
                <w:rFonts w:ascii="Arial" w:cs="Arial" w:eastAsia="Arial" w:hAnsi="Arial"/>
                <w:sz w:val="22"/>
                <w:szCs w:val="22"/>
                <w:color w:val="auto"/>
              </w:rPr>
              <w:t>Flywire Corp</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40" w:type="dxa"/>
            <w:vAlign w:val="bottom"/>
          </w:tcPr>
          <w:p>
            <w:pPr>
              <w:spacing w:after="0"/>
              <w:rPr>
                <w:sz w:val="24"/>
                <w:szCs w:val="24"/>
                <w:color w:val="auto"/>
              </w:rPr>
            </w:pPr>
          </w:p>
        </w:tc>
        <w:tc>
          <w:tcPr>
            <w:tcW w:w="3680" w:type="dxa"/>
            <w:vAlign w:val="bottom"/>
          </w:tcPr>
          <w:p>
            <w:pPr>
              <w:ind w:left="440"/>
              <w:spacing w:after="0"/>
              <w:rPr>
                <w:sz w:val="20"/>
                <w:szCs w:val="20"/>
                <w:color w:val="auto"/>
              </w:rPr>
            </w:pPr>
            <w:r>
              <w:rPr>
                <w:rFonts w:ascii="Arial" w:cs="Arial" w:eastAsia="Arial" w:hAnsi="Arial"/>
                <w:sz w:val="22"/>
                <w:szCs w:val="22"/>
                <w:color w:val="auto"/>
              </w:rPr>
              <w:t>001-40430</w:t>
            </w:r>
          </w:p>
        </w:tc>
      </w:tr>
      <w:tr>
        <w:trPr>
          <w:trHeight w:val="266"/>
        </w:trPr>
        <w:tc>
          <w:tcPr>
            <w:tcW w:w="29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3680" w:type="dxa"/>
            <w:vAlign w:val="bottom"/>
          </w:tcPr>
          <w:p>
            <w:pPr>
              <w:ind w:left="440"/>
              <w:spacing w:after="0"/>
              <w:rPr>
                <w:sz w:val="20"/>
                <w:szCs w:val="20"/>
                <w:color w:val="auto"/>
              </w:rPr>
            </w:pPr>
            <w:r>
              <w:rPr>
                <w:rFonts w:ascii="Arial" w:cs="Arial" w:eastAsia="Arial" w:hAnsi="Arial"/>
                <w:sz w:val="22"/>
                <w:szCs w:val="22"/>
                <w:color w:val="auto"/>
              </w:rPr>
              <w:t>141 TREMONT STREET</w:t>
            </w:r>
          </w:p>
        </w:tc>
      </w:tr>
      <w:tr>
        <w:trPr>
          <w:trHeight w:val="243"/>
        </w:trPr>
        <w:tc>
          <w:tcPr>
            <w:tcW w:w="29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680" w:type="dxa"/>
            <w:vAlign w:val="bottom"/>
          </w:tcPr>
          <w:p>
            <w:pPr>
              <w:ind w:left="4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296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140" w:type="dxa"/>
            <w:vAlign w:val="bottom"/>
          </w:tcPr>
          <w:p>
            <w:pPr>
              <w:spacing w:after="0"/>
              <w:rPr>
                <w:sz w:val="21"/>
                <w:szCs w:val="21"/>
                <w:color w:val="auto"/>
              </w:rPr>
            </w:pPr>
          </w:p>
        </w:tc>
        <w:tc>
          <w:tcPr>
            <w:tcW w:w="3680" w:type="dxa"/>
            <w:vAlign w:val="bottom"/>
          </w:tcPr>
          <w:p>
            <w:pPr>
              <w:ind w:left="4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29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680" w:type="dxa"/>
            <w:vAlign w:val="bottom"/>
          </w:tcPr>
          <w:p>
            <w:pPr>
              <w:ind w:left="4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29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3680" w:type="dxa"/>
            <w:vAlign w:val="bottom"/>
          </w:tcPr>
          <w:p>
            <w:pPr>
              <w:ind w:left="440"/>
              <w:spacing w:after="0"/>
              <w:rPr>
                <w:sz w:val="20"/>
                <w:szCs w:val="20"/>
                <w:color w:val="auto"/>
              </w:rPr>
            </w:pPr>
            <w:r>
              <w:rPr>
                <w:rFonts w:ascii="Arial" w:cs="Arial" w:eastAsia="Arial" w:hAnsi="Arial"/>
                <w:sz w:val="22"/>
                <w:szCs w:val="22"/>
                <w:color w:val="auto"/>
              </w:rPr>
              <w:t>02111</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140" w:type="dxa"/>
            <w:vAlign w:val="bottom"/>
          </w:tcPr>
          <w:p>
            <w:pPr>
              <w:spacing w:after="0"/>
              <w:rPr>
                <w:sz w:val="24"/>
                <w:szCs w:val="24"/>
                <w:color w:val="auto"/>
              </w:rPr>
            </w:pPr>
          </w:p>
        </w:tc>
        <w:tc>
          <w:tcPr>
            <w:tcW w:w="3680" w:type="dxa"/>
            <w:vAlign w:val="bottom"/>
          </w:tcPr>
          <w:p>
            <w:pPr>
              <w:ind w:left="440"/>
              <w:spacing w:after="0"/>
              <w:rPr>
                <w:sz w:val="20"/>
                <w:szCs w:val="20"/>
                <w:color w:val="auto"/>
              </w:rPr>
            </w:pPr>
            <w:r>
              <w:rPr>
                <w:rFonts w:ascii="Arial" w:cs="Arial" w:eastAsia="Arial" w:hAnsi="Arial"/>
                <w:sz w:val="22"/>
                <w:szCs w:val="22"/>
                <w:color w:val="auto"/>
              </w:rPr>
              <w:t>617-329-4524</w:t>
            </w:r>
          </w:p>
        </w:tc>
      </w:tr>
      <w:tr>
        <w:trPr>
          <w:trHeight w:val="297"/>
        </w:trPr>
        <w:tc>
          <w:tcPr>
            <w:tcW w:w="6100" w:type="dxa"/>
            <w:vAlign w:val="bottom"/>
            <w:gridSpan w:val="2"/>
          </w:tcPr>
          <w:p>
            <w:pPr>
              <w:ind w:left="40"/>
              <w:spacing w:after="0"/>
              <w:rPr>
                <w:sz w:val="20"/>
                <w:szCs w:val="20"/>
                <w:color w:val="auto"/>
              </w:rPr>
            </w:pPr>
            <w:r>
              <w:rPr>
                <w:rFonts w:ascii="Arial" w:cs="Arial" w:eastAsia="Arial" w:hAnsi="Arial"/>
                <w:sz w:val="22"/>
                <w:szCs w:val="22"/>
                <w:color w:val="auto"/>
                <w:w w:val="93"/>
              </w:rPr>
              <w:t>Name of Person for Whose Account the Securities are To Be Sold</w:t>
            </w:r>
          </w:p>
        </w:tc>
        <w:tc>
          <w:tcPr>
            <w:tcW w:w="3680" w:type="dxa"/>
            <w:vAlign w:val="bottom"/>
          </w:tcPr>
          <w:p>
            <w:pPr>
              <w:ind w:left="440"/>
              <w:spacing w:after="0"/>
              <w:rPr>
                <w:sz w:val="20"/>
                <w:szCs w:val="20"/>
                <w:color w:val="auto"/>
              </w:rPr>
            </w:pPr>
            <w:r>
              <w:rPr>
                <w:rFonts w:ascii="Arial" w:cs="Arial" w:eastAsia="Arial" w:hAnsi="Arial"/>
                <w:sz w:val="22"/>
                <w:szCs w:val="22"/>
                <w:color w:val="auto"/>
                <w:w w:val="91"/>
              </w:rPr>
              <w:t>BCV 2019-MD Coinvestment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6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Title of the Class of</w:t>
            </w:r>
          </w:p>
        </w:tc>
        <w:tc>
          <w:tcPr>
            <w:tcW w:w="24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4"/>
              </w:rPr>
              <w:t>Securities To Be Sold</w:t>
            </w:r>
          </w:p>
        </w:tc>
        <w:tc>
          <w:tcPr>
            <w:tcW w:w="240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0"/>
              </w:rPr>
              <w:t>the Broker</w:t>
            </w:r>
          </w:p>
        </w:tc>
        <w:tc>
          <w:tcPr>
            <w:tcW w:w="38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3"/>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6"/>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60"/>
              <w:spacing w:after="0"/>
              <w:rPr>
                <w:sz w:val="20"/>
                <w:szCs w:val="20"/>
                <w:color w:val="auto"/>
              </w:rPr>
            </w:pPr>
            <w:r>
              <w:rPr>
                <w:rFonts w:ascii="Arial" w:cs="Arial" w:eastAsia="Arial" w:hAnsi="Arial"/>
                <w:sz w:val="22"/>
                <w:szCs w:val="22"/>
                <w:color w:val="auto"/>
              </w:rPr>
              <w:t>J.P. Morgan Securities</w:t>
            </w: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4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1260" w:type="dxa"/>
            <w:vAlign w:val="bottom"/>
            <w:vMerge w:val="restart"/>
          </w:tcPr>
          <w:p>
            <w:pPr>
              <w:jc w:val="right"/>
              <w:ind w:right="592"/>
              <w:spacing w:after="0"/>
              <w:rPr>
                <w:sz w:val="20"/>
                <w:szCs w:val="20"/>
                <w:color w:val="auto"/>
              </w:rPr>
            </w:pPr>
            <w:r>
              <w:rPr>
                <w:rFonts w:ascii="Arial" w:cs="Arial" w:eastAsia="Arial" w:hAnsi="Arial"/>
                <w:sz w:val="22"/>
                <w:szCs w:val="22"/>
                <w:color w:val="auto"/>
              </w:rPr>
              <w:t>2920</w:t>
            </w:r>
          </w:p>
        </w:tc>
        <w:tc>
          <w:tcPr>
            <w:tcW w:w="1300" w:type="dxa"/>
            <w:vAlign w:val="bottom"/>
            <w:vMerge w:val="restart"/>
          </w:tcPr>
          <w:p>
            <w:pPr>
              <w:jc w:val="right"/>
              <w:ind w:right="312"/>
              <w:spacing w:after="0"/>
              <w:rPr>
                <w:sz w:val="20"/>
                <w:szCs w:val="20"/>
                <w:color w:val="auto"/>
              </w:rPr>
            </w:pPr>
            <w:r>
              <w:rPr>
                <w:rFonts w:ascii="Arial" w:cs="Arial" w:eastAsia="Arial" w:hAnsi="Arial"/>
                <w:sz w:val="22"/>
                <w:szCs w:val="22"/>
                <w:color w:val="auto"/>
                <w:w w:val="93"/>
              </w:rPr>
              <w:t>86169.00</w:t>
            </w:r>
          </w:p>
        </w:tc>
        <w:tc>
          <w:tcPr>
            <w:tcW w:w="1300" w:type="dxa"/>
            <w:vAlign w:val="bottom"/>
            <w:vMerge w:val="restart"/>
          </w:tcPr>
          <w:p>
            <w:pPr>
              <w:jc w:val="right"/>
              <w:ind w:right="112"/>
              <w:spacing w:after="0"/>
              <w:rPr>
                <w:sz w:val="20"/>
                <w:szCs w:val="20"/>
                <w:color w:val="auto"/>
              </w:rPr>
            </w:pPr>
            <w:r>
              <w:rPr>
                <w:rFonts w:ascii="Arial" w:cs="Arial" w:eastAsia="Arial" w:hAnsi="Arial"/>
                <w:sz w:val="22"/>
                <w:szCs w:val="22"/>
                <w:color w:val="auto"/>
                <w:w w:val="96"/>
              </w:rPr>
              <w:t>108883194</w:t>
            </w:r>
          </w:p>
        </w:tc>
        <w:tc>
          <w:tcPr>
            <w:tcW w:w="2400" w:type="dxa"/>
            <w:vAlign w:val="bottom"/>
            <w:gridSpan w:val="2"/>
            <w:vMerge w:val="restart"/>
          </w:tcPr>
          <w:p>
            <w:pPr>
              <w:ind w:left="40"/>
              <w:spacing w:after="0"/>
              <w:rPr>
                <w:sz w:val="20"/>
                <w:szCs w:val="20"/>
                <w:color w:val="auto"/>
              </w:rPr>
            </w:pPr>
            <w:r>
              <w:rPr>
                <w:rFonts w:ascii="Arial" w:cs="Arial" w:eastAsia="Arial" w:hAnsi="Arial"/>
                <w:sz w:val="22"/>
                <w:szCs w:val="22"/>
                <w:color w:val="auto"/>
              </w:rPr>
              <w:t>05/11/2023   Nasdaq</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60"/>
              <w:spacing w:after="0"/>
              <w:rPr>
                <w:sz w:val="20"/>
                <w:szCs w:val="20"/>
                <w:color w:val="auto"/>
              </w:rPr>
            </w:pPr>
            <w:r>
              <w:rPr>
                <w:rFonts w:ascii="Arial" w:cs="Arial" w:eastAsia="Arial" w:hAnsi="Arial"/>
                <w:sz w:val="22"/>
                <w:szCs w:val="22"/>
                <w:color w:val="auto"/>
              </w:rPr>
              <w:t>383 Madison Avenue</w:t>
            </w: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Arial" w:cs="Arial" w:eastAsia="Arial" w:hAnsi="Arial"/>
          <w:sz w:val="22"/>
          <w:szCs w:val="22"/>
          <w:color w:val="auto"/>
        </w:rPr>
        <w:t>New York  NY  10179</w:t>
      </w:r>
    </w:p>
    <w:p>
      <w:pPr>
        <w:spacing w:after="0" w:line="200" w:lineRule="exact"/>
        <w:rPr>
          <w:sz w:val="24"/>
          <w:szCs w:val="24"/>
          <w:color w:val="auto"/>
        </w:r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928" w:orient="portrait"/>
          <w:cols w:equalWidth="0" w:num="1">
            <w:col w:w="11240"/>
          </w:cols>
          <w:pgMar w:left="320" w:top="267" w:right="339" w:bottom="0" w:gutter="0" w:footer="0" w:header="0"/>
        </w:sectPr>
      </w:pPr>
    </w:p>
    <w:p>
      <w:pPr>
        <w:spacing w:after="0" w:line="358" w:lineRule="exact"/>
        <w:rPr>
          <w:sz w:val="24"/>
          <w:szCs w:val="24"/>
          <w:color w:val="auto"/>
        </w:rPr>
      </w:pPr>
    </w:p>
    <w:p>
      <w:pPr>
        <w:jc w:val="center"/>
        <w:ind w:left="28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4"/>
          <w:szCs w:val="24"/>
          <w:color w:val="auto"/>
        </w:rPr>
      </w:pPr>
    </w:p>
    <w:p>
      <w:pPr>
        <w:jc w:val="center"/>
        <w:ind w:left="280"/>
        <w:spacing w:after="0"/>
        <w:rPr>
          <w:sz w:val="20"/>
          <w:szCs w:val="20"/>
          <w:color w:val="auto"/>
        </w:rPr>
      </w:pPr>
      <w:r>
        <w:rPr>
          <w:rFonts w:ascii="Arial" w:cs="Arial" w:eastAsia="Arial" w:hAnsi="Arial"/>
          <w:sz w:val="22"/>
          <w:szCs w:val="22"/>
          <w:b w:val="1"/>
          <w:bCs w:val="1"/>
          <w:color w:val="auto"/>
        </w:rPr>
        <w:t>Class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ind w:firstLine="20"/>
        <w:spacing w:after="0" w:line="334" w:lineRule="auto"/>
        <w:rPr>
          <w:sz w:val="20"/>
          <w:szCs w:val="20"/>
          <w:color w:val="auto"/>
        </w:rPr>
      </w:pPr>
      <w:r>
        <w:rPr>
          <w:rFonts w:ascii="Arial" w:cs="Arial" w:eastAsia="Arial" w:hAnsi="Arial"/>
          <w:sz w:val="19"/>
          <w:szCs w:val="19"/>
          <w:b w:val="1"/>
          <w:bCs w:val="1"/>
          <w:color w:val="auto"/>
        </w:rPr>
        <w:t>Date you Acquired</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Nature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Person from</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this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Donor</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ind w:hanging="53"/>
        <w:spacing w:after="0" w:line="366" w:lineRule="auto"/>
        <w:rPr>
          <w:sz w:val="20"/>
          <w:szCs w:val="20"/>
          <w:color w:val="auto"/>
        </w:rPr>
      </w:pPr>
      <w:r>
        <w:rPr>
          <w:rFonts w:ascii="Arial" w:cs="Arial" w:eastAsia="Arial" w:hAnsi="Arial"/>
          <w:sz w:val="18"/>
          <w:szCs w:val="18"/>
          <w:b w:val="1"/>
          <w:bCs w:val="1"/>
          <w:color w:val="auto"/>
        </w:rPr>
        <w:t>Amount of Securities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both"/>
        <w:ind w:firstLine="74"/>
        <w:spacing w:after="0" w:line="366" w:lineRule="auto"/>
        <w:rPr>
          <w:sz w:val="20"/>
          <w:szCs w:val="20"/>
          <w:color w:val="auto"/>
        </w:rPr>
      </w:pPr>
      <w:r>
        <w:rPr>
          <w:rFonts w:ascii="Arial" w:cs="Arial" w:eastAsia="Arial" w:hAnsi="Arial"/>
          <w:sz w:val="18"/>
          <w:szCs w:val="18"/>
          <w:b w:val="1"/>
          <w:bCs w:val="1"/>
          <w:color w:val="auto"/>
        </w:rPr>
        <w:t>Date of Payment</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both"/>
        <w:ind w:right="380" w:firstLine="47"/>
        <w:spacing w:after="0" w:line="334" w:lineRule="auto"/>
        <w:rPr>
          <w:sz w:val="20"/>
          <w:szCs w:val="20"/>
          <w:color w:val="auto"/>
        </w:rPr>
      </w:pPr>
      <w:r>
        <w:rPr>
          <w:rFonts w:ascii="Arial" w:cs="Arial" w:eastAsia="Arial" w:hAnsi="Arial"/>
          <w:sz w:val="19"/>
          <w:szCs w:val="19"/>
          <w:b w:val="1"/>
          <w:bCs w:val="1"/>
          <w:color w:val="auto"/>
        </w:rPr>
        <w:t>Nature of Payment *</w:t>
      </w:r>
    </w:p>
    <w:p>
      <w:pPr>
        <w:sectPr>
          <w:pgSz w:w="11900" w:h="16928" w:orient="portrait"/>
          <w:cols w:equalWidth="0" w:num="9">
            <w:col w:w="1260" w:space="340"/>
            <w:col w:w="860" w:space="420"/>
            <w:col w:w="1040" w:space="520"/>
            <w:col w:w="1140" w:space="280"/>
            <w:col w:w="320" w:space="260"/>
            <w:col w:w="600" w:space="360"/>
            <w:col w:w="940" w:space="260"/>
            <w:col w:w="820" w:space="460"/>
            <w:col w:w="136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2740" w:type="dxa"/>
            <w:vAlign w:val="bottom"/>
          </w:tcPr>
          <w:p>
            <w:pPr>
              <w:ind w:left="136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72"/>
              <w:spacing w:after="0"/>
              <w:rPr>
                <w:sz w:val="20"/>
                <w:szCs w:val="20"/>
                <w:color w:val="auto"/>
              </w:rPr>
            </w:pPr>
            <w:r>
              <w:rPr>
                <w:rFonts w:ascii="Arial" w:cs="Arial" w:eastAsia="Arial" w:hAnsi="Arial"/>
                <w:sz w:val="22"/>
                <w:szCs w:val="22"/>
                <w:b w:val="1"/>
                <w:bCs w:val="1"/>
                <w:color w:val="auto"/>
                <w:w w:val="95"/>
              </w:rPr>
              <w:t>Whom</w:t>
            </w:r>
          </w:p>
        </w:tc>
        <w:tc>
          <w:tcPr>
            <w:tcW w:w="278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78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Automatic</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conversion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preferred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3"/>
              </w:rPr>
              <w:t>purchased prior to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the Issuer's IPO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into shares of the</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vMerge w:val="restart"/>
          </w:tcPr>
          <w:p>
            <w:pPr>
              <w:spacing w:after="0"/>
              <w:rPr>
                <w:sz w:val="20"/>
                <w:szCs w:val="20"/>
                <w:color w:val="auto"/>
              </w:rPr>
            </w:pPr>
            <w:r>
              <w:rPr>
                <w:rFonts w:ascii="Arial" w:cs="Arial" w:eastAsia="Arial" w:hAnsi="Arial"/>
                <w:sz w:val="22"/>
                <w:szCs w:val="22"/>
                <w:color w:val="auto"/>
                <w:w w:val="91"/>
              </w:rPr>
              <w:t>Voting Common</w:t>
            </w:r>
          </w:p>
        </w:tc>
        <w:tc>
          <w:tcPr>
            <w:tcW w:w="2740" w:type="dxa"/>
            <w:vAlign w:val="bottom"/>
          </w:tcPr>
          <w:p>
            <w:pPr>
              <w:ind w:left="1060"/>
              <w:spacing w:after="0"/>
              <w:rPr>
                <w:sz w:val="20"/>
                <w:szCs w:val="20"/>
                <w:color w:val="auto"/>
              </w:rPr>
            </w:pPr>
            <w:r>
              <w:rPr>
                <w:rFonts w:ascii="Arial" w:cs="Arial" w:eastAsia="Arial" w:hAnsi="Arial"/>
                <w:sz w:val="22"/>
                <w:szCs w:val="22"/>
                <w:color w:val="auto"/>
              </w:rPr>
              <w:t>Isser's Class A</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vMerge w:val="restart"/>
          </w:tcPr>
          <w:p>
            <w:pPr>
              <w:ind w:left="1140"/>
              <w:spacing w:after="0"/>
              <w:rPr>
                <w:sz w:val="20"/>
                <w:szCs w:val="20"/>
                <w:color w:val="auto"/>
              </w:rPr>
            </w:pPr>
            <w:r>
              <w:rPr>
                <w:rFonts w:ascii="Arial" w:cs="Arial" w:eastAsia="Arial" w:hAnsi="Arial"/>
                <w:sz w:val="22"/>
                <w:szCs w:val="22"/>
                <w:color w:val="auto"/>
                <w:w w:val="92"/>
              </w:rPr>
              <w:t>Conversion of</w:t>
            </w:r>
          </w:p>
        </w:tc>
        <w:tc>
          <w:tcPr>
            <w:tcW w:w="0" w:type="dxa"/>
            <w:vAlign w:val="bottom"/>
          </w:tcPr>
          <w:p>
            <w:pPr>
              <w:spacing w:after="0"/>
              <w:rPr>
                <w:sz w:val="1"/>
                <w:szCs w:val="1"/>
                <w:color w:val="auto"/>
              </w:rPr>
            </w:pPr>
          </w:p>
        </w:tc>
      </w:tr>
      <w:tr>
        <w:trPr>
          <w:trHeight w:val="58"/>
        </w:trPr>
        <w:tc>
          <w:tcPr>
            <w:tcW w:w="1460" w:type="dxa"/>
            <w:vAlign w:val="bottom"/>
            <w:vMerge w:val="continue"/>
          </w:tcPr>
          <w:p>
            <w:pPr>
              <w:spacing w:after="0"/>
              <w:rPr>
                <w:sz w:val="5"/>
                <w:szCs w:val="5"/>
                <w:color w:val="auto"/>
              </w:rPr>
            </w:pPr>
          </w:p>
        </w:tc>
        <w:tc>
          <w:tcPr>
            <w:tcW w:w="2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Stock</w:t>
            </w:r>
          </w:p>
        </w:tc>
        <w:tc>
          <w:tcPr>
            <w:tcW w:w="2740" w:type="dxa"/>
            <w:vAlign w:val="bottom"/>
          </w:tcPr>
          <w:p>
            <w:pPr>
              <w:ind w:left="40"/>
              <w:spacing w:after="0" w:line="243" w:lineRule="exact"/>
              <w:rPr>
                <w:sz w:val="20"/>
                <w:szCs w:val="20"/>
                <w:color w:val="auto"/>
              </w:rPr>
            </w:pPr>
            <w:r>
              <w:rPr>
                <w:rFonts w:ascii="Arial" w:cs="Arial" w:eastAsia="Arial" w:hAnsi="Arial"/>
                <w:sz w:val="22"/>
                <w:szCs w:val="22"/>
                <w:color w:val="auto"/>
              </w:rPr>
              <w:t>05/28/2021 Common Stock</w:t>
            </w:r>
          </w:p>
        </w:tc>
        <w:tc>
          <w:tcPr>
            <w:tcW w:w="1380" w:type="dxa"/>
            <w:vAlign w:val="bottom"/>
          </w:tcPr>
          <w:p>
            <w:pPr>
              <w:ind w:left="60"/>
              <w:spacing w:after="0" w:line="243" w:lineRule="exact"/>
              <w:rPr>
                <w:sz w:val="20"/>
                <w:szCs w:val="20"/>
                <w:color w:val="auto"/>
              </w:rPr>
            </w:pPr>
            <w:r>
              <w:rPr>
                <w:rFonts w:ascii="Arial" w:cs="Arial" w:eastAsia="Arial" w:hAnsi="Arial"/>
                <w:sz w:val="22"/>
                <w:szCs w:val="22"/>
                <w:color w:val="auto"/>
              </w:rPr>
              <w:t>Issuer</w:t>
            </w:r>
          </w:p>
        </w:tc>
        <w:tc>
          <w:tcPr>
            <w:tcW w:w="27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2920</w:t>
            </w:r>
          </w:p>
        </w:tc>
        <w:tc>
          <w:tcPr>
            <w:tcW w:w="242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2740" w:type="dxa"/>
            <w:vAlign w:val="bottom"/>
          </w:tcPr>
          <w:p>
            <w:pPr>
              <w:ind w:left="1060"/>
              <w:spacing w:after="0" w:line="154" w:lineRule="exact"/>
              <w:rPr>
                <w:sz w:val="20"/>
                <w:szCs w:val="20"/>
                <w:color w:val="auto"/>
              </w:rPr>
            </w:pPr>
            <w:r>
              <w:rPr>
                <w:rFonts w:ascii="Arial" w:cs="Arial" w:eastAsia="Arial" w:hAnsi="Arial"/>
                <w:sz w:val="17"/>
                <w:szCs w:val="17"/>
                <w:color w:val="auto"/>
              </w:rPr>
              <w:t>and subsequent</w:t>
            </w:r>
          </w:p>
        </w:tc>
        <w:tc>
          <w:tcPr>
            <w:tcW w:w="1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reclassification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85"/>
              </w:rPr>
              <w:t>the Issuer's Class A</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Common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into the Issuer's</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Voting Common</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Stock</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4"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Remarks</w:t>
            </w:r>
          </w:p>
        </w:tc>
        <w:tc>
          <w:tcPr>
            <w:tcW w:w="1460" w:type="dxa"/>
            <w:vAlign w:val="bottom"/>
          </w:tcPr>
          <w:p>
            <w:pPr>
              <w:spacing w:after="0"/>
              <w:rPr>
                <w:sz w:val="23"/>
                <w:szCs w:val="23"/>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22"/>
                <w:szCs w:val="22"/>
                <w:color w:val="auto"/>
              </w:rPr>
              <w:t>Date of Notice</w:t>
            </w:r>
          </w:p>
        </w:tc>
        <w:tc>
          <w:tcPr>
            <w:tcW w:w="1460" w:type="dxa"/>
            <w:vAlign w:val="bottom"/>
          </w:tcPr>
          <w:p>
            <w:pPr>
              <w:jc w:val="right"/>
              <w:spacing w:after="0"/>
              <w:rPr>
                <w:sz w:val="20"/>
                <w:szCs w:val="20"/>
                <w:color w:val="auto"/>
              </w:rPr>
            </w:pPr>
            <w:r>
              <w:rPr>
                <w:rFonts w:ascii="Arial" w:cs="Arial" w:eastAsia="Arial" w:hAnsi="Arial"/>
                <w:sz w:val="22"/>
                <w:szCs w:val="22"/>
                <w:color w:val="auto"/>
              </w:rPr>
              <w:t>05/11/2023</w:t>
            </w:r>
          </w:p>
        </w:tc>
      </w:tr>
      <w:tr>
        <w:trPr>
          <w:trHeight w:val="297"/>
        </w:trPr>
        <w:tc>
          <w:tcPr>
            <w:tcW w:w="18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Partner of Bain Capital Venture Investors,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2023-05-11T20:28:24Z</dcterms:created>
  <dcterms:modified xsi:type="dcterms:W3CDTF">2023-05-11T20:28:24Z</dcterms:modified>
</cp:coreProperties>
</file>