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12/01/2023</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12/01/2023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01/21/2021</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09/05/2023 2251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75966.52</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09/06/2023 3375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113197.50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09/15/2023 6500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203450.00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10/13/2023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284700.00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11/15/2023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112350.00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05/12/2023</w:t>
      </w:r>
    </w:p>
    <w:p>
      <w:pPr>
        <w:spacing w:after="0" w:line="623" w:lineRule="exact"/>
        <w:rPr>
          <w:sz w:val="20"/>
          <w:szCs w:val="20"/>
          <w:color w:val="auto"/>
        </w:rPr>
      </w:pPr>
    </w:p>
    <w:p>
      <w:pPr>
        <w:sectPr>
          <w:pgSz w:w="11900" w:h="16838" w:orient="portrait"/>
          <w:cols w:equalWidth="0" w:num="2">
            <w:col w:w="3380" w:space="660"/>
            <w:col w:w="720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78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Brokerage Services LLC, as attorney-in-fact for Michael Ellis</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2023-12-01T12:18:46Z</dcterms:created>
  <dcterms:modified xsi:type="dcterms:W3CDTF">2023-12-01T12:18:46Z</dcterms:modified>
</cp:coreProperties>
</file>