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November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FLYWIRE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27-0690799</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Times New Roman" w:cs="Times New Roman" w:eastAsia="Times New Roman" w:hAnsi="Times New Roman"/>
          <w:sz w:val="9"/>
          <w:szCs w:val="9"/>
          <w:b w:val="1"/>
          <w:bCs w:val="1"/>
          <w:color w:val="auto"/>
        </w:rPr>
        <w:t>(Commission</w:t>
      </w:r>
    </w:p>
    <w:p>
      <w:pPr>
        <w:jc w:val="center"/>
        <w:ind w:right="1160"/>
        <w:spacing w:after="0"/>
        <w:rPr>
          <w:sz w:val="20"/>
          <w:szCs w:val="20"/>
          <w:color w:val="auto"/>
        </w:rPr>
      </w:pPr>
      <w:r>
        <w:rPr>
          <w:rFonts w:ascii="Times New Roman" w:cs="Times New Roman" w:eastAsia="Times New Roman" w:hAnsi="Times New Roman"/>
          <w:sz w:val="10"/>
          <w:szCs w:val="10"/>
          <w:b w:val="1"/>
          <w:bCs w:val="1"/>
          <w:color w:val="auto"/>
        </w:rPr>
        <w:t>File No.)</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70"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ind w:left="3980"/>
        <w:spacing w:after="0"/>
        <w:rPr>
          <w:sz w:val="20"/>
          <w:szCs w:val="20"/>
          <w:color w:val="auto"/>
        </w:rPr>
      </w:pPr>
      <w:r>
        <w:rPr>
          <w:rFonts w:ascii="Times New Roman" w:cs="Times New Roman" w:eastAsia="Times New Roman" w:hAnsi="Times New Roman"/>
          <w:sz w:val="13"/>
          <w:szCs w:val="13"/>
          <w:b w:val="1"/>
          <w:bCs w:val="1"/>
          <w:color w:val="auto"/>
        </w:rPr>
        <w:t>141 Tremont St #10</w:t>
      </w:r>
    </w:p>
    <w:p>
      <w:pPr>
        <w:spacing w:after="0" w:line="1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Boston, MA 02111</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and zip code)</w:t>
      </w:r>
    </w:p>
    <w:p>
      <w:pPr>
        <w:sectPr>
          <w:pgSz w:w="11900" w:h="16838" w:orient="portrait"/>
          <w:cols w:equalWidth="0" w:num="1">
            <w:col w:w="9019"/>
          </w:cols>
          <w:pgMar w:left="1440" w:top="305" w:right="1440" w:bottom="1440" w:gutter="0" w:footer="0" w:header="0"/>
          <w:type w:val="continuous"/>
        </w:sectPr>
      </w:pP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(617) 329-4524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Voting Common Stock, $0.0001 par value per share</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2"/>
              </w:rPr>
              <w:t>FLYW</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jc w:val="both"/>
        <w:ind w:left="640" w:right="679"/>
        <w:spacing w:after="0" w:line="255" w:lineRule="auto"/>
        <w:rPr>
          <w:sz w:val="20"/>
          <w:szCs w:val="20"/>
          <w:color w:val="auto"/>
        </w:rPr>
      </w:pPr>
      <w:r>
        <w:rPr>
          <w:rFonts w:ascii="Times New Roman" w:cs="Times New Roman" w:eastAsia="Times New Roman" w:hAnsi="Times New Roman"/>
          <w:sz w:val="13"/>
          <w:szCs w:val="13"/>
          <w:color w:val="auto"/>
        </w:rPr>
        <w:t>On November 7, 2024, Flywire Corporation (“Flywire” or the “Company”) issued a press release (the “Press Release”) and is holding a conference call regarding its preliminary and unaudited financial results for the quarter ended September 30, 2024. The Press Release is furnished as Exhibit 99.1 to this Current Report on Form 8-K and is incorporated by reference herein.</w:t>
      </w:r>
    </w:p>
    <w:p>
      <w:pPr>
        <w:spacing w:after="0" w:line="13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the effects of global events and geopolitical conflicts, including without limitation the continuing hostilities in Ukraine and involving Israel; Flywire’s ability to adapt to changes in U.S. federal income or other tax laws or the interpretation of tax laws, including the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2023, and Quarterly Report on Form 10-Q for the quarter ended June 30, 2024, which are on file with the Securities and Exchange Commission (SEC) and available on the SEC’s website at https://www.sec.gov/. Additional factors may be described in those sections of Flywire’s Quarterly Report on Form 10-Q for the quarter ended September 30, 2024, expected to be filed with the SEC in the fourth quarter of 2024. The information conveyed on the conference call is provided only as of the date of the conference call, and Flywire undertakes no obligation to update any forward-looking statements presented during the conference call on account of new information, future events, or otherwise, except as required by law.</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On November 7, 2024,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w:t>
      </w:r>
    </w:p>
    <w:p>
      <w:pPr>
        <w:spacing w:after="0" w:line="130" w:lineRule="exact"/>
        <w:rPr>
          <w:sz w:val="20"/>
          <w:szCs w:val="20"/>
          <w:color w:val="auto"/>
        </w:rPr>
      </w:pPr>
    </w:p>
    <w:p>
      <w:pPr>
        <w:jc w:val="both"/>
        <w:ind w:left="640" w:right="679"/>
        <w:spacing w:after="0" w:line="286" w:lineRule="auto"/>
        <w:rPr>
          <w:sz w:val="20"/>
          <w:szCs w:val="20"/>
          <w:color w:val="auto"/>
        </w:rPr>
      </w:pPr>
      <w:r>
        <w:rPr>
          <w:rFonts w:ascii="Times New Roman" w:cs="Times New Roman" w:eastAsia="Times New Roman" w:hAnsi="Times New Roman"/>
          <w:sz w:val="12"/>
          <w:szCs w:val="12"/>
          <w:color w:val="auto"/>
        </w:rPr>
        <w:t>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p>
      <w:pPr>
        <w:spacing w:after="0" w:line="21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6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Flywire Corporation Press Release dated November 7, 2024.</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Flywire Corporation Investor Presentation dated November 7, 2024.</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FLYWIRE CORPORATION</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Cosmin Pitigoi</w:t>
            </w:r>
          </w:p>
        </w:tc>
      </w:tr>
      <w:tr>
        <w:trPr>
          <w:trHeight w:val="138"/>
        </w:trPr>
        <w:tc>
          <w:tcPr>
            <w:tcW w:w="4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26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Cosmin Pitigoi</w:t>
            </w:r>
          </w:p>
        </w:tc>
      </w:tr>
      <w:tr>
        <w:trPr>
          <w:trHeight w:val="165"/>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bl>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Dated November 7, 2024</w:t>
      </w:r>
    </w:p>
    <w:p>
      <w:pPr>
        <w:sectPr>
          <w:pgSz w:w="11900" w:h="16838" w:orient="portrait"/>
          <w:cols w:equalWidth="0" w:num="1">
            <w:col w:w="9019"/>
          </w:cols>
          <w:pgMar w:left="1440" w:top="248"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Flywire Reports Third Quarter 2024 Financial Results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Third Quarter Revenue Increased 27.2% Year-over-Year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Third Quarter Revenue Less Ancillary Services Increased 29.6% Year-over-Year</w:t>
      </w:r>
    </w:p>
    <w:p>
      <w:pPr>
        <w:spacing w:after="0" w:line="154"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Boston, MA – November 7, 2024: </w:t>
      </w:r>
      <w:r>
        <w:rPr>
          <w:rFonts w:ascii="Times New Roman" w:cs="Times New Roman" w:eastAsia="Times New Roman" w:hAnsi="Times New Roman"/>
          <w:sz w:val="13"/>
          <w:szCs w:val="13"/>
          <w:u w:val="single" w:color="auto"/>
          <w:color w:val="auto"/>
        </w:rPr>
        <w:t>Flywire Corporation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(Nasdaq: FLYW) (“Flywire” or the “Company”) a global payments enablement and software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today reported financial results for its third quarter ended September 30, 2024.</w:t>
      </w:r>
    </w:p>
    <w:p>
      <w:pPr>
        <w:spacing w:after="0" w:line="121"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“Our third quarter results highlight our ability to capture higher payment volumes with new and existing clients, signaling the growth potential within our accounts and verticals.” said Mike Massaro, CEO of Flywire. “These results reflect our diversified business, strength of our land and expand Go To Market motion, and strong performance culture of our Flymates.”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Third Quarter 2024 Financial Highlights: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GAAP Results</w:t>
      </w:r>
    </w:p>
    <w:p>
      <w:pPr>
        <w:spacing w:after="0" w:line="87" w:lineRule="exact"/>
        <w:rPr>
          <w:sz w:val="20"/>
          <w:szCs w:val="20"/>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increased 27.2% to $156.8 million in the third quarter of 2024, compared to $123.3 million in the third quarter of 2023.</w:t>
      </w:r>
    </w:p>
    <w:p>
      <w:pPr>
        <w:spacing w:after="0" w:line="87" w:lineRule="exact"/>
        <w:rPr>
          <w:rFonts w:ascii="Times New Roman" w:cs="Times New Roman" w:eastAsia="Times New Roman" w:hAnsi="Times New Roman"/>
          <w:sz w:val="13"/>
          <w:szCs w:val="13"/>
          <w:color w:val="auto"/>
        </w:rPr>
      </w:pPr>
    </w:p>
    <w:p>
      <w:pPr>
        <w:ind w:left="1320" w:right="85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increased to $100.3 million, resulting in Gross Margin of 64.0%, for the third quarter of 2024, compared to Gross Profit of $78.4 million and Gross Margin of 63.6% in the third quarter of 2023.</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was $38.9 million in the third quarter of 2024, compared to net income of $10.6 million in the third quarter of 2023.</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Key Operating Metrics and Non-GAAP Results</w:t>
      </w:r>
    </w:p>
    <w:p>
      <w:pPr>
        <w:spacing w:after="0" w:line="87" w:lineRule="exact"/>
        <w:rPr>
          <w:sz w:val="20"/>
          <w:szCs w:val="20"/>
          <w:color w:val="auto"/>
        </w:rPr>
      </w:pPr>
    </w:p>
    <w:p>
      <w:pPr>
        <w:ind w:left="1320" w:hanging="303"/>
        <w:spacing w:after="0"/>
        <w:tabs>
          <w:tab w:leader="none" w:pos="1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Payment Volume increased 24.2% to $11.0 billion in the third quarter of 2024, compared to $8.9 billion in the third quarter of 2023.</w:t>
      </w:r>
    </w:p>
    <w:p>
      <w:pPr>
        <w:spacing w:after="0" w:line="98" w:lineRule="exact"/>
        <w:rPr>
          <w:rFonts w:ascii="Times New Roman" w:cs="Times New Roman" w:eastAsia="Times New Roman" w:hAnsi="Times New Roman"/>
          <w:sz w:val="12"/>
          <w:szCs w:val="12"/>
          <w:color w:val="auto"/>
        </w:rPr>
      </w:pPr>
    </w:p>
    <w:p>
      <w:pPr>
        <w:ind w:left="1320" w:right="659" w:hanging="303"/>
        <w:spacing w:after="0" w:line="255"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Less Ancillary Services increased 29.6% to $151.4 million in the third quarter of 2024, compared to $116.8 million in the third quarter of 2023. Revenue Less Ancillary Services in the third quarter of 2024 was favorably impacted by changes in foreign exchange rates between June 30, 2024 and September 30, 2024 by approximately $2.5 million.</w:t>
      </w:r>
    </w:p>
    <w:p>
      <w:pPr>
        <w:spacing w:after="0" w:line="63" w:lineRule="exact"/>
        <w:rPr>
          <w:rFonts w:ascii="Times New Roman" w:cs="Times New Roman" w:eastAsia="Times New Roman" w:hAnsi="Times New Roman"/>
          <w:sz w:val="13"/>
          <w:szCs w:val="13"/>
          <w:color w:val="auto"/>
        </w:rPr>
      </w:pPr>
    </w:p>
    <w:p>
      <w:pPr>
        <w:ind w:left="1320" w:right="101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increased to $101.9 million, up 27.2% compared to $80.1 million in the third quarter of 2023. Adjusted Gross Margin was 67.3% in the third quarter of 2024 compared to 68.6% in the third quarter of 2023.</w:t>
      </w:r>
    </w:p>
    <w:p>
      <w:pPr>
        <w:spacing w:after="0" w:line="55" w:lineRule="exact"/>
        <w:rPr>
          <w:rFonts w:ascii="Times New Roman" w:cs="Times New Roman" w:eastAsia="Times New Roman" w:hAnsi="Times New Roman"/>
          <w:sz w:val="13"/>
          <w:szCs w:val="13"/>
          <w:color w:val="auto"/>
        </w:rPr>
      </w:pPr>
    </w:p>
    <w:p>
      <w:pPr>
        <w:ind w:left="1320" w:right="93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increased to $42.2 million in the third quarter of 2024, compared to $27.5 million in the third quarter of 2023. Our adjusted EBITDA margins increased 429 bps year-over-year to 27.9% in the third quarter of 2024.</w:t>
      </w:r>
    </w:p>
    <w:p>
      <w:pPr>
        <w:sectPr>
          <w:pgSz w:w="11900" w:h="16838" w:orient="portrait"/>
          <w:cols w:equalWidth="0" w:num="1">
            <w:col w:w="9019"/>
          </w:cols>
          <w:pgMar w:left="1440" w:top="125"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Third Quarter 2024 and Recent Business Highlights:</w:t>
      </w:r>
    </w:p>
    <w:p>
      <w:pPr>
        <w:spacing w:after="0" w:line="89" w:lineRule="exact"/>
        <w:rPr>
          <w:sz w:val="20"/>
          <w:szCs w:val="20"/>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Signed more than 200 new clients across all verticals.</w:t>
      </w:r>
    </w:p>
    <w:p>
      <w:pPr>
        <w:spacing w:after="0" w:line="87" w:lineRule="exact"/>
        <w:rPr>
          <w:rFonts w:ascii="Times New Roman" w:cs="Times New Roman" w:eastAsia="Times New Roman" w:hAnsi="Times New Roman"/>
          <w:sz w:val="13"/>
          <w:szCs w:val="13"/>
          <w:color w:val="auto"/>
        </w:rPr>
      </w:pPr>
    </w:p>
    <w:p>
      <w:pPr>
        <w:ind w:left="1320" w:right="71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Showcased strengths in its U.S. higher education business at its inaugural client conference, Flywire Fusion, which brought together more than 100 top U.S. institutions benefiting from Flywire’s cross-border and domestic payments solutions.</w:t>
      </w:r>
    </w:p>
    <w:p>
      <w:pPr>
        <w:spacing w:after="0" w:line="55" w:lineRule="exact"/>
        <w:rPr>
          <w:rFonts w:ascii="Times New Roman" w:cs="Times New Roman" w:eastAsia="Times New Roman" w:hAnsi="Times New Roman"/>
          <w:sz w:val="13"/>
          <w:szCs w:val="13"/>
          <w:color w:val="auto"/>
        </w:rPr>
      </w:pPr>
    </w:p>
    <w:p>
      <w:pPr>
        <w:ind w:left="1320" w:right="87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Enhanced the payer experience for international students and seamlessly supported the nearly 2x Total Payment Volume spike in its Q3 peak education quarter compared to the average Total Payment Volume processed during the first 2 quarters of the year.</w:t>
      </w:r>
    </w:p>
    <w:p>
      <w:pPr>
        <w:spacing w:after="0" w:line="55" w:lineRule="exact"/>
        <w:rPr>
          <w:rFonts w:ascii="Times New Roman" w:cs="Times New Roman" w:eastAsia="Times New Roman" w:hAnsi="Times New Roman"/>
          <w:sz w:val="13"/>
          <w:szCs w:val="13"/>
          <w:color w:val="auto"/>
        </w:rPr>
      </w:pPr>
    </w:p>
    <w:p>
      <w:pPr>
        <w:ind w:left="1320" w:right="79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Repurchased 1.3 million shares for approximately $23 million, inclusive of commissions, under its share repurchase program announced on August 6th, 2024.</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Fourth Quarter and Fiscal-Year 2024 Outlook:</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“We delivered another strong quarter with both revenue and Adjusted EBITDA coming in at the high end of our guidance, driven by strong core performance across our verticals, during our largest education peak quarter”, said Cosmin Pitigoi, CFO of Flywire. “For Full Year 2024, we are raising the low end of revenue and Adjusted EBITDA guidance. Flywire has been and expects to continue to be a Rule of 40 company and we are confident in our strong Free Cash Flow and GAAP net income profitability trajectory ahead.”</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Based on information available as of November 7, 2024, Flywire anticipates the following results for the fourth quarter and Fiscal-Year 2024.</w:t>
      </w:r>
    </w:p>
    <w:p>
      <w:pPr>
        <w:spacing w:after="0" w:line="169" w:lineRule="exact"/>
        <w:rPr>
          <w:sz w:val="20"/>
          <w:szCs w:val="20"/>
          <w:color w:val="auto"/>
        </w:rPr>
      </w:pPr>
    </w:p>
    <w:tbl>
      <w:tblPr>
        <w:tblLayout w:type="fixed"/>
        <w:tblInd w:w="1880" w:type="dxa"/>
        <w:tblCellMar>
          <w:top w:w="0" w:type="dxa"/>
          <w:left w:w="0" w:type="dxa"/>
          <w:bottom w:w="0" w:type="dxa"/>
          <w:right w:w="0" w:type="dxa"/>
        </w:tblCellMar>
      </w:tblPr>
      <w:tr>
        <w:trPr>
          <w:trHeight w:val="121"/>
        </w:trPr>
        <w:tc>
          <w:tcPr>
            <w:tcW w:w="4080" w:type="dxa"/>
            <w:vAlign w:val="bottom"/>
            <w:tcBorders>
              <w:bottom w:val="single" w:sz="8" w:color="CCEEFF"/>
            </w:tcBorders>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Fiscal-Year 2024*</w:t>
            </w:r>
          </w:p>
        </w:tc>
      </w:tr>
      <w:tr>
        <w:trPr>
          <w:trHeight w:val="141"/>
        </w:trPr>
        <w:tc>
          <w:tcPr>
            <w:tcW w:w="40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16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6"/>
              </w:rPr>
              <w:t>$495 to $503 million</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$479 to $485 million</w:t>
            </w: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$76 to $80 million</w:t>
            </w:r>
          </w:p>
        </w:tc>
      </w:tr>
    </w:tbl>
    <w:p>
      <w:pPr>
        <w:sectPr>
          <w:pgSz w:w="11900" w:h="16838" w:orient="portrait"/>
          <w:cols w:equalWidth="0" w:num="1">
            <w:col w:w="9019"/>
          </w:cols>
          <w:pgMar w:left="1440" w:top="229" w:right="1440"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121"/>
        </w:trPr>
        <w:tc>
          <w:tcPr>
            <w:tcW w:w="414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Fourth Quarter 2024*</w:t>
            </w:r>
          </w:p>
        </w:tc>
      </w:tr>
      <w:tr>
        <w:trPr>
          <w:trHeight w:val="141"/>
        </w:trPr>
        <w:tc>
          <w:tcPr>
            <w:tcW w:w="4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10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6"/>
              </w:rPr>
              <w:t>$121 to $129 million</w:t>
            </w: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$118 to $124 million</w:t>
            </w:r>
          </w:p>
        </w:tc>
      </w:tr>
      <w:tr>
        <w:trPr>
          <w:trHeight w:val="15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$15 to $19 million</w:t>
            </w:r>
          </w:p>
        </w:tc>
      </w:tr>
    </w:tbl>
    <w:p>
      <w:pPr>
        <w:spacing w:after="0" w:line="158" w:lineRule="exact"/>
        <w:rPr>
          <w:sz w:val="20"/>
          <w:szCs w:val="20"/>
          <w:color w:val="auto"/>
        </w:rPr>
      </w:pPr>
    </w:p>
    <w:p>
      <w:pPr>
        <w:ind w:left="940" w:hanging="303"/>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assumed foreign exchange rates prevailing as of September 30, 2024.</w:t>
      </w:r>
    </w:p>
    <w:p>
      <w:pPr>
        <w:spacing w:after="0" w:line="15" w:lineRule="exact"/>
        <w:rPr>
          <w:sz w:val="20"/>
          <w:szCs w:val="20"/>
          <w:color w:val="auto"/>
        </w:rPr>
      </w:pPr>
    </w:p>
    <w:p>
      <w:pPr>
        <w:ind w:left="940" w:right="659" w:hanging="303"/>
        <w:spacing w:after="0" w:line="244" w:lineRule="auto"/>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Flywire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w:t>
      </w:r>
    </w:p>
    <w:p>
      <w:pPr>
        <w:spacing w:after="0" w:line="137" w:lineRule="exact"/>
        <w:rPr>
          <w:sz w:val="20"/>
          <w:szCs w:val="20"/>
          <w:color w:val="auto"/>
        </w:rPr>
      </w:pPr>
    </w:p>
    <w:p>
      <w:pPr>
        <w:ind w:left="640" w:right="1019"/>
        <w:spacing w:after="0" w:line="267" w:lineRule="auto"/>
        <w:rPr>
          <w:sz w:val="20"/>
          <w:szCs w:val="20"/>
          <w:color w:val="auto"/>
        </w:rPr>
      </w:pPr>
      <w:r>
        <w:rPr>
          <w:rFonts w:ascii="Times New Roman" w:cs="Times New Roman" w:eastAsia="Times New Roman" w:hAnsi="Times New Roman"/>
          <w:sz w:val="13"/>
          <w:szCs w:val="13"/>
          <w:color w:val="auto"/>
        </w:rPr>
        <w:t>These statements are forward-looking and actual results may differ materially. Refer to the “Safe Harbor Statement” below for information on the factors that could cause Flywire’s actual results to differ materially from these forward-looking statements.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w:t>
      </w:r>
    </w:p>
    <w:p>
      <w:pPr>
        <w:spacing w:after="0" w:line="80" w:lineRule="exact"/>
        <w:rPr>
          <w:sz w:val="20"/>
          <w:szCs w:val="20"/>
          <w:color w:val="auto"/>
        </w:rPr>
      </w:pPr>
    </w:p>
    <w:p>
      <w:pPr>
        <w:jc w:val="both"/>
        <w:ind w:left="640" w:right="899"/>
        <w:spacing w:after="0" w:line="255" w:lineRule="auto"/>
        <w:rPr>
          <w:sz w:val="20"/>
          <w:szCs w:val="20"/>
          <w:color w:val="auto"/>
        </w:rPr>
      </w:pPr>
      <w:r>
        <w:rPr>
          <w:rFonts w:ascii="Times New Roman" w:cs="Times New Roman" w:eastAsia="Times New Roman" w:hAnsi="Times New Roman"/>
          <w:sz w:val="13"/>
          <w:szCs w:val="13"/>
          <w:color w:val="auto"/>
        </w:rPr>
        <w:t xml:space="preserve">The Company will host a conference call to discuss third quarter 2024 financial results today at 5:00 pm ET. Hosting the call will be Mike Massaro, CEO, Rob Orgel, President and COO, and Cosmin Pitigoi, CFO. The conference call can be accessed live via webcast from the Company’s investor relations website at </w:t>
      </w:r>
      <w:r>
        <w:rPr>
          <w:rFonts w:ascii="Times New Roman" w:cs="Times New Roman" w:eastAsia="Times New Roman" w:hAnsi="Times New Roman"/>
          <w:sz w:val="13"/>
          <w:szCs w:val="13"/>
          <w:u w:val="single" w:color="auto"/>
          <w:color w:val="auto"/>
        </w:rPr>
        <w:t>https://ir.flywire.com/</w:t>
      </w:r>
      <w:r>
        <w:rPr>
          <w:rFonts w:ascii="Times New Roman" w:cs="Times New Roman" w:eastAsia="Times New Roman" w:hAnsi="Times New Roman"/>
          <w:sz w:val="13"/>
          <w:szCs w:val="13"/>
          <w:color w:val="auto"/>
        </w:rPr>
        <w:t>. A replay will be available on the investor relations website following the call.</w:t>
      </w:r>
    </w:p>
    <w:p>
      <w:pPr>
        <w:sectPr>
          <w:pgSz w:w="11900" w:h="16838" w:orient="portrait"/>
          <w:cols w:equalWidth="0" w:num="1">
            <w:col w:w="9019"/>
          </w:cols>
          <w:pgMar w:left="1440" w:top="227"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 Regarding Share Repurchase Program</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Repurchases under the Company’s share repurchase program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The Repurchase Program does not expire and may be modified, suspended or terminated at any time without notice at the Company’s discretion.</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Key Operating Metrics and Non-GAAP Financial Measures</w:t>
      </w:r>
    </w:p>
    <w:p>
      <w:pPr>
        <w:spacing w:after="0" w:line="80" w:lineRule="exact"/>
        <w:rPr>
          <w:sz w:val="20"/>
          <w:szCs w:val="20"/>
          <w:color w:val="auto"/>
        </w:rPr>
      </w:pPr>
    </w:p>
    <w:p>
      <w:pPr>
        <w:ind w:left="640" w:right="859"/>
        <w:spacing w:after="0" w:line="270" w:lineRule="auto"/>
        <w:rPr>
          <w:sz w:val="20"/>
          <w:szCs w:val="20"/>
          <w:color w:val="auto"/>
        </w:rPr>
      </w:pPr>
      <w:r>
        <w:rPr>
          <w:rFonts w:ascii="Times New Roman" w:cs="Times New Roman" w:eastAsia="Times New Roman" w:hAnsi="Times New Roman"/>
          <w:sz w:val="12"/>
          <w:szCs w:val="12"/>
          <w:color w:val="auto"/>
        </w:rPr>
        <w:t>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 to 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w:t>
      </w:r>
    </w:p>
    <w:p>
      <w:pPr>
        <w:spacing w:after="0" w:line="123"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Flywire uses supplemental measures of its performance which are derived from its consolidated financial information, but which are not presented in its consolidated financial statements prepared in accordance with GAAP. These non-GAAP financial measures include the following:</w:t>
      </w:r>
    </w:p>
    <w:p>
      <w:pPr>
        <w:spacing w:after="0" w:line="56" w:lineRule="exact"/>
        <w:rPr>
          <w:sz w:val="20"/>
          <w:szCs w:val="20"/>
          <w:color w:val="auto"/>
        </w:rPr>
      </w:pPr>
    </w:p>
    <w:p>
      <w:pPr>
        <w:ind w:left="1320" w:right="859" w:hanging="303"/>
        <w:spacing w:after="0" w:line="251"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Less Ancillary Services. Revenue Less Ancillary Services represents the Company’s consolidated revenue in accordance with GAAP after excluding (i) pass-through cost for printing and mailing services and (ii) marketing fees. The Company excludes these amounts to arrive at this supplemental non-GAAP financial measure as it views these services as ancillary to the primary services it provides to its clients.</w:t>
      </w:r>
    </w:p>
    <w:p>
      <w:pPr>
        <w:sectPr>
          <w:pgSz w:w="11900" w:h="16838" w:orient="portrait"/>
          <w:cols w:equalWidth="0" w:num="1">
            <w:col w:w="9019"/>
          </w:cols>
          <w:pgMar w:left="1440" w:top="229" w:right="1440" w:bottom="1440" w:gutter="0" w:footer="0" w:header="0"/>
        </w:sectPr>
      </w:pPr>
    </w:p>
    <w:bookmarkStart w:id="8" w:name="page9"/>
    <w:bookmarkEnd w:id="8"/>
    <w:p>
      <w:pPr>
        <w:ind w:left="1320" w:right="659" w:hanging="303"/>
        <w:spacing w:after="0" w:line="248"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Adjusted Gross Margin represents Adjusted Gross Profit divided by Revenue Less Ancillary Services. Management believes this presentation supplements the GAAP presentation of Gross Margin with a useful measure of the gross margin of the Company’s payment-related services, which are the primary services it provides to its clients.</w:t>
      </w:r>
    </w:p>
    <w:p>
      <w:pPr>
        <w:spacing w:after="0" w:line="68" w:lineRule="exact"/>
        <w:rPr>
          <w:rFonts w:ascii="Times New Roman" w:cs="Times New Roman" w:eastAsia="Times New Roman" w:hAnsi="Times New Roman"/>
          <w:sz w:val="13"/>
          <w:szCs w:val="13"/>
          <w:color w:val="auto"/>
        </w:rPr>
      </w:pPr>
    </w:p>
    <w:p>
      <w:pPr>
        <w:ind w:left="1320" w:right="739" w:hanging="303"/>
        <w:spacing w:after="0" w:line="248"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Adjusted EBITDA represents EBITDA further adjusted by excluding (i) stock-based compensation expense 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the Company’s business.</w:t>
      </w:r>
    </w:p>
    <w:p>
      <w:pPr>
        <w:spacing w:after="0" w:line="68" w:lineRule="exact"/>
        <w:rPr>
          <w:rFonts w:ascii="Times New Roman" w:cs="Times New Roman" w:eastAsia="Times New Roman" w:hAnsi="Times New Roman"/>
          <w:sz w:val="13"/>
          <w:szCs w:val="13"/>
          <w:color w:val="auto"/>
        </w:rPr>
      </w:pPr>
    </w:p>
    <w:p>
      <w:pPr>
        <w:ind w:left="1320" w:right="739" w:hanging="303"/>
        <w:spacing w:after="0" w:line="249"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Less Ancillary Services at Constant Currency. Revenue Less Ancillary Services at Constant Currency represents Revenue Less Ancillary Services adjusted to show presentation on a constant currency basis. The constant currency information presented is calculated by translating current period results using prior period weighted average foreign currency exchange rates. Flywire analyzes Revenue Less Ancillary Services on a constant currency basis to provide a comparable framework for assessing how the business performed excluding the effect of foreign currency fluctuations.</w:t>
      </w:r>
    </w:p>
    <w:p>
      <w:pPr>
        <w:spacing w:after="0" w:line="67" w:lineRule="exact"/>
        <w:rPr>
          <w:rFonts w:ascii="Times New Roman" w:cs="Times New Roman" w:eastAsia="Times New Roman" w:hAnsi="Times New Roman"/>
          <w:sz w:val="13"/>
          <w:szCs w:val="13"/>
          <w:color w:val="auto"/>
        </w:rPr>
      </w:pPr>
    </w:p>
    <w:p>
      <w:pPr>
        <w:ind w:left="1320" w:right="659" w:hanging="303"/>
        <w:spacing w:after="0" w:line="251"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Expenses - 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and (v) the impact from the change in fair value measurement for contingent consideration associated with acquisitions.</w:t>
      </w:r>
    </w:p>
    <w:p>
      <w:pPr>
        <w:spacing w:after="0" w:line="133"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These non-GAAP financial measures are not meant to be considered as indicators of performance in isolation from or as a substitute for the Company’s revenue, gross profit, gross margin or net income (loss), or operating expenses prepared in accordance with</w:t>
      </w:r>
    </w:p>
    <w:p>
      <w:pPr>
        <w:sectPr>
          <w:pgSz w:w="11900" w:h="16838" w:orient="portrait"/>
          <w:cols w:equalWidth="0" w:num="1">
            <w:col w:w="9019"/>
          </w:cols>
          <w:pgMar w:left="1440" w:top="231" w:right="1440" w:bottom="1440" w:gutter="0" w:footer="0" w:header="0"/>
        </w:sectPr>
      </w:pPr>
    </w:p>
    <w:bookmarkStart w:id="9" w:name="page10"/>
    <w:bookmarkEnd w:id="9"/>
    <w:p>
      <w:pPr>
        <w:ind w:left="640" w:right="75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GAAP and should be read only in conjunction with financial information presented on a GAAP basis. Reconciliations of Revenue Less Ancillary Services, Revenue Less Ancillary Services at Constant Currency, Adjusted Gross Profit, Adjusted Gross Margin, Adjusted EBITDA and non-GAAP Operating Expenses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 Flywire has not provided a quantitative reconciliation of forecasted Adjusted EBITDA to forecasted GAAP net income (loss) or to forecasted GAAP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Flywire</w:t>
      </w:r>
    </w:p>
    <w:p>
      <w:pPr>
        <w:spacing w:after="0" w:line="80" w:lineRule="exact"/>
        <w:rPr>
          <w:sz w:val="20"/>
          <w:szCs w:val="20"/>
          <w:color w:val="auto"/>
        </w:rPr>
      </w:pPr>
    </w:p>
    <w:p>
      <w:pPr>
        <w:ind w:left="640" w:right="1099"/>
        <w:spacing w:after="0" w:line="267" w:lineRule="auto"/>
        <w:rPr>
          <w:sz w:val="20"/>
          <w:szCs w:val="20"/>
          <w:color w:val="auto"/>
        </w:rPr>
      </w:pPr>
      <w:r>
        <w:rPr>
          <w:rFonts w:ascii="Times New Roman" w:cs="Times New Roman" w:eastAsia="Times New Roman" w:hAnsi="Times New Roman"/>
          <w:sz w:val="13"/>
          <w:szCs w:val="13"/>
          <w:color w:val="auto"/>
        </w:rPr>
        <w:t>Flywire is a global payments enablement and software company. Flywire combines its proprietary global payments network, next-gen payments platform and vertical-specific software to deliver the most important and complex payments for its clients and their customers.</w:t>
      </w:r>
    </w:p>
    <w:p>
      <w:pPr>
        <w:spacing w:after="0" w:line="122"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w:t>
      </w:r>
    </w:p>
    <w:p>
      <w:pPr>
        <w:spacing w:after="0" w:line="130"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 xml:space="preserve">Flywire supports more than 4,000* clients with diverse payment methods in more than 140 currencies across 240 countries and territories around the world. Flywire is headquartered in Boston, MA, USA with additional offices around the globe. For more information, visit </w:t>
      </w:r>
      <w:r>
        <w:rPr>
          <w:rFonts w:ascii="Times New Roman" w:cs="Times New Roman" w:eastAsia="Times New Roman" w:hAnsi="Times New Roman"/>
          <w:sz w:val="13"/>
          <w:szCs w:val="13"/>
          <w:b w:val="1"/>
          <w:bCs w:val="1"/>
          <w:u w:val="single" w:color="auto"/>
          <w:color w:val="auto"/>
        </w:rPr>
        <w:t>www.flywire.com</w:t>
      </w:r>
      <w:r>
        <w:rPr>
          <w:rFonts w:ascii="Times New Roman" w:cs="Times New Roman" w:eastAsia="Times New Roman" w:hAnsi="Times New Roman"/>
          <w:sz w:val="13"/>
          <w:szCs w:val="13"/>
          <w:color w:val="auto"/>
        </w:rPr>
        <w:t xml:space="preserve">. Follow Flywire on </w:t>
      </w:r>
      <w:r>
        <w:rPr>
          <w:rFonts w:ascii="Times New Roman" w:cs="Times New Roman" w:eastAsia="Times New Roman" w:hAnsi="Times New Roman"/>
          <w:sz w:val="13"/>
          <w:szCs w:val="13"/>
          <w:u w:val="single" w:color="auto"/>
          <w:color w:val="auto"/>
        </w:rPr>
        <w:t>X</w:t>
      </w:r>
      <w:r>
        <w:rPr>
          <w:rFonts w:ascii="Times New Roman" w:cs="Times New Roman" w:eastAsia="Times New Roman" w:hAnsi="Times New Roman"/>
          <w:sz w:val="13"/>
          <w:szCs w:val="13"/>
          <w:color w:val="auto"/>
        </w:rPr>
        <w:t xml:space="preserve"> (formerly known as Twitter), </w:t>
      </w:r>
      <w:r>
        <w:rPr>
          <w:rFonts w:ascii="Times New Roman" w:cs="Times New Roman" w:eastAsia="Times New Roman" w:hAnsi="Times New Roman"/>
          <w:sz w:val="13"/>
          <w:szCs w:val="13"/>
          <w:b w:val="1"/>
          <w:bCs w:val="1"/>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u w:val="single" w:color="auto"/>
          <w:color w:val="auto"/>
        </w:rPr>
        <w:t>Facebook</w:t>
      </w:r>
      <w:r>
        <w:rPr>
          <w:rFonts w:ascii="Times New Roman" w:cs="Times New Roman" w:eastAsia="Times New Roman" w:hAnsi="Times New Roman"/>
          <w:sz w:val="13"/>
          <w:szCs w:val="13"/>
          <w:color w:val="auto"/>
        </w:rPr>
        <w:t>.</w:t>
      </w:r>
    </w:p>
    <w:p>
      <w:pPr>
        <w:spacing w:after="0" w:line="147" w:lineRule="exact"/>
        <w:rPr>
          <w:sz w:val="20"/>
          <w:szCs w:val="20"/>
          <w:color w:val="auto"/>
        </w:rPr>
      </w:pPr>
    </w:p>
    <w:p>
      <w:pPr>
        <w:ind w:left="940" w:hanging="303"/>
        <w:spacing w:after="0"/>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excludes clients acquired from the Invoiced acquisition</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Safe Harbor Statement</w:t>
      </w:r>
    </w:p>
    <w:p>
      <w:pPr>
        <w:spacing w:after="0" w:line="80"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w:t>
      </w:r>
    </w:p>
    <w:p>
      <w:pPr>
        <w:sectPr>
          <w:pgSz w:w="11900" w:h="16838" w:orient="portrait"/>
          <w:cols w:equalWidth="0" w:num="1">
            <w:col w:w="9019"/>
          </w:cols>
          <w:pgMar w:left="1440" w:top="231" w:right="1440" w:bottom="1440" w:gutter="0" w:footer="0" w:header="0"/>
        </w:sectPr>
      </w:pPr>
    </w:p>
    <w:bookmarkStart w:id="10" w:name="page11"/>
    <w:bookmarkEnd w:id="10"/>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the effects of global events and geopolitical conflicts, including without limitation the continuing hostilities in Ukraine and involving Israel; Flywire’s ability to adapt to changes in U.S. federal income or other tax laws or the interpretation of tax laws, including the Inflation Reduction Act of 2022; Flywire’s ability to attract and retain qualified employees; Flywire’s ability to maintain,</w:t>
      </w:r>
    </w:p>
    <w:p>
      <w:pPr>
        <w:sectPr>
          <w:pgSz w:w="11900" w:h="16838" w:orient="portrait"/>
          <w:cols w:equalWidth="0" w:num="1">
            <w:col w:w="9019"/>
          </w:cols>
          <w:pgMar w:left="1440" w:top="231" w:right="1440" w:bottom="1440" w:gutter="0" w:footer="0" w:header="0"/>
        </w:sectPr>
      </w:pPr>
    </w:p>
    <w:bookmarkStart w:id="11" w:name="page12"/>
    <w:bookmarkEnd w:id="11"/>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2023, and Quarterly Report on Form 10-Q for the quarter ended June 30, 2024, which are on file with the Securities and Exchange Commission (SEC) and available on the SEC’s website at https://www.sec.gov/. Additional factors may be described in those sections of Flywire’s Quarterly Report on Form 10-Q for the quarter ended September 30, 2024, expected to be filed with the SEC in the fourth quarter of 2024.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Masha Kahn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ir@Flywire.com</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Sarah King</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Media@Flywire.com</w:t>
      </w:r>
    </w:p>
    <w:p>
      <w:pPr>
        <w:sectPr>
          <w:pgSz w:w="11900" w:h="16838" w:orient="portrait"/>
          <w:cols w:equalWidth="0" w:num="1">
            <w:col w:w="9019"/>
          </w:cols>
          <w:pgMar w:left="1440" w:top="231"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Statements of Operations and Comprehensive Loss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 (Amounts 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6"/>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21"/>
        </w:trPr>
        <w:tc>
          <w:tcPr>
            <w:tcW w:w="3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tcPr>
          <w:p>
            <w:pPr>
              <w:jc w:val="right"/>
              <w:ind w:right="7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6"/>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386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198"/>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177"/>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178"/>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197"/>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8"/>
                <w:szCs w:val="8"/>
                <w:color w:val="auto"/>
              </w:rPr>
            </w:pPr>
          </w:p>
        </w:tc>
      </w:tr>
      <w:tr>
        <w:trPr>
          <w:trHeight w:val="141"/>
        </w:trPr>
        <w:tc>
          <w:tcPr>
            <w:tcW w:w="38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156,815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123,323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374,594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302,549</w:t>
            </w:r>
          </w:p>
        </w:tc>
        <w:tc>
          <w:tcPr>
            <w:tcW w:w="80" w:type="dxa"/>
            <w:vAlign w:val="bottom"/>
            <w:shd w:val="clear" w:color="auto" w:fill="CCEEFF"/>
          </w:tcPr>
          <w:p>
            <w:pPr>
              <w:spacing w:after="0"/>
              <w:rPr>
                <w:sz w:val="12"/>
                <w:szCs w:val="12"/>
                <w:color w:val="auto"/>
              </w:rPr>
            </w:pPr>
          </w:p>
        </w:tc>
      </w:tr>
      <w:tr>
        <w:trPr>
          <w:trHeight w:val="152"/>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Costs and operating expenses: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processing services costs</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54,557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42,900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136,106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110,559</w:t>
            </w:r>
          </w:p>
        </w:tc>
      </w:tr>
      <w:tr>
        <w:trPr>
          <w:trHeight w:val="152"/>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Technology and development</w:t>
            </w: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16,695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14,591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49,266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45,130</w:t>
            </w:r>
          </w:p>
        </w:tc>
      </w:tr>
      <w:tr>
        <w:trPr>
          <w:trHeight w:val="15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and marketing</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34,228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27,084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96,082</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78,791</w:t>
            </w:r>
          </w:p>
        </w:tc>
      </w:tr>
      <w:tr>
        <w:trPr>
          <w:trHeight w:val="152"/>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31,065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26,862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94,620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79,559</w:t>
            </w:r>
          </w:p>
        </w:tc>
      </w:tr>
      <w:tr>
        <w:trPr>
          <w:trHeight w:val="20"/>
        </w:trPr>
        <w:tc>
          <w:tcPr>
            <w:tcW w:w="3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costs and operating expenses</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136,545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111,437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376,074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314,039</w:t>
            </w:r>
          </w:p>
        </w:tc>
      </w:tr>
      <w:tr>
        <w:trPr>
          <w:trHeight w:val="151"/>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20,270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11,886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(11,490)</w:t>
            </w:r>
          </w:p>
        </w:tc>
        <w:tc>
          <w:tcPr>
            <w:tcW w:w="80" w:type="dxa"/>
            <w:vAlign w:val="bottom"/>
          </w:tcPr>
          <w:p>
            <w:pPr>
              <w:spacing w:after="0"/>
              <w:rPr>
                <w:sz w:val="13"/>
                <w:szCs w:val="13"/>
                <w:color w:val="auto"/>
              </w:rPr>
            </w:pPr>
          </w:p>
        </w:tc>
      </w:tr>
      <w:tr>
        <w:trPr>
          <w:trHeight w:val="151"/>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(280)</w:t>
            </w:r>
          </w:p>
        </w:tc>
      </w:tr>
      <w:tr>
        <w:trPr>
          <w:trHeight w:val="15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3,841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16,568</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7,711</w:t>
            </w:r>
          </w:p>
        </w:tc>
      </w:tr>
      <w:tr>
        <w:trPr>
          <w:trHeight w:val="152"/>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Gain (loss) from remeasurement of foreign currency</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(4,233)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2,079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(3,518)</w:t>
            </w:r>
          </w:p>
        </w:tc>
      </w:tr>
      <w:tr>
        <w:trPr>
          <w:trHeight w:val="20"/>
        </w:trPr>
        <w:tc>
          <w:tcPr>
            <w:tcW w:w="3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(491)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18,244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3,913</w:t>
            </w:r>
          </w:p>
        </w:tc>
      </w:tr>
      <w:tr>
        <w:trPr>
          <w:trHeight w:val="151"/>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Income (loss) before provision for income taxes</w:t>
            </w: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30,569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11,395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16,764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(7,577)</w:t>
            </w:r>
          </w:p>
        </w:tc>
        <w:tc>
          <w:tcPr>
            <w:tcW w:w="80" w:type="dxa"/>
            <w:vAlign w:val="bottom"/>
          </w:tcPr>
          <w:p>
            <w:pPr>
              <w:spacing w:after="0"/>
              <w:rPr>
                <w:sz w:val="13"/>
                <w:szCs w:val="13"/>
                <w:color w:val="auto"/>
              </w:rPr>
            </w:pPr>
          </w:p>
        </w:tc>
      </w:tr>
      <w:tr>
        <w:trPr>
          <w:trHeight w:val="15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(benefit) for income taxes</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(8,327)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752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(2,035)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2,276</w:t>
            </w:r>
          </w:p>
        </w:tc>
      </w:tr>
      <w:tr>
        <w:trPr>
          <w:trHeight w:val="151"/>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38,896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10,643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18,799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(9,853)</w:t>
            </w:r>
          </w:p>
        </w:tc>
        <w:tc>
          <w:tcPr>
            <w:tcW w:w="80" w:type="dxa"/>
            <w:vAlign w:val="bottom"/>
          </w:tcPr>
          <w:p>
            <w:pPr>
              <w:spacing w:after="0"/>
              <w:rPr>
                <w:sz w:val="13"/>
                <w:szCs w:val="13"/>
                <w:color w:val="auto"/>
              </w:rPr>
            </w:pPr>
          </w:p>
        </w:tc>
      </w:tr>
      <w:tr>
        <w:trPr>
          <w:trHeight w:val="15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(2,581)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3,736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(499)</w:t>
            </w:r>
          </w:p>
        </w:tc>
      </w:tr>
      <w:tr>
        <w:trPr>
          <w:trHeight w:val="152"/>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gains (losses) on available-for-sale debt securities, net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20"/>
        </w:trPr>
        <w:tc>
          <w:tcPr>
            <w:tcW w:w="3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4,385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(499)</w:t>
            </w:r>
          </w:p>
        </w:tc>
      </w:tr>
      <w:tr>
        <w:trPr>
          <w:trHeight w:val="159"/>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 (loss)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44,502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23,184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(10,352)</w:t>
            </w:r>
          </w:p>
        </w:tc>
        <w:tc>
          <w:tcPr>
            <w:tcW w:w="80" w:type="dxa"/>
            <w:vAlign w:val="bottom"/>
          </w:tcPr>
          <w:p>
            <w:pPr>
              <w:spacing w:after="0"/>
              <w:rPr>
                <w:sz w:val="13"/>
                <w:szCs w:val="13"/>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3"/>
                <w:szCs w:val="13"/>
                <w:color w:val="auto"/>
              </w:rPr>
              <w:t>Net income (loss) attributable to common stockholders - basic and</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3"/>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38,896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10,643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18,799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(9,853)</w:t>
            </w: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Net income (loss) per share attributable to common stockholders -</w:t>
            </w: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73"/>
        </w:trPr>
        <w:tc>
          <w:tcPr>
            <w:tcW w:w="3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(0.09)</w:t>
            </w: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3"/>
                <w:szCs w:val="13"/>
                <w:color w:val="auto"/>
              </w:rPr>
              <w:t>Net income (loss) per share attributable to common stockholders -</w:t>
            </w: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3"/>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(0.09)</w:t>
            </w:r>
          </w:p>
        </w:tc>
      </w:tr>
      <w:tr>
        <w:trPr>
          <w:trHeight w:val="170"/>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124,887,591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116,492,191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124,204,873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112,495,539</w:t>
            </w:r>
          </w:p>
        </w:tc>
        <w:tc>
          <w:tcPr>
            <w:tcW w:w="80" w:type="dxa"/>
            <w:vAlign w:val="bottom"/>
          </w:tcPr>
          <w:p>
            <w:pPr>
              <w:spacing w:after="0"/>
              <w:rPr>
                <w:sz w:val="14"/>
                <w:szCs w:val="14"/>
                <w:color w:val="auto"/>
              </w:rPr>
            </w:pPr>
          </w:p>
        </w:tc>
      </w:tr>
      <w:tr>
        <w:trPr>
          <w:trHeight w:val="161"/>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 - diluted</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129,155,010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2"/>
              </w:rPr>
              <w:t>125,480,393</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5"/>
              </w:rPr>
              <w:t>129,321,573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5"/>
              </w:rPr>
              <w:t>112,495,539</w:t>
            </w:r>
          </w:p>
        </w:tc>
      </w:tr>
      <w:tr>
        <w:trPr>
          <w:trHeight w:val="28"/>
        </w:trPr>
        <w:tc>
          <w:tcPr>
            <w:tcW w:w="3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Balance Sheets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 (Amounts in thousands, except share amounts)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6300" w:type="dxa"/>
            <w:vAlign w:val="bottom"/>
          </w:tcPr>
          <w:p>
            <w:pPr>
              <w:spacing w:after="0"/>
              <w:rPr>
                <w:sz w:val="10"/>
                <w:szCs w:val="10"/>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94"/>
        </w:trPr>
        <w:tc>
          <w:tcPr>
            <w:tcW w:w="630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57"/>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8"/>
                <w:szCs w:val="8"/>
                <w:color w:val="auto"/>
              </w:rPr>
            </w:pPr>
          </w:p>
        </w:tc>
      </w:tr>
      <w:tr>
        <w:trPr>
          <w:trHeight w:val="132"/>
        </w:trPr>
        <w:tc>
          <w:tcPr>
            <w:tcW w:w="63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565,035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654,608</w:t>
            </w: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investments</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116,091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27,510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18,215</w:t>
            </w: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Unbilled receivables, net</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11,659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10,689</w:t>
            </w: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Funds receivable from payment partners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130,391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113,945</w:t>
            </w: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24,847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18,227</w:t>
            </w:r>
          </w:p>
        </w:tc>
        <w:tc>
          <w:tcPr>
            <w:tcW w:w="80" w:type="dxa"/>
            <w:vAlign w:val="bottom"/>
          </w:tcPr>
          <w:p>
            <w:pPr>
              <w:spacing w:after="0"/>
              <w:rPr>
                <w:sz w:val="13"/>
                <w:szCs w:val="13"/>
                <w:color w:val="auto"/>
              </w:rPr>
            </w:pPr>
          </w:p>
        </w:tc>
      </w:tr>
      <w:tr>
        <w:trPr>
          <w:trHeight w:val="15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assets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875,533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815,684</w:t>
            </w: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40,357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17,684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15,134</w:t>
            </w: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126,966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108,178</w:t>
            </w: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156,292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121,646</w:t>
            </w: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19,089</w:t>
            </w:r>
          </w:p>
        </w:tc>
        <w:tc>
          <w:tcPr>
            <w:tcW w:w="80" w:type="dxa"/>
            <w:vAlign w:val="bottom"/>
          </w:tcPr>
          <w:p>
            <w:pPr>
              <w:spacing w:after="0"/>
              <w:rPr>
                <w:sz w:val="13"/>
                <w:szCs w:val="13"/>
                <w:color w:val="auto"/>
              </w:rPr>
            </w:pPr>
          </w:p>
        </w:tc>
      </w:tr>
      <w:tr>
        <w:trPr>
          <w:trHeight w:val="15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9"/>
              </w:rPr>
              <w:t>1,240,032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1,079,731</w:t>
            </w:r>
          </w:p>
        </w:tc>
      </w:tr>
      <w:tr>
        <w:trPr>
          <w:trHeight w:val="161"/>
        </w:trPr>
        <w:tc>
          <w:tcPr>
            <w:tcW w:w="6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23,182</w:t>
            </w:r>
          </w:p>
        </w:tc>
        <w:tc>
          <w:tcPr>
            <w:tcW w:w="1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12,587</w:t>
            </w: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Funds payable to clients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298,239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210,922</w:t>
            </w: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46,227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43,315</w:t>
            </w: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7,692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6,968</w:t>
            </w:r>
          </w:p>
        </w:tc>
      </w:tr>
      <w:tr>
        <w:trPr>
          <w:trHeight w:val="151"/>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Total current liabilities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375,340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273,792</w:t>
            </w:r>
          </w:p>
        </w:tc>
        <w:tc>
          <w:tcPr>
            <w:tcW w:w="8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15,573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15,391</w:t>
            </w: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4,431</w:t>
            </w:r>
          </w:p>
        </w:tc>
        <w:tc>
          <w:tcPr>
            <w:tcW w:w="80" w:type="dxa"/>
            <w:vAlign w:val="bottom"/>
          </w:tcPr>
          <w:p>
            <w:pPr>
              <w:spacing w:after="0"/>
              <w:rPr>
                <w:sz w:val="13"/>
                <w:szCs w:val="13"/>
                <w:color w:val="auto"/>
              </w:rPr>
            </w:pPr>
          </w:p>
        </w:tc>
      </w:tr>
      <w:tr>
        <w:trPr>
          <w:trHeight w:val="15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396,787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293,614</w:t>
            </w:r>
          </w:p>
        </w:tc>
      </w:tr>
      <w:tr>
        <w:trPr>
          <w:trHeight w:val="151"/>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16)</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9"/>
        </w:trPr>
        <w:tc>
          <w:tcPr>
            <w:tcW w:w="630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Preferred stock, $0.0001 par value; 10,000,000 shares authorized as of September 30, 2024 and December 31, 2023; and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4"/>
        </w:trPr>
        <w:tc>
          <w:tcPr>
            <w:tcW w:w="6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 shares issued and outstanding as of September 30, 2024 and December 31, 2023</w:t>
            </w:r>
          </w:p>
        </w:tc>
        <w:tc>
          <w:tcPr>
            <w:tcW w:w="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39"/>
        </w:trPr>
        <w:tc>
          <w:tcPr>
            <w:tcW w:w="63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Voting common stock, $0.0001 par value; 2,000,000,000 shares authorized as of September 30, 2024 and December 31,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2"/>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2023; 126,156,494 shares issued and 122,575,857 shares outstanding as of September 30, 2024; 123,010,207 shares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4"/>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issued and 120,695,162 shares outstanding as of December 31, 2023</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w:t>
            </w:r>
          </w:p>
        </w:tc>
      </w:tr>
      <w:tr>
        <w:trPr>
          <w:trHeight w:val="139"/>
        </w:trPr>
        <w:tc>
          <w:tcPr>
            <w:tcW w:w="630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w w:val="99"/>
              </w:rPr>
              <w:t>Non-voting common stock, $0.0001 par value; 10,000,000 shares authorized as of September 30, 2024 and December 31,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4"/>
        </w:trPr>
        <w:tc>
          <w:tcPr>
            <w:tcW w:w="6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2023; 1,873,320 shares issued and outstanding as of September 30, 2024 and December 31, 2023</w:t>
            </w:r>
          </w:p>
        </w:tc>
        <w:tc>
          <w:tcPr>
            <w:tcW w:w="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r>
      <w:tr>
        <w:trPr>
          <w:trHeight w:val="139"/>
        </w:trPr>
        <w:tc>
          <w:tcPr>
            <w:tcW w:w="63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Treasury voting common stock, 3,580,637 and 2,315,045 shares as of September 30, 2024 and December 31, 2023,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respectively, held at cost</w:t>
            </w: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(23,851)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(747)</w:t>
            </w: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9"/>
              </w:rPr>
              <w:t>1,016,349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959,302</w:t>
            </w:r>
          </w:p>
        </w:tc>
      </w:tr>
      <w:tr>
        <w:trPr>
          <w:trHeight w:val="1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5,705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1,320</w:t>
            </w:r>
          </w:p>
        </w:tc>
      </w:tr>
      <w:tr>
        <w:trPr>
          <w:trHeight w:val="152"/>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(154,971)</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(173,770)</w:t>
            </w:r>
          </w:p>
        </w:tc>
      </w:tr>
      <w:tr>
        <w:trPr>
          <w:trHeight w:val="15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843,245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786,117</w:t>
            </w:r>
          </w:p>
        </w:tc>
        <w:tc>
          <w:tcPr>
            <w:tcW w:w="80" w:type="dxa"/>
            <w:vAlign w:val="bottom"/>
            <w:shd w:val="clear" w:color="auto" w:fill="CCEEFF"/>
          </w:tcPr>
          <w:p>
            <w:pPr>
              <w:spacing w:after="0"/>
              <w:rPr>
                <w:sz w:val="13"/>
                <w:szCs w:val="13"/>
                <w:color w:val="auto"/>
              </w:rPr>
            </w:pPr>
          </w:p>
        </w:tc>
      </w:tr>
      <w:tr>
        <w:trPr>
          <w:trHeight w:val="159"/>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1,240,032</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1,079,731</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Statement of Cash Flows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 (Amounts in thousands)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8"/>
          </w:tcPr>
          <w:p>
            <w:pPr>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94"/>
        </w:trPr>
        <w:tc>
          <w:tcPr>
            <w:tcW w:w="61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97"/>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7"/>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8"/>
                <w:szCs w:val="8"/>
                <w:color w:val="auto"/>
              </w:rPr>
            </w:pPr>
          </w:p>
        </w:tc>
      </w:tr>
      <w:tr>
        <w:trPr>
          <w:trHeight w:val="132"/>
        </w:trPr>
        <w:tc>
          <w:tcPr>
            <w:tcW w:w="61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18,799</w:t>
            </w:r>
          </w:p>
        </w:tc>
        <w:tc>
          <w:tcPr>
            <w:tcW w:w="80" w:type="dxa"/>
            <w:vAlign w:val="bottom"/>
          </w:tcPr>
          <w:p>
            <w:pPr>
              <w:spacing w:after="0"/>
              <w:rPr>
                <w:sz w:val="13"/>
                <w:szCs w:val="13"/>
                <w:color w:val="auto"/>
              </w:rPr>
            </w:pPr>
          </w:p>
        </w:tc>
        <w:tc>
          <w:tcPr>
            <w:tcW w:w="22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(9,853)</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12,709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11,774</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48,396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31,299</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deferred contract costs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826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367</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(988)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380</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provision (benefit)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(6,600)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(896)</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uncollectible accounts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525</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Non-cash interest expense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242</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Accretion of discounts on investments, net of amortization of premiums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(1,051)</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 net of acquisitions: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(9,058)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(4,979)</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Unbilled receivables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(970)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(1,511)</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Funds receivable from payment partners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(16,446)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(17,529)</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other current assets and other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(7,184)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(4,536)</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Funds payable to clients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87,318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8,163</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accrued expenses and other current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8,445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10,148</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Contingent consideration</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(467)</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(1,017)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(882)</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(312)</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(1,368)</w:t>
            </w:r>
          </w:p>
        </w:tc>
      </w:tr>
      <w:tr>
        <w:trPr>
          <w:trHeight w:val="151"/>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132,927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20,877</w:t>
            </w:r>
          </w:p>
        </w:tc>
        <w:tc>
          <w:tcPr>
            <w:tcW w:w="80" w:type="dxa"/>
            <w:vAlign w:val="bottom"/>
          </w:tcPr>
          <w:p>
            <w:pPr>
              <w:spacing w:after="0"/>
              <w:rPr>
                <w:sz w:val="13"/>
                <w:szCs w:val="13"/>
                <w:color w:val="auto"/>
              </w:rPr>
            </w:pPr>
          </w:p>
        </w:tc>
      </w:tr>
      <w:tr>
        <w:trPr>
          <w:trHeight w:val="15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(45,438)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debt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(160,629)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the maturity and sale of short-term and long-term investments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5,879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Capitalization of internally developed software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(4,581)</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(4,148)</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(823)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(943)</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(205,592)</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(5,091)</w:t>
            </w:r>
          </w:p>
        </w:tc>
      </w:tr>
      <w:tr>
        <w:trPr>
          <w:trHeight w:val="151"/>
        </w:trPr>
        <w:tc>
          <w:tcPr>
            <w:tcW w:w="6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issuance of common stock under public offering, net of underwriter discounts and commissions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261,119</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Payments of costs related to public offering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(447)</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(783)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Contingent consideration paid for acquisitions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(1,207)</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(22,883)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the issuance of stock under Employee Stock Purchase Plan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3,108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2,691</w:t>
            </w: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3,956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8,519</w:t>
            </w:r>
          </w:p>
        </w:tc>
      </w:tr>
      <w:tr>
        <w:trPr>
          <w:trHeight w:val="151"/>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270,675</w:t>
            </w:r>
          </w:p>
        </w:tc>
        <w:tc>
          <w:tcPr>
            <w:tcW w:w="80" w:type="dxa"/>
            <w:vAlign w:val="bottom"/>
          </w:tcPr>
          <w:p>
            <w:pPr>
              <w:spacing w:after="0"/>
              <w:rPr>
                <w:sz w:val="13"/>
                <w:szCs w:val="13"/>
                <w:color w:val="auto"/>
              </w:rPr>
            </w:pPr>
          </w:p>
        </w:tc>
      </w:tr>
      <w:tr>
        <w:trPr>
          <w:trHeight w:val="15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exchange rates changes on cash and cash equivalents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(306)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567</w:t>
            </w:r>
          </w:p>
        </w:tc>
      </w:tr>
      <w:tr>
        <w:trPr>
          <w:trHeight w:val="151"/>
        </w:trPr>
        <w:tc>
          <w:tcPr>
            <w:tcW w:w="6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(89,573)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287,028</w:t>
            </w:r>
          </w:p>
        </w:tc>
        <w:tc>
          <w:tcPr>
            <w:tcW w:w="80" w:type="dxa"/>
            <w:vAlign w:val="bottom"/>
          </w:tcPr>
          <w:p>
            <w:pPr>
              <w:spacing w:after="0"/>
              <w:rPr>
                <w:sz w:val="13"/>
                <w:szCs w:val="13"/>
                <w:color w:val="auto"/>
              </w:rPr>
            </w:pPr>
          </w:p>
        </w:tc>
      </w:tr>
      <w:tr>
        <w:trPr>
          <w:trHeight w:val="15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beginning of year</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654,608</w:t>
            </w: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351,177</w:t>
            </w:r>
          </w:p>
        </w:tc>
      </w:tr>
      <w:tr>
        <w:trPr>
          <w:trHeight w:val="159"/>
        </w:trPr>
        <w:tc>
          <w:tcPr>
            <w:tcW w:w="6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year</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565,035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638,205</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Reconciliation of Non-GAAP Financial Measures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 (Amounts in millions, except percentages)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220" w:type="dxa"/>
            <w:vAlign w:val="bottom"/>
            <w:gridSpan w:val="7"/>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 w:type="dxa"/>
            <w:vAlign w:val="bottom"/>
          </w:tcPr>
          <w:p>
            <w:pPr>
              <w:spacing w:after="0"/>
              <w:rPr>
                <w:sz w:val="10"/>
                <w:szCs w:val="10"/>
                <w:color w:val="auto"/>
              </w:rPr>
            </w:pPr>
          </w:p>
        </w:tc>
        <w:tc>
          <w:tcPr>
            <w:tcW w:w="1140" w:type="dxa"/>
            <w:vAlign w:val="bottom"/>
            <w:gridSpan w:val="5"/>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21"/>
        </w:trPr>
        <w:tc>
          <w:tcPr>
            <w:tcW w:w="5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6"/>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0" w:type="dxa"/>
            <w:vAlign w:val="bottom"/>
          </w:tcPr>
          <w:p>
            <w:pPr>
              <w:spacing w:after="0"/>
              <w:rPr>
                <w:sz w:val="10"/>
                <w:szCs w:val="10"/>
                <w:color w:val="auto"/>
              </w:rPr>
            </w:pPr>
          </w:p>
        </w:tc>
        <w:tc>
          <w:tcPr>
            <w:tcW w:w="1140" w:type="dxa"/>
            <w:vAlign w:val="bottom"/>
            <w:gridSpan w:val="5"/>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530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2023</w:t>
            </w:r>
          </w:p>
        </w:tc>
        <w:tc>
          <w:tcPr>
            <w:tcW w:w="2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22"/>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ind w:left="20"/>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CCEEFF"/>
            </w:tcBorders>
          </w:tcPr>
          <w:p>
            <w:pPr>
              <w:spacing w:after="0"/>
              <w:rPr>
                <w:sz w:val="8"/>
                <w:szCs w:val="8"/>
                <w:color w:val="auto"/>
              </w:rPr>
            </w:pPr>
          </w:p>
        </w:tc>
      </w:tr>
      <w:tr>
        <w:trPr>
          <w:trHeight w:val="141"/>
        </w:trPr>
        <w:tc>
          <w:tcPr>
            <w:tcW w:w="53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156.8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123.3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$374.6</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w w:val="88"/>
              </w:rPr>
              <w:t>302.5</w:t>
            </w:r>
          </w:p>
        </w:tc>
        <w:tc>
          <w:tcPr>
            <w:tcW w:w="160" w:type="dxa"/>
            <w:vAlign w:val="bottom"/>
            <w:shd w:val="clear" w:color="auto" w:fill="CCEEFF"/>
          </w:tcPr>
          <w:p>
            <w:pPr>
              <w:spacing w:after="0"/>
              <w:rPr>
                <w:sz w:val="12"/>
                <w:szCs w:val="12"/>
                <w:color w:val="auto"/>
              </w:rPr>
            </w:pP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Pass-through cost for printing and mailing</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(5.2)</w:t>
            </w: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(11.4)</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(15.4)</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Marketing fees</w:t>
            </w:r>
          </w:p>
        </w:tc>
        <w:tc>
          <w:tcPr>
            <w:tcW w:w="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w:t>
            </w: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r>
      <w:tr>
        <w:trPr>
          <w:trHeight w:val="20"/>
        </w:trPr>
        <w:tc>
          <w:tcPr>
            <w:tcW w:w="5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151.4</w:t>
            </w:r>
          </w:p>
        </w:tc>
        <w:tc>
          <w:tcPr>
            <w:tcW w:w="1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5"/>
              </w:rPr>
              <w:t>116.8</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361.5</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88"/>
              </w:rPr>
              <w:t>285.3</w:t>
            </w:r>
          </w:p>
        </w:tc>
      </w:tr>
      <w:tr>
        <w:trPr>
          <w:trHeight w:val="161"/>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Payment processing services costs</w:t>
            </w: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2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88"/>
              </w:rPr>
              <w:t>110.6</w:t>
            </w:r>
          </w:p>
        </w:tc>
        <w:tc>
          <w:tcPr>
            <w:tcW w:w="160" w:type="dxa"/>
            <w:vAlign w:val="bottom"/>
          </w:tcPr>
          <w:p>
            <w:pPr>
              <w:spacing w:after="0"/>
              <w:rPr>
                <w:sz w:val="14"/>
                <w:szCs w:val="14"/>
                <w:color w:val="auto"/>
              </w:rPr>
            </w:pP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Hosting and amortization costs within technology and development expenses</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6.5</w:t>
            </w:r>
          </w:p>
        </w:tc>
      </w:tr>
      <w:tr>
        <w:trPr>
          <w:trHeight w:val="159"/>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141.9</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88"/>
              </w:rPr>
              <w:t>117.1</w:t>
            </w:r>
          </w:p>
        </w:tc>
        <w:tc>
          <w:tcPr>
            <w:tcW w:w="160" w:type="dxa"/>
            <w:vAlign w:val="bottom"/>
          </w:tcPr>
          <w:p>
            <w:pPr>
              <w:spacing w:after="0"/>
              <w:rPr>
                <w:sz w:val="13"/>
                <w:szCs w:val="13"/>
                <w:color w:val="auto"/>
              </w:rPr>
            </w:pPr>
          </w:p>
        </w:tc>
      </w:tr>
      <w:tr>
        <w:trPr>
          <w:trHeight w:val="16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to:</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Exclude printing and mailing costs</w:t>
            </w:r>
          </w:p>
        </w:tc>
        <w:tc>
          <w:tcPr>
            <w:tcW w:w="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w:t>
            </w: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(11.4)</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(15.4)</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Offset marketing fees against related costs</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w:t>
            </w: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Exclude depreciation and amortization</w:t>
            </w:r>
          </w:p>
        </w:tc>
        <w:tc>
          <w:tcPr>
            <w:tcW w:w="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w:t>
            </w: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(4.6)</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w:t>
            </w:r>
          </w:p>
        </w:tc>
      </w:tr>
      <w:tr>
        <w:trPr>
          <w:trHeight w:val="20"/>
        </w:trPr>
        <w:tc>
          <w:tcPr>
            <w:tcW w:w="5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Cost of 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36.7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94.9</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5"/>
              </w:rPr>
              <w:t>100.3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78.4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$232.7</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88"/>
              </w:rPr>
              <w:t>185.4</w:t>
            </w:r>
          </w:p>
        </w:tc>
      </w:tr>
      <w:tr>
        <w:trPr>
          <w:trHeight w:val="16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63.6%</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62.1%</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61.3%</w:t>
            </w:r>
          </w:p>
        </w:tc>
      </w:tr>
      <w:tr>
        <w:trPr>
          <w:trHeight w:val="161"/>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$237.3</w:t>
            </w:r>
          </w:p>
        </w:tc>
        <w:tc>
          <w:tcPr>
            <w:tcW w:w="28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88"/>
              </w:rPr>
              <w:t>190.4</w:t>
            </w:r>
          </w:p>
        </w:tc>
        <w:tc>
          <w:tcPr>
            <w:tcW w:w="160" w:type="dxa"/>
            <w:vAlign w:val="bottom"/>
          </w:tcPr>
          <w:p>
            <w:pPr>
              <w:spacing w:after="0"/>
              <w:rPr>
                <w:sz w:val="14"/>
                <w:szCs w:val="14"/>
                <w:color w:val="auto"/>
              </w:rPr>
            </w:pP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Gross Margin</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67.3%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68.6%</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65.6%</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66.7%</w:t>
            </w:r>
          </w:p>
        </w:tc>
      </w:tr>
      <w:tr>
        <w:trPr>
          <w:trHeight w:val="28"/>
        </w:trPr>
        <w:tc>
          <w:tcPr>
            <w:tcW w:w="5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September 30, 2024</w:t>
            </w:r>
          </w:p>
        </w:tc>
        <w:tc>
          <w:tcPr>
            <w:tcW w:w="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September 30, 2024</w:t>
            </w:r>
          </w:p>
        </w:tc>
        <w:tc>
          <w:tcPr>
            <w:tcW w:w="3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700" w:type="dxa"/>
            <w:vAlign w:val="bottom"/>
          </w:tcPr>
          <w:p>
            <w:pPr>
              <w:spacing w:after="0"/>
              <w:rPr>
                <w:sz w:val="6"/>
                <w:szCs w:val="6"/>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200" w:type="dxa"/>
            <w:vAlign w:val="bottom"/>
          </w:tcPr>
          <w:p>
            <w:pPr>
              <w:spacing w:after="0"/>
              <w:rPr>
                <w:sz w:val="6"/>
                <w:szCs w:val="6"/>
                <w:color w:val="auto"/>
              </w:rPr>
            </w:pPr>
          </w:p>
        </w:tc>
        <w:tc>
          <w:tcPr>
            <w:tcW w:w="1040" w:type="dxa"/>
            <w:vAlign w:val="bottom"/>
            <w:gridSpan w:val="3"/>
          </w:tcPr>
          <w:p>
            <w:pPr>
              <w:ind w:left="60"/>
              <w:spacing w:after="0" w:line="77" w:lineRule="exact"/>
              <w:rPr>
                <w:sz w:val="20"/>
                <w:szCs w:val="20"/>
                <w:color w:val="auto"/>
              </w:rPr>
            </w:pPr>
            <w:r>
              <w:rPr>
                <w:rFonts w:ascii="Times New Roman" w:cs="Times New Roman" w:eastAsia="Times New Roman" w:hAnsi="Times New Roman"/>
                <w:sz w:val="8"/>
                <w:szCs w:val="8"/>
                <w:b w:val="1"/>
                <w:bCs w:val="1"/>
                <w:color w:val="auto"/>
              </w:rPr>
              <w:t>Platform and</w:t>
            </w:r>
          </w:p>
        </w:tc>
        <w:tc>
          <w:tcPr>
            <w:tcW w:w="7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2"/>
              </w:rPr>
              <w:t>Revenue</w:t>
            </w: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200" w:type="dxa"/>
            <w:vAlign w:val="bottom"/>
          </w:tcPr>
          <w:p>
            <w:pPr>
              <w:spacing w:after="0"/>
              <w:rPr>
                <w:sz w:val="6"/>
                <w:szCs w:val="6"/>
                <w:color w:val="auto"/>
              </w:rPr>
            </w:pPr>
          </w:p>
        </w:tc>
        <w:tc>
          <w:tcPr>
            <w:tcW w:w="1020" w:type="dxa"/>
            <w:vAlign w:val="bottom"/>
            <w:gridSpan w:val="3"/>
          </w:tcPr>
          <w:p>
            <w:pPr>
              <w:jc w:val="right"/>
              <w:ind w:right="400"/>
              <w:spacing w:after="0" w:line="77" w:lineRule="exact"/>
              <w:rPr>
                <w:sz w:val="20"/>
                <w:szCs w:val="20"/>
                <w:color w:val="auto"/>
              </w:rPr>
            </w:pPr>
            <w:r>
              <w:rPr>
                <w:rFonts w:ascii="Times New Roman" w:cs="Times New Roman" w:eastAsia="Times New Roman" w:hAnsi="Times New Roman"/>
                <w:sz w:val="8"/>
                <w:szCs w:val="8"/>
                <w:b w:val="1"/>
                <w:bCs w:val="1"/>
                <w:color w:val="auto"/>
              </w:rPr>
              <w:t>Platform and</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8"/>
              </w:rPr>
              <w:t>Revenue</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Other Revenues</w:t>
            </w:r>
          </w:p>
        </w:tc>
        <w:tc>
          <w:tcPr>
            <w:tcW w:w="720" w:type="dxa"/>
            <w:vAlign w:val="bottom"/>
            <w:gridSpan w:val="2"/>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Other Revenues</w:t>
            </w: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7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134.4</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22.4</w:t>
            </w:r>
          </w:p>
        </w:tc>
        <w:tc>
          <w:tcPr>
            <w:tcW w:w="3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$ 156.8</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314.9</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center"/>
              <w:ind w:left="157"/>
              <w:spacing w:after="0" w:line="141" w:lineRule="exact"/>
              <w:rPr>
                <w:sz w:val="20"/>
                <w:szCs w:val="20"/>
                <w:color w:val="auto"/>
              </w:rPr>
            </w:pPr>
            <w:r>
              <w:rPr>
                <w:rFonts w:ascii="Times New Roman" w:cs="Times New Roman" w:eastAsia="Times New Roman" w:hAnsi="Times New Roman"/>
                <w:sz w:val="13"/>
                <w:szCs w:val="13"/>
                <w:color w:val="auto"/>
                <w:w w:val="96"/>
              </w:rPr>
              <w:t>59.6</w:t>
            </w:r>
          </w:p>
        </w:tc>
        <w:tc>
          <w:tcPr>
            <w:tcW w:w="3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$ 374.6</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Pass-through cost for printing and mailing</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(4.2)</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(11.4)</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52"/>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Marketing fees</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1"/>
              </w:rPr>
              <w:t>— </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$ 151.4</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48.2</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2"/>
              </w:rPr>
              <w:t>$ 361.5</w:t>
            </w:r>
          </w:p>
        </w:tc>
        <w:tc>
          <w:tcPr>
            <w:tcW w:w="0" w:type="dxa"/>
            <w:vAlign w:val="bottom"/>
          </w:tcPr>
          <w:p>
            <w:pPr>
              <w:spacing w:after="0"/>
              <w:rPr>
                <w:sz w:val="1"/>
                <w:szCs w:val="1"/>
                <w:color w:val="auto"/>
              </w:rPr>
            </w:pPr>
          </w:p>
        </w:tc>
      </w:tr>
      <w:tr>
        <w:trPr>
          <w:trHeight w:val="28"/>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Percentage of Revenue</w:t>
            </w: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85.7%</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14.3%</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15.9%</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5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Percentage of Revenue Less Ancillary Services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88.0%</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12.0%</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86.6%</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13.3%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3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700" w:type="dxa"/>
            <w:vAlign w:val="bottom"/>
          </w:tcPr>
          <w:p>
            <w:pPr>
              <w:spacing w:after="0"/>
              <w:rPr>
                <w:sz w:val="6"/>
                <w:szCs w:val="6"/>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200" w:type="dxa"/>
            <w:vAlign w:val="bottom"/>
          </w:tcPr>
          <w:p>
            <w:pPr>
              <w:spacing w:after="0"/>
              <w:rPr>
                <w:sz w:val="6"/>
                <w:szCs w:val="6"/>
                <w:color w:val="auto"/>
              </w:rPr>
            </w:pPr>
          </w:p>
        </w:tc>
        <w:tc>
          <w:tcPr>
            <w:tcW w:w="1040" w:type="dxa"/>
            <w:vAlign w:val="bottom"/>
            <w:gridSpan w:val="3"/>
          </w:tcPr>
          <w:p>
            <w:pPr>
              <w:ind w:left="60"/>
              <w:spacing w:after="0" w:line="77" w:lineRule="exact"/>
              <w:rPr>
                <w:sz w:val="20"/>
                <w:szCs w:val="20"/>
                <w:color w:val="auto"/>
              </w:rPr>
            </w:pPr>
            <w:r>
              <w:rPr>
                <w:rFonts w:ascii="Times New Roman" w:cs="Times New Roman" w:eastAsia="Times New Roman" w:hAnsi="Times New Roman"/>
                <w:sz w:val="8"/>
                <w:szCs w:val="8"/>
                <w:b w:val="1"/>
                <w:bCs w:val="1"/>
                <w:color w:val="auto"/>
              </w:rPr>
              <w:t>Platform and</w:t>
            </w:r>
          </w:p>
        </w:tc>
        <w:tc>
          <w:tcPr>
            <w:tcW w:w="7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2"/>
              </w:rPr>
              <w:t>Revenue</w:t>
            </w: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200" w:type="dxa"/>
            <w:vAlign w:val="bottom"/>
          </w:tcPr>
          <w:p>
            <w:pPr>
              <w:spacing w:after="0"/>
              <w:rPr>
                <w:sz w:val="6"/>
                <w:szCs w:val="6"/>
                <w:color w:val="auto"/>
              </w:rPr>
            </w:pPr>
          </w:p>
        </w:tc>
        <w:tc>
          <w:tcPr>
            <w:tcW w:w="1020" w:type="dxa"/>
            <w:vAlign w:val="bottom"/>
            <w:gridSpan w:val="3"/>
          </w:tcPr>
          <w:p>
            <w:pPr>
              <w:jc w:val="right"/>
              <w:ind w:right="400"/>
              <w:spacing w:after="0" w:line="77" w:lineRule="exact"/>
              <w:rPr>
                <w:sz w:val="20"/>
                <w:szCs w:val="20"/>
                <w:color w:val="auto"/>
              </w:rPr>
            </w:pPr>
            <w:r>
              <w:rPr>
                <w:rFonts w:ascii="Times New Roman" w:cs="Times New Roman" w:eastAsia="Times New Roman" w:hAnsi="Times New Roman"/>
                <w:sz w:val="8"/>
                <w:szCs w:val="8"/>
                <w:b w:val="1"/>
                <w:bCs w:val="1"/>
                <w:color w:val="auto"/>
              </w:rPr>
              <w:t>Platform and</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8"/>
              </w:rPr>
              <w:t>Revenue</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Other Revenues</w:t>
            </w:r>
          </w:p>
        </w:tc>
        <w:tc>
          <w:tcPr>
            <w:tcW w:w="720" w:type="dxa"/>
            <w:vAlign w:val="bottom"/>
            <w:gridSpan w:val="2"/>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Other Revenues</w:t>
            </w: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7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104.6</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18.7</w:t>
            </w:r>
          </w:p>
        </w:tc>
        <w:tc>
          <w:tcPr>
            <w:tcW w:w="3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$ 123.3</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247.7</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center"/>
              <w:ind w:left="157"/>
              <w:spacing w:after="0" w:line="141" w:lineRule="exact"/>
              <w:rPr>
                <w:sz w:val="20"/>
                <w:szCs w:val="20"/>
                <w:color w:val="auto"/>
              </w:rPr>
            </w:pPr>
            <w:r>
              <w:rPr>
                <w:rFonts w:ascii="Times New Roman" w:cs="Times New Roman" w:eastAsia="Times New Roman" w:hAnsi="Times New Roman"/>
                <w:sz w:val="13"/>
                <w:szCs w:val="13"/>
                <w:color w:val="auto"/>
                <w:w w:val="96"/>
              </w:rPr>
              <w:t>54.8</w:t>
            </w:r>
          </w:p>
        </w:tc>
        <w:tc>
          <w:tcPr>
            <w:tcW w:w="3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$ 302.5</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Pass-through cost for printing and mailing</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(5.2)</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(5.2)</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(15.4)</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52"/>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Marketing fees</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1"/>
              </w:rPr>
              <w:t>— </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$ 116.8</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245.9</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39.4</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2"/>
              </w:rPr>
              <w:t>$ 285.3</w:t>
            </w:r>
          </w:p>
        </w:tc>
        <w:tc>
          <w:tcPr>
            <w:tcW w:w="0" w:type="dxa"/>
            <w:vAlign w:val="bottom"/>
          </w:tcPr>
          <w:p>
            <w:pPr>
              <w:spacing w:after="0"/>
              <w:rPr>
                <w:sz w:val="1"/>
                <w:szCs w:val="1"/>
                <w:color w:val="auto"/>
              </w:rPr>
            </w:pPr>
          </w:p>
        </w:tc>
      </w:tr>
      <w:tr>
        <w:trPr>
          <w:trHeight w:val="28"/>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Percentage of Revenue</w:t>
            </w: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15.2%</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18.1%</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5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Percentage of Revenue Less Ancillary Services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88.4%</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11.6%</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86.2%</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13.8%</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Revenue Less Ancillary Services at Constant Currency:</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(unaudited) (in millions)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1220" w:type="dxa"/>
            <w:vAlign w:val="bottom"/>
            <w:gridSpan w:val="6"/>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1220" w:type="dxa"/>
            <w:vAlign w:val="bottom"/>
            <w:gridSpan w:val="6"/>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6"/>
              </w:rPr>
              <w:t>Growth Rate</w:t>
            </w:r>
          </w:p>
        </w:tc>
        <w:tc>
          <w:tcPr>
            <w:tcW w:w="80" w:type="dxa"/>
            <w:vAlign w:val="bottom"/>
          </w:tcPr>
          <w:p>
            <w:pPr>
              <w:spacing w:after="0"/>
              <w:rPr>
                <w:sz w:val="10"/>
                <w:szCs w:val="10"/>
                <w:color w:val="auto"/>
              </w:rPr>
            </w:pPr>
          </w:p>
        </w:tc>
        <w:tc>
          <w:tcPr>
            <w:tcW w:w="1180" w:type="dxa"/>
            <w:vAlign w:val="bottom"/>
            <w:gridSpan w:val="4"/>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6"/>
              </w:rPr>
              <w:t>Growth Rate</w:t>
            </w:r>
          </w:p>
        </w:tc>
        <w:tc>
          <w:tcPr>
            <w:tcW w:w="0" w:type="dxa"/>
            <w:vAlign w:val="bottom"/>
          </w:tcPr>
          <w:p>
            <w:pPr>
              <w:spacing w:after="0"/>
              <w:rPr>
                <w:sz w:val="1"/>
                <w:szCs w:val="1"/>
                <w:color w:val="auto"/>
              </w:rPr>
            </w:pPr>
          </w:p>
        </w:tc>
      </w:tr>
      <w:tr>
        <w:trPr>
          <w:trHeight w:val="94"/>
        </w:trPr>
        <w:tc>
          <w:tcPr>
            <w:tcW w:w="3780" w:type="dxa"/>
            <w:vAlign w:val="bottom"/>
          </w:tcPr>
          <w:p>
            <w:pPr>
              <w:spacing w:after="0"/>
              <w:rPr>
                <w:sz w:val="8"/>
                <w:szCs w:val="8"/>
                <w:color w:val="auto"/>
              </w:rPr>
            </w:pPr>
          </w:p>
        </w:tc>
        <w:tc>
          <w:tcPr>
            <w:tcW w:w="380" w:type="dxa"/>
            <w:vAlign w:val="bottom"/>
            <w:tcBorders>
              <w:top w:val="single" w:sz="8" w:color="auto"/>
            </w:tcBorders>
          </w:tcPr>
          <w:p>
            <w:pPr>
              <w:jc w:val="right"/>
              <w:ind w:right="22"/>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ind w:right="39"/>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tcBorders>
          </w:tcPr>
          <w:p>
            <w:pPr>
              <w:jc w:val="right"/>
              <w:ind w:right="24"/>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39"/>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780" w:type="dxa"/>
            <w:vAlign w:val="bottom"/>
            <w:vMerge w:val="continue"/>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$ 156.8</w:t>
            </w:r>
          </w:p>
        </w:tc>
        <w:tc>
          <w:tcPr>
            <w:tcW w:w="14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123.3</w:t>
            </w:r>
          </w:p>
        </w:tc>
        <w:tc>
          <w:tcPr>
            <w:tcW w:w="200" w:type="dxa"/>
            <w:vAlign w:val="bottom"/>
            <w:vMerge w:val="continue"/>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3"/>
                <w:szCs w:val="13"/>
                <w:color w:val="auto"/>
              </w:rPr>
              <w:t>27%</w:t>
            </w:r>
          </w:p>
        </w:tc>
        <w:tc>
          <w:tcPr>
            <w:tcW w:w="80" w:type="dxa"/>
            <w:vAlign w:val="bottom"/>
            <w:vMerge w:val="continue"/>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$ 374.6</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7"/>
              </w:rPr>
              <w:t>$ 302.5</w:t>
            </w:r>
          </w:p>
        </w:tc>
        <w:tc>
          <w:tcPr>
            <w:tcW w:w="200" w:type="dxa"/>
            <w:vAlign w:val="bottom"/>
            <w:vMerge w:val="continue"/>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Ancillary services</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(6.5)</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(13.1)</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(17.2)</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151.4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116.8</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361.5</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285.3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Effects of foreign currency rate fluctuations</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 at Constant Currency</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2"/>
              </w:rPr>
              <w:t>$ 149.5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116.8</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$ 360.3</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7"/>
              </w:rPr>
              <w:t>$ 285.3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9"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EBITDA and Adjusted EBITDA</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(Unaudited) (in millions)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80" w:type="dxa"/>
            <w:vAlign w:val="bottom"/>
            <w:gridSpan w:val="7"/>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940" w:type="dxa"/>
            <w:vAlign w:val="bottom"/>
            <w:gridSpan w:val="8"/>
          </w:tcPr>
          <w:p>
            <w:pPr>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0" w:type="dxa"/>
            <w:vAlign w:val="bottom"/>
          </w:tcPr>
          <w:p>
            <w:pPr>
              <w:spacing w:after="0"/>
              <w:rPr>
                <w:sz w:val="1"/>
                <w:szCs w:val="1"/>
                <w:color w:val="auto"/>
              </w:rPr>
            </w:pPr>
          </w:p>
        </w:tc>
      </w:tr>
      <w:tr>
        <w:trPr>
          <w:trHeight w:val="121"/>
        </w:trPr>
        <w:tc>
          <w:tcPr>
            <w:tcW w:w="5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6"/>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0" w:type="dxa"/>
            <w:vAlign w:val="bottom"/>
          </w:tcPr>
          <w:p>
            <w:pPr>
              <w:spacing w:after="0"/>
              <w:rPr>
                <w:sz w:val="10"/>
                <w:szCs w:val="10"/>
                <w:color w:val="auto"/>
              </w:rPr>
            </w:pPr>
          </w:p>
        </w:tc>
        <w:tc>
          <w:tcPr>
            <w:tcW w:w="900" w:type="dxa"/>
            <w:vAlign w:val="bottom"/>
            <w:gridSpan w:val="7"/>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520" w:type="dxa"/>
            <w:vAlign w:val="bottom"/>
            <w:tcBorders>
              <w:bottom w:val="single" w:sz="8" w:color="CCEEFF"/>
            </w:tcBorders>
          </w:tcPr>
          <w:p>
            <w:pPr>
              <w:spacing w:after="0"/>
              <w:rPr>
                <w:sz w:val="8"/>
                <w:szCs w:val="8"/>
                <w:color w:val="auto"/>
              </w:rPr>
            </w:pPr>
          </w:p>
        </w:tc>
        <w:tc>
          <w:tcPr>
            <w:tcW w:w="520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2024</w:t>
            </w:r>
          </w:p>
        </w:tc>
        <w:tc>
          <w:tcPr>
            <w:tcW w:w="1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2023</w:t>
            </w:r>
          </w:p>
        </w:tc>
        <w:tc>
          <w:tcPr>
            <w:tcW w:w="180" w:type="dxa"/>
            <w:vAlign w:val="bottom"/>
            <w:tcBorders>
              <w:bottom w:val="single" w:sz="8" w:color="CCEEFF"/>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2024</w:t>
            </w:r>
          </w:p>
        </w:tc>
        <w:tc>
          <w:tcPr>
            <w:tcW w:w="120" w:type="dxa"/>
            <w:vAlign w:val="bottom"/>
            <w:tcBorders>
              <w:top w:val="single" w:sz="8" w:color="auto"/>
              <w:bottom w:val="single" w:sz="8" w:color="CCEEFF"/>
            </w:tcBorders>
          </w:tcPr>
          <w:p>
            <w:pPr>
              <w:spacing w:after="0"/>
              <w:rPr>
                <w:sz w:val="8"/>
                <w:szCs w:val="8"/>
                <w:color w:val="auto"/>
              </w:rPr>
            </w:pPr>
          </w:p>
        </w:tc>
        <w:tc>
          <w:tcPr>
            <w:tcW w:w="40" w:type="dxa"/>
            <w:vAlign w:val="bottom"/>
            <w:tcBorders>
              <w:top w:val="single" w:sz="8" w:color="auto"/>
              <w:bottom w:val="single" w:sz="8" w:color="CCEEFF"/>
            </w:tcBorders>
          </w:tcPr>
          <w:p>
            <w:pPr>
              <w:spacing w:after="0"/>
              <w:rPr>
                <w:sz w:val="8"/>
                <w:szCs w:val="8"/>
                <w:color w:val="auto"/>
              </w:rPr>
            </w:pPr>
          </w:p>
        </w:tc>
        <w:tc>
          <w:tcPr>
            <w:tcW w:w="4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17"/>
              <w:spacing w:after="0" w:line="94" w:lineRule="exact"/>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720" w:type="dxa"/>
            <w:vAlign w:val="bottom"/>
            <w:tcBorders>
              <w:right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income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38.9</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10.6</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18.8</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52"/>
        </w:trPr>
        <w:tc>
          <w:tcPr>
            <w:tcW w:w="57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(3.8)</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52"/>
        </w:trPr>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(Benefit from) provision for income taxes</w:t>
            </w:r>
          </w:p>
        </w:tc>
        <w:tc>
          <w:tcPr>
            <w:tcW w:w="6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2"/>
        </w:trPr>
        <w:tc>
          <w:tcPr>
            <w:tcW w:w="57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51"/>
        </w:trPr>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EBITDA</w:t>
            </w: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7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 and related taxes</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32.3</w:t>
            </w:r>
          </w:p>
        </w:tc>
        <w:tc>
          <w:tcPr>
            <w:tcW w:w="0" w:type="dxa"/>
            <w:vAlign w:val="bottom"/>
          </w:tcPr>
          <w:p>
            <w:pPr>
              <w:spacing w:after="0"/>
              <w:rPr>
                <w:sz w:val="1"/>
                <w:szCs w:val="1"/>
                <w:color w:val="auto"/>
              </w:rPr>
            </w:pPr>
          </w:p>
        </w:tc>
      </w:tr>
      <w:tr>
        <w:trPr>
          <w:trHeight w:val="152"/>
        </w:trPr>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6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52"/>
        </w:trPr>
        <w:tc>
          <w:tcPr>
            <w:tcW w:w="57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loss from remeasurement of foreign currency</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52"/>
        </w:trPr>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Indirect taxes related to intercompany activity</w:t>
            </w:r>
          </w:p>
        </w:tc>
        <w:tc>
          <w:tcPr>
            <w:tcW w:w="6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2"/>
        </w:trPr>
        <w:tc>
          <w:tcPr>
            <w:tcW w:w="57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 related transaction costs</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 related employee retention costs</w:t>
            </w:r>
          </w:p>
        </w:tc>
        <w:tc>
          <w:tcPr>
            <w:tcW w:w="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7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27.5</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61.2</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34.3</w:t>
            </w:r>
          </w:p>
        </w:tc>
        <w:tc>
          <w:tcPr>
            <w:tcW w:w="0" w:type="dxa"/>
            <w:vAlign w:val="bottom"/>
          </w:tcPr>
          <w:p>
            <w:pPr>
              <w:spacing w:after="0"/>
              <w:rPr>
                <w:sz w:val="1"/>
                <w:szCs w:val="1"/>
                <w:color w:val="auto"/>
              </w:rPr>
            </w:pPr>
          </w:p>
        </w:tc>
      </w:tr>
      <w:tr>
        <w:trPr>
          <w:trHeight w:val="450"/>
        </w:trPr>
        <w:tc>
          <w:tcPr>
            <w:tcW w:w="520" w:type="dxa"/>
            <w:vAlign w:val="bottom"/>
          </w:tcPr>
          <w:p>
            <w:pPr>
              <w:spacing w:after="0"/>
              <w:rPr>
                <w:sz w:val="24"/>
                <w:szCs w:val="24"/>
                <w:color w:val="auto"/>
              </w:rPr>
            </w:pPr>
          </w:p>
        </w:tc>
        <w:tc>
          <w:tcPr>
            <w:tcW w:w="5200" w:type="dxa"/>
            <w:vAlign w:val="bottom"/>
          </w:tcPr>
          <w:p>
            <w:pPr>
              <w:jc w:val="center"/>
              <w:ind w:left="1417"/>
              <w:spacing w:after="0"/>
              <w:rPr>
                <w:sz w:val="20"/>
                <w:szCs w:val="20"/>
                <w:color w:val="auto"/>
              </w:rPr>
            </w:pPr>
            <w:r>
              <w:rPr>
                <w:rFonts w:ascii="Times New Roman" w:cs="Times New Roman" w:eastAsia="Times New Roman" w:hAnsi="Times New Roman"/>
                <w:sz w:val="13"/>
                <w:szCs w:val="13"/>
                <w:b w:val="1"/>
                <w:bCs w:val="1"/>
                <w:color w:val="auto"/>
                <w:w w:val="97"/>
              </w:rPr>
              <w:t>Reconciliation of Non-GAAP Operating Expenses</w:t>
            </w: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20" w:type="dxa"/>
            <w:vAlign w:val="bottom"/>
          </w:tcPr>
          <w:p>
            <w:pPr>
              <w:spacing w:after="0"/>
              <w:rPr>
                <w:sz w:val="14"/>
                <w:szCs w:val="14"/>
                <w:color w:val="auto"/>
              </w:rPr>
            </w:pPr>
          </w:p>
        </w:tc>
        <w:tc>
          <w:tcPr>
            <w:tcW w:w="5200" w:type="dxa"/>
            <w:vAlign w:val="bottom"/>
          </w:tcPr>
          <w:p>
            <w:pPr>
              <w:jc w:val="center"/>
              <w:ind w:left="1437"/>
              <w:spacing w:after="0"/>
              <w:rPr>
                <w:sz w:val="20"/>
                <w:szCs w:val="20"/>
                <w:color w:val="auto"/>
              </w:rPr>
            </w:pPr>
            <w:r>
              <w:rPr>
                <w:rFonts w:ascii="Times New Roman" w:cs="Times New Roman" w:eastAsia="Times New Roman" w:hAnsi="Times New Roman"/>
                <w:sz w:val="13"/>
                <w:szCs w:val="13"/>
                <w:b w:val="1"/>
                <w:bCs w:val="1"/>
                <w:color w:val="auto"/>
                <w:w w:val="97"/>
              </w:rPr>
              <w:t>(Unaudited) (in millions)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5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940" w:type="dxa"/>
            <w:vAlign w:val="bottom"/>
            <w:gridSpan w:val="8"/>
          </w:tcPr>
          <w:p>
            <w:pPr>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0" w:type="dxa"/>
            <w:vAlign w:val="bottom"/>
          </w:tcPr>
          <w:p>
            <w:pPr>
              <w:spacing w:after="0"/>
              <w:rPr>
                <w:sz w:val="1"/>
                <w:szCs w:val="1"/>
                <w:color w:val="auto"/>
              </w:rPr>
            </w:pPr>
          </w:p>
        </w:tc>
      </w:tr>
      <w:tr>
        <w:trPr>
          <w:trHeight w:val="121"/>
        </w:trPr>
        <w:tc>
          <w:tcPr>
            <w:tcW w:w="5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7"/>
              </w:rPr>
              <w:t>(in millions)</w:t>
            </w:r>
          </w:p>
        </w:tc>
        <w:tc>
          <w:tcPr>
            <w:tcW w:w="520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6"/>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0" w:type="dxa"/>
            <w:vAlign w:val="bottom"/>
          </w:tcPr>
          <w:p>
            <w:pPr>
              <w:spacing w:after="0"/>
              <w:rPr>
                <w:sz w:val="10"/>
                <w:szCs w:val="10"/>
                <w:color w:val="auto"/>
              </w:rPr>
            </w:pPr>
          </w:p>
        </w:tc>
        <w:tc>
          <w:tcPr>
            <w:tcW w:w="900" w:type="dxa"/>
            <w:vAlign w:val="bottom"/>
            <w:gridSpan w:val="7"/>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104"/>
        </w:trPr>
        <w:tc>
          <w:tcPr>
            <w:tcW w:w="520" w:type="dxa"/>
            <w:vAlign w:val="bottom"/>
            <w:tcBorders>
              <w:bottom w:val="single" w:sz="8" w:color="auto"/>
            </w:tcBorders>
            <w:vMerge w:val="continue"/>
          </w:tcPr>
          <w:p>
            <w:pPr>
              <w:spacing w:after="0"/>
              <w:rPr>
                <w:sz w:val="9"/>
                <w:szCs w:val="9"/>
                <w:color w:val="auto"/>
              </w:rPr>
            </w:pPr>
          </w:p>
        </w:tc>
        <w:tc>
          <w:tcPr>
            <w:tcW w:w="5200" w:type="dxa"/>
            <w:vAlign w:val="bottom"/>
            <w:vMerge w:val="continue"/>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ind w:right="19"/>
              <w:spacing w:after="0" w:line="85" w:lineRule="exact"/>
              <w:rPr>
                <w:sz w:val="20"/>
                <w:szCs w:val="20"/>
                <w:color w:val="auto"/>
              </w:rPr>
            </w:pPr>
            <w:r>
              <w:rPr>
                <w:rFonts w:ascii="Times New Roman" w:cs="Times New Roman" w:eastAsia="Times New Roman" w:hAnsi="Times New Roman"/>
                <w:sz w:val="9"/>
                <w:szCs w:val="9"/>
                <w:b w:val="1"/>
                <w:bCs w:val="1"/>
                <w:color w:val="auto"/>
                <w:w w:val="99"/>
              </w:rPr>
              <w:t>2024</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jc w:val="right"/>
              <w:ind w:right="18"/>
              <w:spacing w:after="0" w:line="85" w:lineRule="exact"/>
              <w:rPr>
                <w:sz w:val="20"/>
                <w:szCs w:val="20"/>
                <w:color w:val="auto"/>
              </w:rPr>
            </w:pPr>
            <w:r>
              <w:rPr>
                <w:rFonts w:ascii="Times New Roman" w:cs="Times New Roman" w:eastAsia="Times New Roman" w:hAnsi="Times New Roman"/>
                <w:sz w:val="9"/>
                <w:szCs w:val="9"/>
                <w:b w:val="1"/>
                <w:bCs w:val="1"/>
                <w:color w:val="auto"/>
              </w:rPr>
              <w:t>2023</w:t>
            </w:r>
          </w:p>
        </w:tc>
        <w:tc>
          <w:tcPr>
            <w:tcW w:w="1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ind w:right="19"/>
              <w:spacing w:after="0" w:line="85" w:lineRule="exact"/>
              <w:rPr>
                <w:sz w:val="20"/>
                <w:szCs w:val="20"/>
                <w:color w:val="auto"/>
              </w:rPr>
            </w:pPr>
            <w:r>
              <w:rPr>
                <w:rFonts w:ascii="Times New Roman" w:cs="Times New Roman" w:eastAsia="Times New Roman" w:hAnsi="Times New Roman"/>
                <w:sz w:val="9"/>
                <w:szCs w:val="9"/>
                <w:b w:val="1"/>
                <w:bCs w:val="1"/>
                <w:color w:val="auto"/>
                <w:w w:val="99"/>
              </w:rPr>
              <w:t>2024</w:t>
            </w: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gridSpan w:val="4"/>
          </w:tcPr>
          <w:p>
            <w:pPr>
              <w:jc w:val="right"/>
              <w:ind w:right="37"/>
              <w:spacing w:after="0" w:line="85" w:lineRule="exact"/>
              <w:rPr>
                <w:sz w:val="20"/>
                <w:szCs w:val="20"/>
                <w:color w:val="auto"/>
              </w:rPr>
            </w:pPr>
            <w:r>
              <w:rPr>
                <w:rFonts w:ascii="Times New Roman" w:cs="Times New Roman" w:eastAsia="Times New Roman" w:hAnsi="Times New Roman"/>
                <w:sz w:val="9"/>
                <w:szCs w:val="9"/>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720" w:type="dxa"/>
            <w:vAlign w:val="bottom"/>
            <w:tcBorders>
              <w:top w:val="single" w:sz="8" w:color="CCEEFF"/>
              <w:right w:val="single" w:sz="8" w:color="CCEEFF"/>
            </w:tcBorders>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GAAP Technology and development</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16.7</w:t>
            </w: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14.6</w:t>
            </w:r>
          </w:p>
        </w:tc>
        <w:tc>
          <w:tcPr>
            <w:tcW w:w="18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gridSpan w:val="2"/>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w w:val="92"/>
              </w:rPr>
              <w:t>$ 49.3</w:t>
            </w: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45.1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Stock-based compensation expense and related taxes</w:t>
            </w:r>
          </w:p>
        </w:tc>
        <w:tc>
          <w:tcPr>
            <w:tcW w:w="6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w:t>
            </w:r>
          </w:p>
        </w:tc>
        <w:tc>
          <w:tcPr>
            <w:tcW w:w="4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52"/>
        </w:trPr>
        <w:tc>
          <w:tcPr>
            <w:tcW w:w="572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 Depreciation and amortization</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52"/>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Acquisition related employee retention costs</w:t>
            </w:r>
          </w:p>
        </w:tc>
        <w:tc>
          <w:tcPr>
            <w:tcW w:w="60" w:type="dxa"/>
            <w:vAlign w:val="bottom"/>
          </w:tcPr>
          <w:p>
            <w:pPr>
              <w:spacing w:after="0"/>
              <w:rPr>
                <w:sz w:val="13"/>
                <w:szCs w:val="13"/>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1"/>
              </w:rPr>
              <w:t>— 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7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Technology and development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20" w:type="dxa"/>
            <w:vAlign w:val="bottom"/>
            <w:tcBorders>
              <w:left w:val="single" w:sz="8" w:color="CCEEFF"/>
            </w:tcBorders>
            <w:shd w:val="clear" w:color="auto" w:fill="CCEEFF"/>
          </w:tcPr>
          <w:p>
            <w:pPr>
              <w:spacing w:after="0"/>
              <w:rPr>
                <w:sz w:val="13"/>
                <w:szCs w:val="13"/>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31.5</w:t>
            </w:r>
          </w:p>
        </w:tc>
        <w:tc>
          <w:tcPr>
            <w:tcW w:w="0" w:type="dxa"/>
            <w:vAlign w:val="bottom"/>
          </w:tcPr>
          <w:p>
            <w:pPr>
              <w:spacing w:after="0"/>
              <w:rPr>
                <w:sz w:val="1"/>
                <w:szCs w:val="1"/>
                <w:color w:val="auto"/>
              </w:rPr>
            </w:pPr>
          </w:p>
        </w:tc>
      </w:tr>
      <w:tr>
        <w:trPr>
          <w:trHeight w:val="161"/>
        </w:trPr>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GAAP Selling and marketing</w:t>
            </w: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80" w:type="dxa"/>
            <w:vAlign w:val="bottom"/>
          </w:tcPr>
          <w:p>
            <w:pPr>
              <w:spacing w:after="0"/>
              <w:rPr>
                <w:sz w:val="14"/>
                <w:szCs w:val="14"/>
                <w:color w:val="auto"/>
              </w:rPr>
            </w:pPr>
          </w:p>
        </w:tc>
        <w:tc>
          <w:tcPr>
            <w:tcW w:w="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72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 Stock-based compensation expense and related taxes</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(3.1)</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5"/>
              </w:rPr>
              <w:t>(13.6)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52"/>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Depreciation and amortization</w:t>
            </w:r>
          </w:p>
        </w:tc>
        <w:tc>
          <w:tcPr>
            <w:tcW w:w="6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w:t>
            </w:r>
          </w:p>
        </w:tc>
        <w:tc>
          <w:tcPr>
            <w:tcW w:w="4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52"/>
        </w:trPr>
        <w:tc>
          <w:tcPr>
            <w:tcW w:w="572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 Acquisition related employee retention costs</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9"/>
        </w:trPr>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Non-GAAP Selling and marketing</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8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GAAP General and administrative</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20" w:type="dxa"/>
            <w:vAlign w:val="bottom"/>
            <w:tcBorders>
              <w:left w:val="single" w:sz="8" w:color="CCEEFF"/>
            </w:tcBorders>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120" w:type="dxa"/>
            <w:vAlign w:val="bottom"/>
            <w:tcBorders>
              <w:left w:val="single" w:sz="8" w:color="CCEEFF"/>
            </w:tcBorders>
            <w:shd w:val="clear" w:color="auto" w:fill="CCEEFF"/>
          </w:tcPr>
          <w:p>
            <w:pPr>
              <w:spacing w:after="0"/>
              <w:rPr>
                <w:sz w:val="14"/>
                <w:szCs w:val="14"/>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79.6</w:t>
            </w:r>
          </w:p>
        </w:tc>
        <w:tc>
          <w:tcPr>
            <w:tcW w:w="0" w:type="dxa"/>
            <w:vAlign w:val="bottom"/>
          </w:tcPr>
          <w:p>
            <w:pPr>
              <w:spacing w:after="0"/>
              <w:rPr>
                <w:sz w:val="1"/>
                <w:szCs w:val="1"/>
                <w:color w:val="auto"/>
              </w:rPr>
            </w:pPr>
          </w:p>
        </w:tc>
      </w:tr>
      <w:tr>
        <w:trPr>
          <w:trHeight w:val="152"/>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Stock-based compensation expense and related taxes</w:t>
            </w:r>
          </w:p>
        </w:tc>
        <w:tc>
          <w:tcPr>
            <w:tcW w:w="6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(6.1)</w:t>
            </w:r>
          </w:p>
        </w:tc>
        <w:tc>
          <w:tcPr>
            <w:tcW w:w="4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5"/>
              </w:rPr>
              <w:t>(26.8)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5"/>
              </w:rPr>
              <w:t>(16.4)</w:t>
            </w:r>
          </w:p>
        </w:tc>
        <w:tc>
          <w:tcPr>
            <w:tcW w:w="0" w:type="dxa"/>
            <w:vAlign w:val="bottom"/>
          </w:tcPr>
          <w:p>
            <w:pPr>
              <w:spacing w:after="0"/>
              <w:rPr>
                <w:sz w:val="1"/>
                <w:szCs w:val="1"/>
                <w:color w:val="auto"/>
              </w:rPr>
            </w:pPr>
          </w:p>
        </w:tc>
      </w:tr>
      <w:tr>
        <w:trPr>
          <w:trHeight w:val="152"/>
        </w:trPr>
        <w:tc>
          <w:tcPr>
            <w:tcW w:w="572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 Depreciation and amortization</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(0.6)</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52"/>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 Change in fair value of contingent consideration</w:t>
            </w:r>
          </w:p>
        </w:tc>
        <w:tc>
          <w:tcPr>
            <w:tcW w:w="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52"/>
        </w:trPr>
        <w:tc>
          <w:tcPr>
            <w:tcW w:w="572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 Acquisition related transaction costs</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9"/>
        </w:trPr>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Non-GAAP General and administrative</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8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Guidance</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20" w:type="dxa"/>
            <w:vAlign w:val="bottom"/>
            <w:gridSpan w:val="7"/>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6"/>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Year Ended</w:t>
            </w:r>
          </w:p>
        </w:tc>
      </w:tr>
      <w:tr>
        <w:trPr>
          <w:trHeight w:val="121"/>
        </w:trPr>
        <w:tc>
          <w:tcPr>
            <w:tcW w:w="39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20" w:type="dxa"/>
            <w:vAlign w:val="bottom"/>
            <w:gridSpan w:val="7"/>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60" w:type="dxa"/>
            <w:vAlign w:val="bottom"/>
          </w:tcPr>
          <w:p>
            <w:pPr>
              <w:spacing w:after="0"/>
              <w:rPr>
                <w:sz w:val="10"/>
                <w:szCs w:val="10"/>
                <w:color w:val="auto"/>
              </w:rPr>
            </w:pPr>
          </w:p>
        </w:tc>
        <w:tc>
          <w:tcPr>
            <w:tcW w:w="920" w:type="dxa"/>
            <w:vAlign w:val="bottom"/>
            <w:gridSpan w:val="7"/>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r>
      <w:tr>
        <w:trPr>
          <w:trHeight w:val="94"/>
        </w:trPr>
        <w:tc>
          <w:tcPr>
            <w:tcW w:w="3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2"/>
          </w:tcPr>
          <w:p>
            <w:pPr>
              <w:jc w:val="right"/>
              <w:ind w:right="180"/>
              <w:spacing w:after="0" w:line="94" w:lineRule="exact"/>
              <w:rPr>
                <w:sz w:val="20"/>
                <w:szCs w:val="20"/>
                <w:color w:val="auto"/>
              </w:rPr>
            </w:pPr>
            <w:r>
              <w:rPr>
                <w:rFonts w:ascii="Times New Roman" w:cs="Times New Roman" w:eastAsia="Times New Roman" w:hAnsi="Times New Roman"/>
                <w:sz w:val="10"/>
                <w:szCs w:val="10"/>
                <w:b w:val="1"/>
                <w:bCs w:val="1"/>
                <w:color w:val="auto"/>
              </w:rPr>
              <w:t>Low</w:t>
            </w: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19"/>
              <w:spacing w:after="0" w:line="94" w:lineRule="exact"/>
              <w:rPr>
                <w:sz w:val="20"/>
                <w:szCs w:val="20"/>
                <w:color w:val="auto"/>
              </w:rPr>
            </w:pPr>
            <w:r>
              <w:rPr>
                <w:rFonts w:ascii="Times New Roman" w:cs="Times New Roman" w:eastAsia="Times New Roman" w:hAnsi="Times New Roman"/>
                <w:sz w:val="10"/>
                <w:szCs w:val="10"/>
                <w:b w:val="1"/>
                <w:bCs w:val="1"/>
                <w:color w:val="auto"/>
              </w:rPr>
              <w:t>High</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2"/>
          </w:tcPr>
          <w:p>
            <w:pPr>
              <w:jc w:val="right"/>
              <w:ind w:right="180"/>
              <w:spacing w:after="0" w:line="94" w:lineRule="exact"/>
              <w:rPr>
                <w:sz w:val="20"/>
                <w:szCs w:val="20"/>
                <w:color w:val="auto"/>
              </w:rPr>
            </w:pPr>
            <w:r>
              <w:rPr>
                <w:rFonts w:ascii="Times New Roman" w:cs="Times New Roman" w:eastAsia="Times New Roman" w:hAnsi="Times New Roman"/>
                <w:sz w:val="10"/>
                <w:szCs w:val="10"/>
                <w:b w:val="1"/>
                <w:bCs w:val="1"/>
                <w:color w:val="auto"/>
                <w:w w:val="95"/>
              </w:rPr>
              <w:t>Low</w:t>
            </w: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19"/>
              <w:spacing w:after="0" w:line="94" w:lineRule="exact"/>
              <w:rPr>
                <w:sz w:val="20"/>
                <w:szCs w:val="20"/>
                <w:color w:val="auto"/>
              </w:rPr>
            </w:pPr>
            <w:r>
              <w:rPr>
                <w:rFonts w:ascii="Times New Roman" w:cs="Times New Roman" w:eastAsia="Times New Roman" w:hAnsi="Times New Roman"/>
                <w:sz w:val="10"/>
                <w:szCs w:val="10"/>
                <w:b w:val="1"/>
                <w:bCs w:val="1"/>
                <w:color w:val="auto"/>
                <w:w w:val="94"/>
              </w:rPr>
              <w:t>High</w:t>
            </w:r>
          </w:p>
        </w:tc>
        <w:tc>
          <w:tcPr>
            <w:tcW w:w="80" w:type="dxa"/>
            <w:vAlign w:val="bottom"/>
          </w:tcPr>
          <w:p>
            <w:pPr>
              <w:spacing w:after="0"/>
              <w:rPr>
                <w:sz w:val="8"/>
                <w:szCs w:val="8"/>
                <w:color w:val="auto"/>
              </w:rPr>
            </w:pPr>
          </w:p>
        </w:tc>
      </w:tr>
      <w:tr>
        <w:trPr>
          <w:trHeight w:val="141"/>
        </w:trPr>
        <w:tc>
          <w:tcPr>
            <w:tcW w:w="39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121.0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129.0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88"/>
              </w:rPr>
              <w:t>495.0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503.0</w:t>
            </w: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Pass through cost for printing and mailing</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5"/>
              </w:rPr>
              <w:t>(14.0)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(15.8)</w:t>
            </w:r>
          </w:p>
        </w:tc>
      </w:tr>
      <w:tr>
        <w:trPr>
          <w:trHeight w:val="152"/>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Marketing fees</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w:t>
            </w:r>
          </w:p>
        </w:tc>
      </w:tr>
      <w:tr>
        <w:trPr>
          <w:trHeight w:val="20"/>
        </w:trPr>
        <w:tc>
          <w:tcPr>
            <w:tcW w:w="3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118.0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124.0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88"/>
              </w:rPr>
              <w:t>479.0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5"/>
              </w:rPr>
              <w:t>485.0</w:t>
            </w:r>
          </w:p>
        </w:tc>
      </w:tr>
      <w:tr>
        <w:trPr>
          <w:trHeight w:val="165"/>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180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4"/>
                <w:szCs w:val="14"/>
                <w:color w:val="auto"/>
              </w:rPr>
            </w:pPr>
          </w:p>
        </w:tc>
      </w:tr>
    </w:tbl>
    <w:p>
      <w:pPr>
        <w:sectPr>
          <w:pgSz w:w="11900" w:h="16838" w:orient="portrait"/>
          <w:cols w:equalWidth="0" w:num="1">
            <w:col w:w="9019"/>
          </w:cols>
          <w:pgMar w:left="1440" w:top="229" w:right="1440" w:bottom="1440"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596900</wp:posOffset>
            </wp:positionH>
            <wp:positionV relativeFrom="page">
              <wp:posOffset>88900</wp:posOffset>
            </wp:positionV>
            <wp:extent cx="6355080" cy="4910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355080" cy="4910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2024-11-07T15:42:24Z</dcterms:created>
  <dcterms:modified xsi:type="dcterms:W3CDTF">2024-11-07T15:42:24Z</dcterms:modified>
</cp:coreProperties>
</file>