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0001862946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001-40430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141 Tremont Street, #10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Boston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02111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617-329-4524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David R. King</w:t>
      </w:r>
    </w:p>
    <w:p>
      <w:pPr>
        <w:spacing w:after="0" w:line="44" w:lineRule="exact"/>
        <w:rPr>
          <w:sz w:val="24"/>
          <w:szCs w:val="24"/>
          <w:color w:val="auto"/>
        </w:rPr>
      </w:pPr>
    </w:p>
    <w:p>
      <w:pPr>
        <w:sectPr>
          <w:pgSz w:w="11900" w:h="16838" w:orient="portrait"/>
          <w:cols w:equalWidth="0" w:num="2">
            <w:col w:w="6700" w:space="720"/>
            <w:col w:w="38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22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1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2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1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2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10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8" w:lineRule="exact"/>
        <w:rPr>
          <w:sz w:val="24"/>
          <w:szCs w:val="24"/>
          <w:color w:val="auto"/>
        </w:rPr>
      </w:pPr>
    </w:p>
    <w:p>
      <w:pPr>
        <w:ind w:right="480"/>
        <w:spacing w:after="0" w:line="181" w:lineRule="auto"/>
        <w:rPr>
          <w:sz w:val="20"/>
          <w:szCs w:val="20"/>
          <w:color w:val="auto"/>
        </w:rPr>
      </w:pPr>
      <w:r>
        <w:rPr>
          <w:rFonts w:ascii="Arial" w:cs="Arial" w:eastAsia="Arial" w:hAnsi="Arial"/>
          <w:sz w:val="19"/>
          <w:szCs w:val="19"/>
          <w:color w:val="auto"/>
        </w:rPr>
        <w:t xml:space="preserve">390 Madison Avenue </w:t>
      </w:r>
      <w:r>
        <w:rPr>
          <w:rFonts w:ascii="Arial" w:cs="Arial" w:eastAsia="Arial" w:hAnsi="Arial"/>
          <w:sz w:val="37"/>
          <w:szCs w:val="37"/>
          <w:color w:val="auto"/>
          <w:vertAlign w:val="subscript"/>
        </w:rPr>
        <w:t>230000</w:t>
      </w:r>
      <w:r>
        <w:rPr>
          <w:rFonts w:ascii="Arial" w:cs="Arial" w:eastAsia="Arial" w:hAnsi="Arial"/>
          <w:sz w:val="19"/>
          <w:szCs w:val="19"/>
          <w:color w:val="auto"/>
        </w:rPr>
        <w:t xml:space="preserve"> 6th Floor</w:t>
      </w:r>
    </w:p>
    <w:p>
      <w:pPr>
        <w:spacing w:after="0"/>
        <w:rPr>
          <w:sz w:val="20"/>
          <w:szCs w:val="20"/>
          <w:color w:val="auto"/>
        </w:rPr>
      </w:pPr>
      <w:r>
        <w:rPr>
          <w:rFonts w:ascii="Arial" w:cs="Arial" w:eastAsia="Arial" w:hAnsi="Arial"/>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Arial" w:cs="Arial" w:eastAsia="Arial" w:hAnsi="Arial"/>
                <w:sz w:val="22"/>
                <w:szCs w:val="22"/>
                <w:color w:val="auto"/>
              </w:rPr>
              <w:t>7015000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80"/>
            <w:col w:w="51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18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18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0" w:type="dxa"/>
            <w:vAlign w:val="bottom"/>
          </w:tcPr>
          <w:p>
            <w:pPr>
              <w:ind w:left="640"/>
              <w:spacing w:after="0"/>
              <w:rPr>
                <w:sz w:val="20"/>
                <w:szCs w:val="20"/>
                <w:color w:val="auto"/>
              </w:rPr>
            </w:pPr>
            <w:r>
              <w:rPr>
                <w:rFonts w:ascii="Arial" w:cs="Arial" w:eastAsia="Arial" w:hAnsi="Arial"/>
                <w:sz w:val="22"/>
                <w:szCs w:val="22"/>
                <w:b w:val="1"/>
                <w:bCs w:val="1"/>
                <w:color w:val="auto"/>
              </w:rPr>
              <w:t>Whom</w:t>
            </w:r>
          </w:p>
        </w:tc>
        <w:tc>
          <w:tcPr>
            <w:tcW w:w="3120" w:type="dxa"/>
            <w:vAlign w:val="bottom"/>
          </w:tcPr>
          <w:p>
            <w:pPr>
              <w:jc w:val="center"/>
              <w:ind w:right="2272"/>
              <w:spacing w:after="0"/>
              <w:rPr>
                <w:sz w:val="20"/>
                <w:szCs w:val="20"/>
                <w:color w:val="auto"/>
              </w:rPr>
            </w:pPr>
            <w:r>
              <w:rPr>
                <w:rFonts w:ascii="Arial" w:cs="Arial" w:eastAsia="Arial" w:hAnsi="Arial"/>
                <w:sz w:val="22"/>
                <w:szCs w:val="22"/>
                <w:b w:val="1"/>
                <w:bCs w:val="1"/>
                <w:color w:val="auto"/>
                <w:w w:val="81"/>
              </w:rPr>
              <w:t>a</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Arial" w:cs="Arial" w:eastAsia="Arial" w:hAnsi="Arial"/>
                <w:sz w:val="22"/>
                <w:szCs w:val="22"/>
                <w:b w:val="1"/>
                <w:bCs w:val="1"/>
                <w:color w:val="auto"/>
              </w:rPr>
              <w:t>Acquired</w:t>
            </w:r>
          </w:p>
        </w:tc>
        <w:tc>
          <w:tcPr>
            <w:tcW w:w="3120" w:type="dxa"/>
            <w:vAlign w:val="bottom"/>
          </w:tcPr>
          <w:p>
            <w:pPr>
              <w:jc w:val="center"/>
              <w:ind w:right="2292"/>
              <w:spacing w:after="0"/>
              <w:rPr>
                <w:sz w:val="20"/>
                <w:szCs w:val="20"/>
                <w:color w:val="auto"/>
              </w:rPr>
            </w:pPr>
            <w:r>
              <w:rPr>
                <w:rFonts w:ascii="Arial" w:cs="Arial" w:eastAsia="Arial" w:hAnsi="Arial"/>
                <w:sz w:val="22"/>
                <w:szCs w:val="22"/>
                <w:b w:val="1"/>
                <w:bCs w:val="1"/>
                <w:color w:val="auto"/>
                <w:w w:val="93"/>
              </w:rPr>
              <w:t>Gift?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0" w:type="dxa"/>
            <w:vAlign w:val="bottom"/>
          </w:tcPr>
          <w:p>
            <w:pPr>
              <w:ind w:left="240"/>
              <w:spacing w:after="0"/>
              <w:rPr>
                <w:sz w:val="20"/>
                <w:szCs w:val="20"/>
                <w:color w:val="auto"/>
              </w:rPr>
            </w:pPr>
            <w:r>
              <w:rPr>
                <w:rFonts w:ascii="Arial" w:cs="Arial" w:eastAsia="Arial" w:hAnsi="Arial"/>
                <w:sz w:val="22"/>
                <w:szCs w:val="22"/>
                <w:color w:val="auto"/>
              </w:rPr>
              <w:t>David King,</w:t>
            </w:r>
          </w:p>
        </w:tc>
        <w:tc>
          <w:tcPr>
            <w:tcW w:w="3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rPr>
              <w:t>who acquired</w:t>
            </w:r>
          </w:p>
        </w:tc>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40"/>
              <w:spacing w:after="0"/>
              <w:rPr>
                <w:sz w:val="20"/>
                <w:szCs w:val="20"/>
                <w:color w:val="auto"/>
              </w:rPr>
            </w:pPr>
            <w:r>
              <w:rPr>
                <w:rFonts w:ascii="Arial" w:cs="Arial" w:eastAsia="Arial" w:hAnsi="Arial"/>
                <w:sz w:val="22"/>
                <w:szCs w:val="22"/>
                <w:color w:val="auto"/>
                <w:w w:val="88"/>
              </w:rPr>
              <w:t>11/17/2021</w:t>
            </w:r>
          </w:p>
        </w:tc>
        <w:tc>
          <w:tcPr>
            <w:tcW w:w="1520" w:type="dxa"/>
            <w:vAlign w:val="bottom"/>
          </w:tcPr>
          <w:p>
            <w:pPr>
              <w:ind w:left="40"/>
              <w:spacing w:after="0" w:line="243" w:lineRule="exact"/>
              <w:rPr>
                <w:sz w:val="20"/>
                <w:szCs w:val="20"/>
                <w:color w:val="auto"/>
              </w:rPr>
            </w:pPr>
            <w:r>
              <w:rPr>
                <w:rFonts w:ascii="Arial" w:cs="Arial" w:eastAsia="Arial" w:hAnsi="Arial"/>
                <w:sz w:val="22"/>
                <w:szCs w:val="22"/>
                <w:color w:val="auto"/>
              </w:rPr>
              <w:t>Transfer to the</w:t>
            </w: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rPr>
              <w:t>the shares</w:t>
            </w: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01/18/2018 11540</w:t>
            </w:r>
          </w:p>
        </w:tc>
        <w:tc>
          <w:tcPr>
            <w:tcW w:w="1160" w:type="dxa"/>
            <w:vAlign w:val="bottom"/>
            <w:vMerge w:val="restart"/>
          </w:tcPr>
          <w:p>
            <w:pPr>
              <w:ind w:left="78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Arial" w:cs="Arial" w:eastAsia="Arial" w:hAnsi="Arial"/>
                <w:sz w:val="22"/>
                <w:szCs w:val="22"/>
                <w:color w:val="auto"/>
              </w:rPr>
              <w:t>Trust</w:t>
            </w: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rPr>
              <w:t>through the</w:t>
            </w:r>
          </w:p>
        </w:tc>
        <w:tc>
          <w:tcPr>
            <w:tcW w:w="31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w w:val="97"/>
              </w:rPr>
              <w:t>private sale of</w:t>
            </w:r>
          </w:p>
        </w:tc>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0" w:type="dxa"/>
            <w:vAlign w:val="bottom"/>
          </w:tcPr>
          <w:p>
            <w:pPr>
              <w:ind w:left="240"/>
              <w:spacing w:after="0"/>
              <w:rPr>
                <w:sz w:val="20"/>
                <w:szCs w:val="20"/>
                <w:color w:val="auto"/>
              </w:rPr>
            </w:pPr>
            <w:r>
              <w:rPr>
                <w:rFonts w:ascii="Arial" w:cs="Arial" w:eastAsia="Arial" w:hAnsi="Arial"/>
                <w:sz w:val="22"/>
                <w:szCs w:val="22"/>
                <w:color w:val="auto"/>
              </w:rPr>
              <w:t>OnPlan</w:t>
            </w:r>
          </w:p>
        </w:tc>
        <w:tc>
          <w:tcPr>
            <w:tcW w:w="3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0" w:type="dxa"/>
            <w:vAlign w:val="bottom"/>
          </w:tcPr>
          <w:p>
            <w:pPr>
              <w:ind w:left="240"/>
              <w:spacing w:after="0"/>
              <w:rPr>
                <w:sz w:val="20"/>
                <w:szCs w:val="20"/>
                <w:color w:val="auto"/>
              </w:rPr>
            </w:pPr>
            <w:r>
              <w:rPr>
                <w:rFonts w:ascii="Arial" w:cs="Arial" w:eastAsia="Arial" w:hAnsi="Arial"/>
                <w:sz w:val="22"/>
                <w:szCs w:val="22"/>
                <w:color w:val="auto"/>
              </w:rPr>
              <w:t>David King,</w:t>
            </w:r>
          </w:p>
        </w:tc>
        <w:tc>
          <w:tcPr>
            <w:tcW w:w="3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rPr>
              <w:t>who acquired</w:t>
            </w:r>
          </w:p>
        </w:tc>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40"/>
              <w:spacing w:after="0"/>
              <w:rPr>
                <w:sz w:val="20"/>
                <w:szCs w:val="20"/>
                <w:color w:val="auto"/>
              </w:rPr>
            </w:pPr>
            <w:r>
              <w:rPr>
                <w:rFonts w:ascii="Arial" w:cs="Arial" w:eastAsia="Arial" w:hAnsi="Arial"/>
                <w:sz w:val="22"/>
                <w:szCs w:val="22"/>
                <w:color w:val="auto"/>
                <w:w w:val="88"/>
              </w:rPr>
              <w:t>02/14/2023</w:t>
            </w:r>
          </w:p>
        </w:tc>
        <w:tc>
          <w:tcPr>
            <w:tcW w:w="1520" w:type="dxa"/>
            <w:vAlign w:val="bottom"/>
          </w:tcPr>
          <w:p>
            <w:pPr>
              <w:ind w:left="40"/>
              <w:spacing w:after="0" w:line="243" w:lineRule="exact"/>
              <w:rPr>
                <w:sz w:val="20"/>
                <w:szCs w:val="20"/>
                <w:color w:val="auto"/>
              </w:rPr>
            </w:pPr>
            <w:r>
              <w:rPr>
                <w:rFonts w:ascii="Arial" w:cs="Arial" w:eastAsia="Arial" w:hAnsi="Arial"/>
                <w:sz w:val="22"/>
                <w:szCs w:val="22"/>
                <w:color w:val="auto"/>
              </w:rPr>
              <w:t>Transfer to the</w:t>
            </w:r>
          </w:p>
        </w:tc>
        <w:tc>
          <w:tcPr>
            <w:tcW w:w="1600" w:type="dxa"/>
            <w:vAlign w:val="bottom"/>
          </w:tcPr>
          <w:p>
            <w:pPr>
              <w:ind w:left="240"/>
              <w:spacing w:after="0" w:line="243" w:lineRule="exact"/>
              <w:rPr>
                <w:sz w:val="20"/>
                <w:szCs w:val="20"/>
                <w:color w:val="auto"/>
              </w:rPr>
            </w:pPr>
            <w:r>
              <w:rPr>
                <w:rFonts w:ascii="Arial" w:cs="Arial" w:eastAsia="Arial" w:hAnsi="Arial"/>
                <w:sz w:val="22"/>
                <w:szCs w:val="22"/>
                <w:color w:val="auto"/>
              </w:rPr>
              <w:t>the shares</w:t>
            </w: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01/18/2018 218460</w:t>
            </w:r>
          </w:p>
        </w:tc>
        <w:tc>
          <w:tcPr>
            <w:tcW w:w="1160" w:type="dxa"/>
            <w:vAlign w:val="bottom"/>
            <w:vMerge w:val="restart"/>
          </w:tcPr>
          <w:p>
            <w:pPr>
              <w:ind w:left="78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261"/>
        </w:trPr>
        <w:tc>
          <w:tcPr>
            <w:tcW w:w="116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1520" w:type="dxa"/>
            <w:vAlign w:val="bottom"/>
          </w:tcPr>
          <w:p>
            <w:pPr>
              <w:ind w:left="40"/>
              <w:spacing w:after="0"/>
              <w:rPr>
                <w:sz w:val="20"/>
                <w:szCs w:val="20"/>
                <w:color w:val="auto"/>
              </w:rPr>
            </w:pPr>
            <w:r>
              <w:rPr>
                <w:rFonts w:ascii="Arial" w:cs="Arial" w:eastAsia="Arial" w:hAnsi="Arial"/>
                <w:sz w:val="22"/>
                <w:szCs w:val="22"/>
                <w:color w:val="auto"/>
              </w:rPr>
              <w:t>Trust</w:t>
            </w:r>
          </w:p>
        </w:tc>
        <w:tc>
          <w:tcPr>
            <w:tcW w:w="1600" w:type="dxa"/>
            <w:vAlign w:val="bottom"/>
          </w:tcPr>
          <w:p>
            <w:pPr>
              <w:ind w:left="240"/>
              <w:spacing w:after="0"/>
              <w:rPr>
                <w:sz w:val="20"/>
                <w:szCs w:val="20"/>
                <w:color w:val="auto"/>
              </w:rPr>
            </w:pPr>
            <w:r>
              <w:rPr>
                <w:rFonts w:ascii="Arial" w:cs="Arial" w:eastAsia="Arial" w:hAnsi="Arial"/>
                <w:sz w:val="22"/>
                <w:szCs w:val="22"/>
                <w:color w:val="auto"/>
              </w:rPr>
              <w:t>through the</w:t>
            </w:r>
          </w:p>
        </w:tc>
        <w:tc>
          <w:tcPr>
            <w:tcW w:w="31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-1171575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-211455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300"/>
        <w:spacing w:after="0" w:line="230" w:lineRule="auto"/>
        <w:rPr>
          <w:sz w:val="20"/>
          <w:szCs w:val="20"/>
          <w:color w:val="auto"/>
        </w:rPr>
      </w:pPr>
      <w:r>
        <w:rPr>
          <w:rFonts w:ascii="Arial" w:cs="Arial" w:eastAsia="Arial" w:hAnsi="Arial"/>
          <w:sz w:val="22"/>
          <w:szCs w:val="22"/>
          <w:color w:val="auto"/>
        </w:rPr>
        <w:t>private sale of</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OnPlan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2"/>
                <w:szCs w:val="22"/>
                <w:color w:val="auto"/>
                <w:w w:val="94"/>
              </w:rPr>
              <w:t>David R. King Revocable Trust Dated</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10/05/07</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C/o Flywire Corporation</w:t>
            </w:r>
          </w:p>
        </w:tc>
        <w:tc>
          <w:tcPr>
            <w:tcW w:w="3380" w:type="dxa"/>
            <w:vAlign w:val="bottom"/>
          </w:tcPr>
          <w:p>
            <w:pPr>
              <w:ind w:left="1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03/30/2023 1800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53146</w:t>
            </w: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141 Tremont Street, #10</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Boston  MA  02111</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2"/>
                <w:szCs w:val="22"/>
                <w:color w:val="auto"/>
                <w:w w:val="94"/>
              </w:rPr>
              <w:t>David R. King Revocable Trust Dated</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10/05/07</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C/o Flywire Corporation</w:t>
            </w:r>
          </w:p>
        </w:tc>
        <w:tc>
          <w:tcPr>
            <w:tcW w:w="3380" w:type="dxa"/>
            <w:vAlign w:val="bottom"/>
          </w:tcPr>
          <w:p>
            <w:pPr>
              <w:ind w:left="16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03/31/2023 30889</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912865</w:t>
            </w: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141 Tremont Street, #10</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Boston  MA  02111</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2"/>
                <w:szCs w:val="22"/>
                <w:color w:val="auto"/>
                <w:w w:val="94"/>
              </w:rPr>
              <w:t>David R. King Revocable Trust Dated</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10/05/07</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C/o Flywire Corporation</w:t>
            </w:r>
          </w:p>
        </w:tc>
        <w:tc>
          <w:tcPr>
            <w:tcW w:w="3380" w:type="dxa"/>
            <w:vAlign w:val="bottom"/>
          </w:tcPr>
          <w:p>
            <w:pPr>
              <w:ind w:left="1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04/12/2023 2295</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67744</w:t>
            </w: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141 Tremont Street, #10</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Boston  MA  02111</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2"/>
                <w:szCs w:val="22"/>
                <w:color w:val="auto"/>
                <w:w w:val="94"/>
              </w:rPr>
              <w:t>David R. King Revocable Trust Dated</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10/05/07</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C/o Flywire Corporation</w:t>
            </w:r>
          </w:p>
        </w:tc>
        <w:tc>
          <w:tcPr>
            <w:tcW w:w="3380" w:type="dxa"/>
            <w:vAlign w:val="bottom"/>
          </w:tcPr>
          <w:p>
            <w:pPr>
              <w:ind w:left="1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04/13/2023 5016</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148605</w:t>
            </w: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141 Tremont Street, #10</w:t>
            </w:r>
          </w:p>
        </w:tc>
        <w:tc>
          <w:tcPr>
            <w:tcW w:w="3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Boston  MA  02111</w:t>
            </w:r>
          </w:p>
        </w:tc>
        <w:tc>
          <w:tcPr>
            <w:tcW w:w="3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940"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shares filed today will be sold by the David R. King Revocable Trust dated 10/05/07, David R. King as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05/10/2023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09/09/2022</w:t>
      </w:r>
    </w:p>
    <w:p>
      <w:pPr>
        <w:spacing w:after="0" w:line="618" w:lineRule="exact"/>
        <w:rPr>
          <w:sz w:val="20"/>
          <w:szCs w:val="20"/>
          <w:color w:val="auto"/>
        </w:rPr>
      </w:pPr>
    </w:p>
    <w:p>
      <w:pPr>
        <w:sectPr>
          <w:pgSz w:w="11900" w:h="16940" w:orient="portrait"/>
          <w:cols w:equalWidth="0" w:num="2">
            <w:col w:w="4360" w:space="280"/>
            <w:col w:w="6600"/>
          </w:cols>
          <w:pgMar w:left="320" w:top="102" w:right="339" w:bottom="0" w:gutter="0" w:footer="0" w:header="0"/>
          <w:type w:val="continuous"/>
        </w:sectPr>
      </w:pPr>
    </w:p>
    <w:p>
      <w:pPr>
        <w:spacing w:after="0" w:line="128" w:lineRule="exact"/>
        <w:rPr>
          <w:sz w:val="20"/>
          <w:szCs w:val="20"/>
          <w:color w:val="auto"/>
        </w:rPr>
      </w:pPr>
    </w:p>
    <w:p>
      <w:pPr>
        <w:ind w:left="40" w:right="40"/>
        <w:spacing w:after="0" w:line="32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40" w:orient="portrait"/>
          <w:cols w:equalWidth="0" w:num="1">
            <w:col w:w="11240"/>
          </w:cols>
          <w:pgMar w:left="320" w:top="102" w:right="339" w:bottom="0" w:gutter="0" w:footer="0" w:header="0"/>
          <w:type w:val="continuous"/>
        </w:sectPr>
      </w:pPr>
    </w:p>
    <w:bookmarkStart w:id="2" w:name="page3"/>
    <w:bookmarkEnd w:id="2"/>
    <w:p>
      <w:pPr>
        <w:jc w:val="both"/>
        <w:spacing w:after="0" w:line="286" w:lineRule="auto"/>
        <w:rPr>
          <w:sz w:val="20"/>
          <w:szCs w:val="20"/>
          <w:color w:val="auto"/>
        </w:rPr>
      </w:pPr>
      <w:r>
        <w:rPr>
          <w:rFonts w:ascii="Arial" w:cs="Arial" w:eastAsia="Arial" w:hAnsi="Arial"/>
          <w:sz w:val="19"/>
          <w:szCs w:val="19"/>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5"/>
        </w:trPr>
        <w:tc>
          <w:tcPr>
            <w:tcW w:w="27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80" w:type="dxa"/>
            <w:vAlign w:val="bottom"/>
          </w:tcPr>
          <w:p>
            <w:pPr>
              <w:ind w:left="1880"/>
              <w:spacing w:after="0" w:line="245" w:lineRule="exact"/>
              <w:rPr>
                <w:sz w:val="20"/>
                <w:szCs w:val="20"/>
                <w:color w:val="auto"/>
              </w:rPr>
            </w:pPr>
            <w:r>
              <w:rPr>
                <w:rFonts w:ascii="Arial" w:cs="Arial" w:eastAsia="Arial" w:hAnsi="Arial"/>
                <w:sz w:val="22"/>
                <w:szCs w:val="22"/>
                <w:color w:val="auto"/>
                <w:w w:val="89"/>
              </w:rPr>
              <w:t>/s/ J.P. Morgan Securities LLC as agent and attorney-in-fact for David R.</w:t>
            </w:r>
          </w:p>
        </w:tc>
        <w:tc>
          <w:tcPr>
            <w:tcW w:w="0" w:type="dxa"/>
            <w:vAlign w:val="bottom"/>
          </w:tcPr>
          <w:p>
            <w:pPr>
              <w:spacing w:after="0"/>
              <w:rPr>
                <w:sz w:val="1"/>
                <w:szCs w:val="1"/>
                <w:color w:val="auto"/>
              </w:rPr>
            </w:pPr>
          </w:p>
        </w:tc>
      </w:tr>
      <w:tr>
        <w:trPr>
          <w:trHeight w:val="153"/>
        </w:trPr>
        <w:tc>
          <w:tcPr>
            <w:tcW w:w="2720" w:type="dxa"/>
            <w:vAlign w:val="bottom"/>
            <w:vMerge w:val="continue"/>
          </w:tcPr>
          <w:p>
            <w:pPr>
              <w:spacing w:after="0"/>
              <w:rPr>
                <w:sz w:val="13"/>
                <w:szCs w:val="13"/>
                <w:color w:val="auto"/>
              </w:rPr>
            </w:pPr>
          </w:p>
        </w:tc>
        <w:tc>
          <w:tcPr>
            <w:tcW w:w="8180" w:type="dxa"/>
            <w:vAlign w:val="bottom"/>
            <w:vMerge w:val="restart"/>
          </w:tcPr>
          <w:p>
            <w:pPr>
              <w:ind w:left="1880"/>
              <w:spacing w:after="0"/>
              <w:rPr>
                <w:sz w:val="20"/>
                <w:szCs w:val="20"/>
                <w:color w:val="auto"/>
              </w:rPr>
            </w:pPr>
            <w:r>
              <w:rPr>
                <w:rFonts w:ascii="Arial" w:cs="Arial" w:eastAsia="Arial" w:hAnsi="Arial"/>
                <w:sz w:val="22"/>
                <w:szCs w:val="22"/>
                <w:color w:val="auto"/>
              </w:rPr>
              <w:t>King</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2023-05-10T16:48:34Z</dcterms:created>
  <dcterms:modified xsi:type="dcterms:W3CDTF">2023-05-10T16:48:34Z</dcterms:modified>
</cp:coreProperties>
</file>