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01" w:lineRule="exact"/>
        <w:rPr>
          <w:sz w:val="24"/>
          <w:szCs w:val="24"/>
          <w:color w:val="auto"/>
        </w:rPr>
      </w:pPr>
    </w:p>
    <w:p>
      <w:pPr>
        <w:sectPr>
          <w:pgSz w:w="11900" w:h="16892" w:orient="portrait"/>
          <w:cols w:equalWidth="0" w:num="2">
            <w:col w:w="2200" w:space="260"/>
            <w:col w:w="8620"/>
          </w:cols>
          <w:pgMar w:left="460" w:top="22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GOLDMAN SACHS GROUP INC</w:t>
        </w:r>
      </w:hyperlink>
    </w:p>
    <w:p>
      <w:pPr>
        <w:spacing w:after="0" w:line="33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0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12/09/2021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6" w:lineRule="exact"/>
        <w:rPr>
          <w:sz w:val="24"/>
          <w:szCs w:val="24"/>
          <w:color w:val="auto"/>
        </w:rPr>
      </w:pPr>
    </w:p>
    <w:p>
      <w:pPr>
        <w:sectPr>
          <w:pgSz w:w="11900" w:h="16892" w:orient="portrait"/>
          <w:cols w:equalWidth="0" w:num="3">
            <w:col w:w="3200" w:space="720"/>
            <w:col w:w="3095" w:space="720"/>
            <w:col w:w="3345"/>
          </w:cols>
          <w:pgMar w:left="460" w:top="225" w:right="359" w:bottom="0" w:gutter="0" w:footer="0" w:header="0"/>
          <w:type w:val="continuous"/>
        </w:sectPr>
      </w:pPr>
    </w:p>
    <w:p>
      <w:pPr>
        <w:spacing w:after="0" w:line="187"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40"/>
              <w:spacing w:after="0"/>
              <w:rPr>
                <w:sz w:val="20"/>
                <w:szCs w:val="20"/>
                <w:color w:val="auto"/>
              </w:rPr>
            </w:pPr>
            <w:r>
              <w:rPr>
                <w:rFonts w:ascii="Arial" w:cs="Arial" w:eastAsia="Arial" w:hAnsi="Arial"/>
                <w:sz w:val="17"/>
                <w:szCs w:val="17"/>
                <w:color w:val="0000FF"/>
              </w:rPr>
              <w:t>NY</w:t>
            </w:r>
          </w:p>
        </w:tc>
        <w:tc>
          <w:tcPr>
            <w:tcW w:w="1600" w:type="dxa"/>
            <w:vAlign w:val="bottom"/>
          </w:tcPr>
          <w:p>
            <w:pPr>
              <w:ind w:left="4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ind w:right="280" w:hanging="3823"/>
        <w:spacing w:after="0" w:line="253"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18" w:lineRule="exact"/>
        <w:rPr>
          <w:sz w:val="24"/>
          <w:szCs w:val="24"/>
          <w:color w:val="auto"/>
        </w:rPr>
      </w:pPr>
    </w:p>
    <w:tbl>
      <w:tblPr>
        <w:tblLayout w:type="fixed"/>
        <w:tblInd w:w="20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94" w:lineRule="exact"/>
        <w:rPr>
          <w:sz w:val="24"/>
          <w:szCs w:val="24"/>
          <w:color w:val="auto"/>
        </w:rPr>
      </w:pPr>
    </w:p>
    <w:p>
      <w:pPr>
        <w:sectPr>
          <w:pgSz w:w="11900" w:h="16892" w:orient="portrait"/>
          <w:cols w:equalWidth="0" w:num="2">
            <w:col w:w="7020" w:space="720"/>
            <w:col w:w="3340"/>
          </w:cols>
          <w:pgMar w:left="460" w:top="225"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2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tcPr>
          <w:p>
            <w:pPr>
              <w:ind w:left="4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124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240" w:type="dxa"/>
            <w:vAlign w:val="bottom"/>
          </w:tcPr>
          <w:p>
            <w:pPr>
              <w:spacing w:after="0"/>
              <w:rPr>
                <w:sz w:val="11"/>
                <w:szCs w:val="11"/>
                <w:color w:val="auto"/>
              </w:rPr>
            </w:pPr>
          </w:p>
        </w:tc>
        <w:tc>
          <w:tcPr>
            <w:tcW w:w="15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12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5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1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4)</w:t>
            </w:r>
          </w:p>
        </w:tc>
        <w:tc>
          <w:tcPr>
            <w:tcW w:w="0" w:type="dxa"/>
            <w:vAlign w:val="bottom"/>
          </w:tcPr>
          <w:p>
            <w:pPr>
              <w:spacing w:after="0"/>
              <w:rPr>
                <w:sz w:val="1"/>
                <w:szCs w:val="1"/>
                <w:color w:val="auto"/>
              </w:rPr>
            </w:pPr>
          </w:p>
        </w:tc>
      </w:tr>
      <w:tr>
        <w:trPr>
          <w:trHeight w:val="168"/>
        </w:trPr>
        <w:tc>
          <w:tcPr>
            <w:tcW w:w="22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56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24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68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76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24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24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ind w:left="50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30"/>
              <w:spacing w:after="0"/>
              <w:rPr>
                <w:sz w:val="20"/>
                <w:szCs w:val="20"/>
                <w:color w:val="auto"/>
              </w:rPr>
            </w:pPr>
            <w:r>
              <w:rPr>
                <w:rFonts w:ascii="Arial" w:cs="Arial" w:eastAsia="Arial" w:hAnsi="Arial"/>
                <w:sz w:val="17"/>
                <w:szCs w:val="17"/>
                <w:color w:val="0000FF"/>
                <w:w w:val="87"/>
              </w:rPr>
              <w:t>119,733</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40.24</w:t>
            </w:r>
            <w:r>
              <w:rPr>
                <w:rFonts w:ascii="Arial" w:cs="Arial" w:eastAsia="Arial" w:hAnsi="Arial"/>
                <w:sz w:val="22"/>
                <w:szCs w:val="22"/>
                <w:color w:val="008000"/>
                <w:vertAlign w:val="superscript"/>
              </w:rPr>
              <w:t>(1)</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3,077,680</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ind w:left="160"/>
              <w:spacing w:after="0"/>
              <w:rPr>
                <w:sz w:val="20"/>
                <w:szCs w:val="20"/>
                <w:color w:val="auto"/>
              </w:rPr>
            </w:pPr>
            <w:r>
              <w:rPr>
                <w:rFonts w:ascii="Arial" w:cs="Arial" w:eastAsia="Arial" w:hAnsi="Arial"/>
                <w:sz w:val="17"/>
                <w:szCs w:val="17"/>
                <w:color w:val="0000FF"/>
              </w:rPr>
              <w:t>12/09/2021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30"/>
              <w:spacing w:after="0"/>
              <w:rPr>
                <w:sz w:val="20"/>
                <w:szCs w:val="20"/>
                <w:color w:val="auto"/>
              </w:rPr>
            </w:pPr>
            <w:r>
              <w:rPr>
                <w:rFonts w:ascii="Arial" w:cs="Arial" w:eastAsia="Arial" w:hAnsi="Arial"/>
                <w:sz w:val="17"/>
                <w:szCs w:val="17"/>
                <w:color w:val="0000FF"/>
                <w:w w:val="89"/>
              </w:rPr>
              <w:t>1,100</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41.18</w:t>
            </w:r>
            <w:r>
              <w:rPr>
                <w:rFonts w:ascii="Arial" w:cs="Arial" w:eastAsia="Arial" w:hAnsi="Arial"/>
                <w:sz w:val="22"/>
                <w:szCs w:val="22"/>
                <w:color w:val="008000"/>
                <w:vertAlign w:val="superscript"/>
              </w:rPr>
              <w:t>(6)</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3,076,580</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54"/>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60" w:type="dxa"/>
            <w:vAlign w:val="bottom"/>
            <w:tcBorders>
              <w:bottom w:val="single" w:sz="8" w:color="2C2C2C"/>
            </w:tcBorders>
            <w:gridSpan w:val="3"/>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r>
      <w:tr>
        <w:trPr>
          <w:trHeight w:val="280"/>
        </w:trPr>
        <w:tc>
          <w:tcPr>
            <w:tcW w:w="20" w:type="dxa"/>
            <w:vAlign w:val="bottom"/>
          </w:tcPr>
          <w:p>
            <w:pPr>
              <w:spacing w:after="0"/>
              <w:rPr>
                <w:sz w:val="24"/>
                <w:szCs w:val="24"/>
                <w:color w:val="auto"/>
              </w:rPr>
            </w:pPr>
          </w:p>
        </w:tc>
        <w:tc>
          <w:tcPr>
            <w:tcW w:w="2660" w:type="dxa"/>
            <w:vAlign w:val="bottom"/>
            <w:gridSpan w:val="4"/>
          </w:tcPr>
          <w:p>
            <w:pPr>
              <w:ind w:left="60"/>
              <w:spacing w:after="0"/>
              <w:rPr>
                <w:sz w:val="20"/>
                <w:szCs w:val="20"/>
                <w:color w:val="auto"/>
              </w:rPr>
            </w:pPr>
            <w:r>
              <w:rPr>
                <w:rFonts w:ascii="Arial" w:cs="Arial" w:eastAsia="Arial" w:hAnsi="Arial"/>
                <w:sz w:val="17"/>
                <w:szCs w:val="17"/>
                <w:color w:val="0000FF"/>
              </w:rPr>
              <w:t>Voting Common Stock</w:t>
            </w:r>
          </w:p>
        </w:tc>
        <w:tc>
          <w:tcPr>
            <w:tcW w:w="1100" w:type="dxa"/>
            <w:vAlign w:val="bottom"/>
            <w:gridSpan w:val="3"/>
          </w:tcPr>
          <w:p>
            <w:pPr>
              <w:ind w:left="160"/>
              <w:spacing w:after="0"/>
              <w:rPr>
                <w:sz w:val="20"/>
                <w:szCs w:val="20"/>
                <w:color w:val="auto"/>
              </w:rPr>
            </w:pPr>
            <w:r>
              <w:rPr>
                <w:rFonts w:ascii="Arial" w:cs="Arial" w:eastAsia="Arial" w:hAnsi="Arial"/>
                <w:sz w:val="17"/>
                <w:szCs w:val="17"/>
                <w:color w:val="0000FF"/>
              </w:rPr>
              <w:t>12/10/2021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ind w:left="500"/>
              <w:spacing w:after="0"/>
              <w:rPr>
                <w:sz w:val="20"/>
                <w:szCs w:val="20"/>
                <w:color w:val="auto"/>
              </w:rPr>
            </w:pPr>
            <w:r>
              <w:rPr>
                <w:rFonts w:ascii="Arial" w:cs="Arial" w:eastAsia="Arial" w:hAnsi="Arial"/>
                <w:sz w:val="13"/>
                <w:szCs w:val="13"/>
                <w:color w:val="0000FF"/>
              </w:rPr>
              <w:t>S</w:t>
            </w:r>
          </w:p>
        </w:tc>
        <w:tc>
          <w:tcPr>
            <w:tcW w:w="1240" w:type="dxa"/>
            <w:vAlign w:val="bottom"/>
            <w:gridSpan w:val="2"/>
          </w:tcPr>
          <w:p>
            <w:pPr>
              <w:jc w:val="center"/>
              <w:ind w:left="230"/>
              <w:spacing w:after="0"/>
              <w:rPr>
                <w:sz w:val="20"/>
                <w:szCs w:val="20"/>
                <w:color w:val="auto"/>
              </w:rPr>
            </w:pPr>
            <w:r>
              <w:rPr>
                <w:rFonts w:ascii="Arial" w:cs="Arial" w:eastAsia="Arial" w:hAnsi="Arial"/>
                <w:sz w:val="17"/>
                <w:szCs w:val="17"/>
                <w:color w:val="0000FF"/>
                <w:w w:val="88"/>
              </w:rPr>
              <w:t>44,281</w:t>
            </w:r>
          </w:p>
        </w:tc>
        <w:tc>
          <w:tcPr>
            <w:tcW w:w="300" w:type="dxa"/>
            <w:vAlign w:val="bottom"/>
          </w:tcPr>
          <w:p>
            <w:pPr>
              <w:jc w:val="right"/>
              <w:spacing w:after="0"/>
              <w:rPr>
                <w:sz w:val="20"/>
                <w:szCs w:val="20"/>
                <w:color w:val="auto"/>
              </w:rPr>
            </w:pPr>
            <w:r>
              <w:rPr>
                <w:rFonts w:ascii="Arial" w:cs="Arial" w:eastAsia="Arial" w:hAnsi="Arial"/>
                <w:sz w:val="17"/>
                <w:szCs w:val="17"/>
                <w:color w:val="0000FF"/>
              </w:rPr>
              <w:t>D</w:t>
            </w:r>
          </w:p>
        </w:tc>
        <w:tc>
          <w:tcPr>
            <w:tcW w:w="980" w:type="dxa"/>
            <w:vAlign w:val="bottom"/>
          </w:tcPr>
          <w:p>
            <w:pPr>
              <w:ind w:left="1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39.88</w:t>
            </w:r>
            <w:r>
              <w:rPr>
                <w:rFonts w:ascii="Arial" w:cs="Arial" w:eastAsia="Arial" w:hAnsi="Arial"/>
                <w:sz w:val="22"/>
                <w:szCs w:val="22"/>
                <w:color w:val="008000"/>
                <w:vertAlign w:val="superscript"/>
              </w:rPr>
              <w:t>(7)</w:t>
            </w:r>
          </w:p>
        </w:tc>
        <w:tc>
          <w:tcPr>
            <w:tcW w:w="780" w:type="dxa"/>
            <w:vAlign w:val="bottom"/>
          </w:tcPr>
          <w:p>
            <w:pPr>
              <w:ind w:left="60"/>
              <w:spacing w:after="0"/>
              <w:rPr>
                <w:sz w:val="20"/>
                <w:szCs w:val="20"/>
                <w:color w:val="auto"/>
              </w:rPr>
            </w:pPr>
            <w:r>
              <w:rPr>
                <w:rFonts w:ascii="Arial" w:cs="Arial" w:eastAsia="Arial" w:hAnsi="Arial"/>
                <w:sz w:val="17"/>
                <w:szCs w:val="17"/>
                <w:color w:val="0000FF"/>
                <w:w w:val="92"/>
              </w:rPr>
              <w:t>2,974,904</w:t>
            </w:r>
          </w:p>
        </w:tc>
        <w:tc>
          <w:tcPr>
            <w:tcW w:w="900" w:type="dxa"/>
            <w:vAlign w:val="bottom"/>
          </w:tcPr>
          <w:p>
            <w:pPr>
              <w:ind w:left="600"/>
              <w:spacing w:after="0"/>
              <w:rPr>
                <w:sz w:val="20"/>
                <w:szCs w:val="20"/>
                <w:color w:val="auto"/>
              </w:rPr>
            </w:pPr>
            <w:r>
              <w:rPr>
                <w:rFonts w:ascii="Arial" w:cs="Arial" w:eastAsia="Arial" w:hAnsi="Arial"/>
                <w:sz w:val="17"/>
                <w:szCs w:val="17"/>
                <w:color w:val="0000FF"/>
              </w:rPr>
              <w:t>I</w:t>
            </w:r>
          </w:p>
        </w:tc>
        <w:tc>
          <w:tcPr>
            <w:tcW w:w="1540" w:type="dxa"/>
            <w:vAlign w:val="bottom"/>
            <w:gridSpan w:val="4"/>
          </w:tcPr>
          <w:p>
            <w:pPr>
              <w:ind w:left="240"/>
              <w:spacing w:after="0"/>
              <w:rPr>
                <w:sz w:val="20"/>
                <w:szCs w:val="20"/>
                <w:color w:val="auto"/>
              </w:rPr>
            </w:pPr>
            <w:r>
              <w:rPr>
                <w:rFonts w:ascii="Arial" w:cs="Arial" w:eastAsia="Arial" w:hAnsi="Arial"/>
                <w:sz w:val="17"/>
                <w:szCs w:val="17"/>
                <w:color w:val="0000FF"/>
              </w:rPr>
              <w:t>See footnote</w:t>
            </w:r>
            <w:r>
              <w:rPr>
                <w:rFonts w:ascii="Arial" w:cs="Arial" w:eastAsia="Arial" w:hAnsi="Arial"/>
                <w:sz w:val="22"/>
                <w:szCs w:val="22"/>
                <w:color w:val="008000"/>
                <w:vertAlign w:val="superscript"/>
              </w:rPr>
              <w:t>(2)</w:t>
            </w:r>
          </w:p>
        </w:tc>
      </w:tr>
      <w:tr>
        <w:trPr>
          <w:trHeight w:val="13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60" w:type="dxa"/>
            <w:vAlign w:val="bottom"/>
          </w:tcPr>
          <w:p>
            <w:pPr>
              <w:ind w:left="240"/>
              <w:spacing w:after="0"/>
              <w:rPr>
                <w:sz w:val="20"/>
                <w:szCs w:val="20"/>
                <w:color w:val="auto"/>
              </w:rPr>
            </w:pPr>
            <w:r>
              <w:rPr>
                <w:rFonts w:ascii="Arial" w:cs="Arial" w:eastAsia="Arial" w:hAnsi="Arial"/>
                <w:sz w:val="11"/>
                <w:szCs w:val="11"/>
                <w:color w:val="008000"/>
              </w:rPr>
              <w:t>(3)(4)(5)</w:t>
            </w: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94"/>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540" w:type="dxa"/>
            <w:vAlign w:val="bottom"/>
            <w:tcBorders>
              <w:bottom w:val="single" w:sz="8" w:color="2C2C2C"/>
            </w:tcBorders>
            <w:gridSpan w:val="2"/>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20" w:type="dxa"/>
            <w:vAlign w:val="bottom"/>
            <w:tcBorders>
              <w:bottom w:val="single" w:sz="8" w:color="2C2C2C"/>
            </w:tcBorders>
            <w:gridSpan w:val="2"/>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140" w:type="dxa"/>
            <w:vAlign w:val="bottom"/>
            <w:tcBorders>
              <w:bottom w:val="single" w:sz="8" w:color="2C2C2C"/>
            </w:tcBorders>
            <w:gridSpan w:val="8"/>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6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80" w:type="dxa"/>
            <w:vAlign w:val="bottom"/>
            <w:gridSpan w:val="11"/>
          </w:tcPr>
          <w:p>
            <w:pPr>
              <w:jc w:val="center"/>
              <w:ind w:right="62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right w:val="single" w:sz="8" w:color="2C2C2C"/>
            </w:tcBorders>
            <w:gridSpan w:val="3"/>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90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3"/>
                <w:szCs w:val="13"/>
                <w:color w:val="auto"/>
              </w:rPr>
            </w:pP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2660" w:type="dxa"/>
            <w:vAlign w:val="bottom"/>
            <w:tcBorders>
              <w:top w:val="single" w:sz="8" w:color="2C2C2C"/>
            </w:tcBorders>
            <w:gridSpan w:val="4"/>
          </w:tcPr>
          <w:p>
            <w:pPr>
              <w:ind w:left="60"/>
              <w:spacing w:after="0" w:line="245"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2">
              <w:r>
                <w:rPr>
                  <w:rFonts w:ascii="Arial" w:cs="Arial" w:eastAsia="Arial" w:hAnsi="Arial"/>
                  <w:sz w:val="21"/>
                  <w:szCs w:val="21"/>
                  <w:color w:val="0000EE"/>
                </w:rPr>
                <w:t>GOLDMAN SACHS GROUP INC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87"/>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0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58"/>
        </w:trPr>
        <w:tc>
          <w:tcPr>
            <w:tcW w:w="20" w:type="dxa"/>
            <w:vAlign w:val="bottom"/>
          </w:tcPr>
          <w:p>
            <w:pPr>
              <w:spacing w:after="0"/>
              <w:rPr>
                <w:sz w:val="22"/>
                <w:szCs w:val="22"/>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1" w:lineRule="exact"/>
              <w:rPr>
                <w:rFonts w:ascii="Arial" w:cs="Arial" w:eastAsia="Arial" w:hAnsi="Arial"/>
                <w:sz w:val="21"/>
                <w:szCs w:val="21"/>
                <w:color w:val="0000EE"/>
              </w:rPr>
            </w:pPr>
            <w:hyperlink r:id="rId14">
              <w:r>
                <w:rPr>
                  <w:rFonts w:ascii="Arial" w:cs="Arial" w:eastAsia="Arial" w:hAnsi="Arial"/>
                  <w:sz w:val="21"/>
                  <w:szCs w:val="21"/>
                  <w:color w:val="0000EE"/>
                </w:rPr>
                <w:t>GOLDMAN SACHS &amp; CO.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3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180" w:type="dxa"/>
            <w:vAlign w:val="bottom"/>
          </w:tcPr>
          <w:p>
            <w:pPr>
              <w:ind w:left="20"/>
              <w:spacing w:after="0"/>
              <w:rPr>
                <w:sz w:val="20"/>
                <w:szCs w:val="20"/>
                <w:color w:val="auto"/>
              </w:rPr>
            </w:pPr>
            <w:r>
              <w:rPr>
                <w:rFonts w:ascii="Arial" w:cs="Arial" w:eastAsia="Arial" w:hAnsi="Arial"/>
                <w:sz w:val="17"/>
                <w:szCs w:val="17"/>
                <w:color w:val="0000FF"/>
              </w:rPr>
              <w:t>NY</w:t>
            </w:r>
          </w:p>
        </w:tc>
        <w:tc>
          <w:tcPr>
            <w:tcW w:w="1100" w:type="dxa"/>
            <w:vAlign w:val="bottom"/>
            <w:gridSpan w:val="3"/>
          </w:tcPr>
          <w:p>
            <w:pPr>
              <w:ind w:left="240"/>
              <w:spacing w:after="0"/>
              <w:rPr>
                <w:sz w:val="20"/>
                <w:szCs w:val="20"/>
                <w:color w:val="auto"/>
              </w:rPr>
            </w:pPr>
            <w:r>
              <w:rPr>
                <w:rFonts w:ascii="Arial" w:cs="Arial" w:eastAsia="Arial" w:hAnsi="Arial"/>
                <w:sz w:val="17"/>
                <w:szCs w:val="17"/>
                <w:color w:val="0000FF"/>
              </w:rPr>
              <w:t>10282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-5046980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Goldman Sachs PSI Global Holdings, LLC</w:t>
        </w:r>
      </w:hyperlink>
    </w:p>
    <w:p>
      <w:pPr>
        <w:sectPr>
          <w:pgSz w:w="11900" w:h="16892" w:orient="portrait"/>
          <w:cols w:equalWidth="0" w:num="1">
            <w:col w:w="11080"/>
          </w:cols>
          <w:pgMar w:left="460" w:top="225" w:right="359" w:bottom="0" w:gutter="0" w:footer="0" w:header="0"/>
          <w:type w:val="continuous"/>
        </w:sectPr>
      </w:pPr>
    </w:p>
    <w:p>
      <w:pPr>
        <w:spacing w:after="0" w:line="321"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92" w:orient="portrait"/>
          <w:cols w:equalWidth="0" w:num="1">
            <w:col w:w="11080"/>
          </w:cols>
          <w:pgMar w:left="460" w:top="225" w:right="35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5969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5969635"/>
                    </a:xfrm>
                    <a:prstGeom prst="rect">
                      <a:avLst/>
                    </a:prstGeom>
                    <a:noFill/>
                  </pic:spPr>
                </pic:pic>
              </a:graphicData>
            </a:graphic>
          </wp:anchor>
        </w:drawing>
        <w:t>200 WEST STREET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7"/>
        </w:trPr>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8"/>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100" w:type="dxa"/>
            <w:vAlign w:val="bottom"/>
          </w:tcPr>
          <w:p>
            <w:pPr>
              <w:spacing w:after="0"/>
              <w:rPr>
                <w:sz w:val="19"/>
                <w:szCs w:val="19"/>
                <w:color w:val="auto"/>
              </w:rPr>
            </w:pPr>
          </w:p>
        </w:tc>
        <w:tc>
          <w:tcPr>
            <w:tcW w:w="2660" w:type="dxa"/>
            <w:vAlign w:val="bottom"/>
            <w:gridSpan w:val="3"/>
          </w:tcPr>
          <w:p>
            <w:pPr>
              <w:spacing w:after="0" w:line="221" w:lineRule="exact"/>
              <w:rPr>
                <w:rFonts w:ascii="Arial" w:cs="Arial" w:eastAsia="Arial" w:hAnsi="Arial"/>
                <w:sz w:val="21"/>
                <w:szCs w:val="21"/>
                <w:color w:val="0000EE"/>
              </w:rPr>
            </w:pPr>
            <w:hyperlink r:id="rId18">
              <w:r>
                <w:rPr>
                  <w:rFonts w:ascii="Arial" w:cs="Arial" w:eastAsia="Arial" w:hAnsi="Arial"/>
                  <w:sz w:val="21"/>
                  <w:szCs w:val="21"/>
                  <w:color w:val="0000EE"/>
                </w:rPr>
                <w:t>StoneBridge 2020,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9"/>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Arial" w:cs="Arial" w:eastAsia="Arial" w:hAnsi="Arial"/>
                <w:sz w:val="17"/>
                <w:szCs w:val="17"/>
                <w:color w:val="0000FF"/>
              </w:rPr>
              <w:t>200 WEST STREET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7"/>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9"/>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480" w:type="dxa"/>
            <w:vAlign w:val="bottom"/>
            <w:gridSpan w:val="2"/>
          </w:tcPr>
          <w:p>
            <w:pPr>
              <w:ind w:left="220"/>
              <w:spacing w:after="0"/>
              <w:rPr>
                <w:sz w:val="20"/>
                <w:szCs w:val="20"/>
                <w:color w:val="auto"/>
              </w:rPr>
            </w:pPr>
            <w:r>
              <w:rPr>
                <w:rFonts w:ascii="Arial" w:cs="Arial" w:eastAsia="Arial" w:hAnsi="Arial"/>
                <w:sz w:val="17"/>
                <w:szCs w:val="17"/>
                <w:color w:val="0000FF"/>
              </w:rPr>
              <w:t>NY</w:t>
            </w:r>
          </w:p>
        </w:tc>
        <w:tc>
          <w:tcPr>
            <w:tcW w:w="1500" w:type="dxa"/>
            <w:vAlign w:val="bottom"/>
          </w:tcPr>
          <w:p>
            <w:pPr>
              <w:ind w:left="140"/>
              <w:spacing w:after="0"/>
              <w:rPr>
                <w:sz w:val="20"/>
                <w:szCs w:val="20"/>
                <w:color w:val="auto"/>
              </w:rPr>
            </w:pPr>
            <w:r>
              <w:rPr>
                <w:rFonts w:ascii="Arial" w:cs="Arial" w:eastAsia="Arial" w:hAnsi="Arial"/>
                <w:sz w:val="17"/>
                <w:szCs w:val="17"/>
                <w:color w:val="0000FF"/>
              </w:rPr>
              <w:t>10282-2198</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7"/>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48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Stonebridge 2020 Offshore Holdings II, L.P.</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1"/>
          <w:szCs w:val="21"/>
          <w:u w:val="single" w:color="auto"/>
          <w:color w:val="0000EE"/>
        </w:rPr>
      </w:pPr>
      <w:hyperlink r:id="rId20">
        <w:r>
          <w:rPr>
            <w:rFonts w:ascii="Arial" w:cs="Arial" w:eastAsia="Arial" w:hAnsi="Arial"/>
            <w:sz w:val="21"/>
            <w:szCs w:val="21"/>
            <w:u w:val="single" w:color="auto"/>
            <w:color w:val="0000EE"/>
          </w:rPr>
          <w:t>Bridge Street Opportunity Advisors, L.L.C.</w:t>
        </w:r>
      </w:hyperlink>
    </w:p>
    <w:p>
      <w:pPr>
        <w:spacing w:after="0" w:line="321"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120" w:type="dxa"/>
            <w:vAlign w:val="bottom"/>
          </w:tcPr>
          <w:p>
            <w:pPr>
              <w:ind w:left="220"/>
              <w:spacing w:after="0"/>
              <w:rPr>
                <w:sz w:val="20"/>
                <w:szCs w:val="20"/>
                <w:color w:val="auto"/>
              </w:rPr>
            </w:pPr>
            <w:r>
              <w:rPr>
                <w:rFonts w:ascii="Arial" w:cs="Arial" w:eastAsia="Arial" w:hAnsi="Arial"/>
                <w:sz w:val="13"/>
                <w:szCs w:val="13"/>
                <w:color w:val="auto"/>
              </w:rPr>
              <w:t>(First)</w:t>
            </w:r>
          </w:p>
        </w:tc>
        <w:tc>
          <w:tcPr>
            <w:tcW w:w="1860" w:type="dxa"/>
            <w:vAlign w:val="bottom"/>
          </w:tcPr>
          <w:p>
            <w:pPr>
              <w:ind w:left="500"/>
              <w:spacing w:after="0"/>
              <w:rPr>
                <w:sz w:val="20"/>
                <w:szCs w:val="20"/>
                <w:color w:val="auto"/>
              </w:rPr>
            </w:pPr>
            <w:r>
              <w:rPr>
                <w:rFonts w:ascii="Arial" w:cs="Arial" w:eastAsia="Arial" w:hAnsi="Arial"/>
                <w:sz w:val="13"/>
                <w:szCs w:val="13"/>
                <w:color w:val="auto"/>
              </w:rPr>
              <w:t>(Middle)</w:t>
            </w:r>
          </w:p>
        </w:tc>
      </w:tr>
      <w:tr>
        <w:trPr>
          <w:trHeight w:val="279"/>
        </w:trPr>
        <w:tc>
          <w:tcPr>
            <w:tcW w:w="40" w:type="dxa"/>
            <w:vAlign w:val="bottom"/>
          </w:tcPr>
          <w:p>
            <w:pPr>
              <w:spacing w:after="0"/>
              <w:rPr>
                <w:sz w:val="24"/>
                <w:szCs w:val="24"/>
                <w:color w:val="auto"/>
              </w:rPr>
            </w:pPr>
          </w:p>
        </w:tc>
        <w:tc>
          <w:tcPr>
            <w:tcW w:w="2300" w:type="dxa"/>
            <w:vAlign w:val="bottom"/>
            <w:gridSpan w:val="2"/>
          </w:tcPr>
          <w:p>
            <w:pPr>
              <w:spacing w:after="0"/>
              <w:rPr>
                <w:sz w:val="20"/>
                <w:szCs w:val="20"/>
                <w:color w:val="auto"/>
              </w:rPr>
            </w:pPr>
            <w:r>
              <w:rPr>
                <w:rFonts w:ascii="Arial" w:cs="Arial" w:eastAsia="Arial" w:hAnsi="Arial"/>
                <w:sz w:val="17"/>
                <w:szCs w:val="17"/>
                <w:color w:val="0000FF"/>
              </w:rPr>
              <w:t>200 WEST STREET</w:t>
            </w:r>
          </w:p>
        </w:tc>
        <w:tc>
          <w:tcPr>
            <w:tcW w:w="18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180" w:type="dxa"/>
            <w:vAlign w:val="bottom"/>
            <w:tcBorders>
              <w:bottom w:val="single" w:sz="8" w:color="9A9A9A"/>
            </w:tcBorders>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860" w:type="dxa"/>
            <w:vAlign w:val="bottom"/>
            <w:tcBorders>
              <w:bottom w:val="single" w:sz="8" w:color="9A9A9A"/>
            </w:tcBorders>
          </w:tcPr>
          <w:p>
            <w:pPr>
              <w:spacing w:after="0"/>
              <w:rPr>
                <w:sz w:val="18"/>
                <w:szCs w:val="18"/>
                <w:color w:val="auto"/>
              </w:rPr>
            </w:pPr>
          </w:p>
        </w:tc>
      </w:tr>
      <w:tr>
        <w:trPr>
          <w:trHeight w:val="267"/>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23"/>
                <w:szCs w:val="23"/>
                <w:color w:val="auto"/>
              </w:rPr>
            </w:pPr>
          </w:p>
        </w:tc>
        <w:tc>
          <w:tcPr>
            <w:tcW w:w="1860" w:type="dxa"/>
            <w:vAlign w:val="bottom"/>
          </w:tcPr>
          <w:p>
            <w:pPr>
              <w:spacing w:after="0"/>
              <w:rPr>
                <w:sz w:val="23"/>
                <w:szCs w:val="2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NEW YORK</w:t>
            </w:r>
          </w:p>
        </w:tc>
        <w:tc>
          <w:tcPr>
            <w:tcW w:w="1120" w:type="dxa"/>
            <w:vAlign w:val="bottom"/>
          </w:tcPr>
          <w:p>
            <w:pPr>
              <w:ind w:left="220"/>
              <w:spacing w:after="0"/>
              <w:rPr>
                <w:sz w:val="20"/>
                <w:szCs w:val="20"/>
                <w:color w:val="auto"/>
              </w:rPr>
            </w:pPr>
            <w:r>
              <w:rPr>
                <w:rFonts w:ascii="Arial" w:cs="Arial" w:eastAsia="Arial" w:hAnsi="Arial"/>
                <w:sz w:val="17"/>
                <w:szCs w:val="17"/>
                <w:color w:val="0000FF"/>
              </w:rPr>
              <w:t>NY</w:t>
            </w:r>
          </w:p>
        </w:tc>
        <w:tc>
          <w:tcPr>
            <w:tcW w:w="1860" w:type="dxa"/>
            <w:vAlign w:val="bottom"/>
          </w:tcPr>
          <w:p>
            <w:pPr>
              <w:ind w:left="500"/>
              <w:spacing w:after="0"/>
              <w:rPr>
                <w:sz w:val="20"/>
                <w:szCs w:val="20"/>
                <w:color w:val="auto"/>
              </w:rPr>
            </w:pPr>
            <w:r>
              <w:rPr>
                <w:rFonts w:ascii="Arial" w:cs="Arial" w:eastAsia="Arial" w:hAnsi="Arial"/>
                <w:sz w:val="17"/>
                <w:szCs w:val="17"/>
                <w:color w:val="0000FF"/>
              </w:rPr>
              <w:t>10282</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20" w:right="14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$40.00 to $40.99, inclusive. The Reporting Persons (as defined below)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 w:firstLine="7"/>
        <w:spacing w:after="0" w:line="243"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9" w:lineRule="exact"/>
        <w:rPr>
          <w:rFonts w:ascii="Arial" w:cs="Arial" w:eastAsia="Arial" w:hAnsi="Arial"/>
          <w:sz w:val="13"/>
          <w:szCs w:val="13"/>
          <w:color w:val="008000"/>
        </w:rPr>
      </w:pPr>
    </w:p>
    <w:p>
      <w:pPr>
        <w:ind w:left="2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15" w:lineRule="exact"/>
        <w:rPr>
          <w:rFonts w:ascii="Arial" w:cs="Arial" w:eastAsia="Arial" w:hAnsi="Arial"/>
          <w:sz w:val="13"/>
          <w:szCs w:val="13"/>
          <w:color w:val="008000"/>
        </w:rPr>
      </w:pPr>
    </w:p>
    <w:p>
      <w:pPr>
        <w:ind w:left="20" w:right="140" w:firstLine="7"/>
        <w:spacing w:after="0" w:line="266"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15" w:lineRule="exact"/>
        <w:rPr>
          <w:rFonts w:ascii="Arial" w:cs="Arial" w:eastAsia="Arial" w:hAnsi="Arial"/>
          <w:sz w:val="13"/>
          <w:szCs w:val="13"/>
          <w:color w:val="008000"/>
        </w:rPr>
      </w:pPr>
    </w:p>
    <w:p>
      <w:pPr>
        <w:ind w:left="20" w:right="320" w:firstLine="7"/>
        <w:spacing w:after="0" w:line="301" w:lineRule="auto"/>
        <w:tabs>
          <w:tab w:leader="none" w:pos="15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Because of the relationships among GS Group, Goldman Sachs, Bridge Street, the SB Funds and GSPSI, each of GS Group and Goldman Sachs may be deemed a beneficial owner of the shares of Voting Common Stock held by GSPSI and the SB Funds, and Bridge Street may be deemed a beneficial owner of the shares of Voting Common Stock held by the SB Funds.</w:t>
      </w: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$41.01 to $41.32,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25" w:lineRule="exact"/>
        <w:rPr>
          <w:rFonts w:ascii="Arial" w:cs="Arial" w:eastAsia="Arial" w:hAnsi="Arial"/>
          <w:sz w:val="13"/>
          <w:szCs w:val="13"/>
          <w:color w:val="008000"/>
        </w:rPr>
      </w:pPr>
    </w:p>
    <w:p>
      <w:pPr>
        <w:ind w:left="20" w:right="200" w:firstLine="7"/>
        <w:spacing w:after="0" w:line="250" w:lineRule="auto"/>
        <w:tabs>
          <w:tab w:leader="none" w:pos="15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$39.60 to $40.00, inclusive. The Reporting Persons undertake to provide to the Issuer, any security holder of the Issuer, or the staff of the Securities and Exchange Commission, upon request, full information regarding the number of shares sold at each separate price within the ranges set forth in this Footnote.</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ind w:left="6560"/>
        <w:spacing w:after="0" w:line="230"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4"/>
          <w:szCs w:val="34"/>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60"/>
        <w:spacing w:after="0" w:line="185" w:lineRule="auto"/>
        <w:rPr>
          <w:sz w:val="20"/>
          <w:szCs w:val="20"/>
          <w:color w:val="auto"/>
        </w:rPr>
      </w:pPr>
      <w:r>
        <w:rPr>
          <w:rFonts w:ascii="Arial" w:cs="Arial" w:eastAsia="Arial" w:hAnsi="Arial"/>
          <w:sz w:val="17"/>
          <w:szCs w:val="17"/>
          <w:color w:val="0000FF"/>
        </w:rPr>
        <w:t xml:space="preserve">/s/ Crystal Orgill, Attorney-in- </w:t>
      </w:r>
      <w:r>
        <w:rPr>
          <w:rFonts w:ascii="Arial" w:cs="Arial" w:eastAsia="Arial" w:hAnsi="Arial"/>
          <w:sz w:val="32"/>
          <w:szCs w:val="32"/>
          <w:color w:val="0000FF"/>
          <w:vertAlign w:val="subscript"/>
        </w:rPr>
        <w:t>12/13/2021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-27940</wp:posOffset>
            </wp:positionV>
            <wp:extent cx="13423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42390" cy="8255"/>
                    </a:xfrm>
                    <a:prstGeom prst="rect">
                      <a:avLst/>
                    </a:prstGeom>
                    <a:noFill/>
                  </pic:spPr>
                </pic:pic>
              </a:graphicData>
            </a:graphic>
          </wp:anchor>
        </w:drawing>
      </w:r>
    </w:p>
    <w:p>
      <w:pPr>
        <w:ind w:left="656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-17145</wp:posOffset>
            </wp:positionV>
            <wp:extent cx="164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64465" cy="8255"/>
                    </a:xfrm>
                    <a:prstGeom prst="rect">
                      <a:avLst/>
                    </a:prstGeom>
                    <a:noFill/>
                  </pic:spPr>
                </pic:pic>
              </a:graphicData>
            </a:graphic>
          </wp:anchor>
        </w:drawing>
        <w:drawing>
          <wp:anchor simplePos="0" relativeHeight="251657728" behindDoc="1" locked="0" layoutInCell="0" allowOverlap="1">
            <wp:simplePos x="0" y="0"/>
            <wp:positionH relativeFrom="column">
              <wp:posOffset>5567680</wp:posOffset>
            </wp:positionH>
            <wp:positionV relativeFrom="paragraph">
              <wp:posOffset>-84455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0900"/>
          </w:cols>
          <w:pgMar w:left="480" w:top="184" w:right="519" w:bottom="0" w:gutter="0" w:footer="0" w:header="0"/>
        </w:sectPr>
      </w:pPr>
    </w:p>
    <w:bookmarkStart w:id="2" w:name="page3"/>
    <w:bookmarkEnd w:id="2"/>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19"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2021-12-13T21:00:46Z</dcterms:created>
  <dcterms:modified xsi:type="dcterms:W3CDTF">2021-12-13T21:00:46Z</dcterms:modified>
</cp:coreProperties>
</file>