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5"/>
          <w:szCs w:val="5"/>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z</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61595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80645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(Mark One)</w:t>
      </w:r>
    </w:p>
    <w:p>
      <w:pPr>
        <w:spacing w:after="0" w:line="15"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2023</w:t>
      </w:r>
    </w:p>
    <w:p>
      <w:pPr>
        <w:spacing w:after="0" w:line="55"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spacing w:after="0" w:line="6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63" w:lineRule="exact"/>
        <w:rPr>
          <w:sz w:val="24"/>
          <w:szCs w:val="24"/>
          <w:color w:val="auto"/>
        </w:rPr>
      </w:pPr>
    </w:p>
    <w:p>
      <w:pPr>
        <w:ind w:left="480"/>
        <w:spacing w:after="0"/>
        <w:tabs>
          <w:tab w:leader="none" w:pos="39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001-40430</w:t>
      </w:r>
    </w:p>
    <w:p>
      <w:pPr>
        <w:spacing w:after="0" w:line="76" w:lineRule="exact"/>
        <w:rPr>
          <w:sz w:val="24"/>
          <w:szCs w:val="24"/>
          <w:color w:val="auto"/>
        </w:rPr>
      </w:pPr>
    </w:p>
    <w:p>
      <w:pPr>
        <w:jc w:val="center"/>
        <w:ind w:right="40"/>
        <w:spacing w:after="0"/>
        <w:rPr>
          <w:sz w:val="20"/>
          <w:szCs w:val="20"/>
          <w:color w:val="auto"/>
        </w:rPr>
      </w:pPr>
      <w:r>
        <w:rPr>
          <w:rFonts w:ascii="Arial" w:cs="Arial" w:eastAsia="Arial" w:hAnsi="Arial"/>
          <w:sz w:val="36"/>
          <w:szCs w:val="36"/>
          <w:b w:val="1"/>
          <w:bCs w:val="1"/>
          <w:color w:val="auto"/>
        </w:rPr>
        <w:t>FLYWIRE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-247015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p>
      <w:pPr>
        <w:spacing w:after="0" w:line="4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57150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1"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18"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141 Tremont St #10</w:t>
      </w:r>
    </w:p>
    <w:p>
      <w:pPr>
        <w:spacing w:after="0" w:line="21"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27-0690799</w:t>
      </w:r>
    </w:p>
    <w:p>
      <w:pPr>
        <w:spacing w:after="0" w:line="39"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218" w:lineRule="exact"/>
        <w:rPr>
          <w:sz w:val="24"/>
          <w:szCs w:val="24"/>
          <w:color w:val="auto"/>
        </w:rPr>
      </w:pPr>
    </w:p>
    <w:p>
      <w:pPr>
        <w:ind w:left="320"/>
        <w:spacing w:after="0"/>
        <w:rPr>
          <w:sz w:val="20"/>
          <w:szCs w:val="20"/>
          <w:color w:val="auto"/>
        </w:rPr>
      </w:pPr>
      <w:r>
        <w:rPr>
          <w:rFonts w:ascii="Arial" w:cs="Arial" w:eastAsia="Arial" w:hAnsi="Arial"/>
          <w:sz w:val="16"/>
          <w:szCs w:val="16"/>
          <w:b w:val="1"/>
          <w:bCs w:val="1"/>
          <w:color w:val="auto"/>
        </w:rPr>
        <w:t>02111</w:t>
      </w:r>
    </w:p>
    <w:p>
      <w:pPr>
        <w:spacing w:after="0" w:line="38" w:lineRule="exact"/>
        <w:rPr>
          <w:sz w:val="24"/>
          <w:szCs w:val="24"/>
          <w:color w:val="auto"/>
        </w:rPr>
      </w:pPr>
    </w:p>
    <w:p>
      <w:pPr>
        <w:sectPr>
          <w:pgSz w:w="11900" w:h="16838" w:orient="portrait"/>
          <w:cols w:equalWidth="0" w:num="2">
            <w:col w:w="7400" w:space="500"/>
            <w:col w:w="3340"/>
          </w:cols>
          <w:pgMar w:left="320" w:top="1165" w:right="339" w:bottom="1440" w:gutter="0" w:footer="0" w:header="0"/>
          <w:type w:val="continuous"/>
        </w:sect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(617) 329-4524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66040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7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2780" w:type="dxa"/>
            <w:vAlign w:val="bottom"/>
          </w:tcPr>
          <w:p>
            <w:pPr>
              <w:jc w:val="center"/>
              <w:ind w:right="788"/>
              <w:spacing w:after="0"/>
              <w:rPr>
                <w:sz w:val="20"/>
                <w:szCs w:val="20"/>
                <w:color w:val="auto"/>
              </w:rPr>
            </w:pPr>
            <w:r>
              <w:rPr>
                <w:rFonts w:ascii="Arial" w:cs="Arial" w:eastAsia="Arial" w:hAnsi="Arial"/>
                <w:sz w:val="14"/>
                <w:szCs w:val="14"/>
                <w:b w:val="1"/>
                <w:bCs w:val="1"/>
                <w:color w:val="auto"/>
              </w:rPr>
              <w:t>Trading</w:t>
            </w: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2780" w:type="dxa"/>
            <w:vAlign w:val="bottom"/>
            <w:tcBorders>
              <w:bottom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rPr>
              <w:t>Symbol(s)</w:t>
            </w:r>
          </w:p>
        </w:tc>
        <w:tc>
          <w:tcPr>
            <w:tcW w:w="4180" w:type="dxa"/>
            <w:vAlign w:val="bottom"/>
            <w:tcBorders>
              <w:bottom w:val="single" w:sz="8" w:color="auto"/>
            </w:tcBorders>
          </w:tcPr>
          <w:p>
            <w:pPr>
              <w:jc w:val="center"/>
              <w:ind w:right="79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Voting common stock, $0.0001 par value per share</w:t>
            </w:r>
          </w:p>
        </w:tc>
        <w:tc>
          <w:tcPr>
            <w:tcW w:w="2780" w:type="dxa"/>
            <w:vAlign w:val="bottom"/>
          </w:tcPr>
          <w:p>
            <w:pPr>
              <w:jc w:val="center"/>
              <w:ind w:right="788"/>
              <w:spacing w:after="0"/>
              <w:rPr>
                <w:sz w:val="20"/>
                <w:szCs w:val="20"/>
                <w:color w:val="auto"/>
              </w:rPr>
            </w:pPr>
            <w:r>
              <w:rPr>
                <w:rFonts w:ascii="Arial" w:cs="Arial" w:eastAsia="Arial" w:hAnsi="Arial"/>
                <w:sz w:val="14"/>
                <w:szCs w:val="14"/>
                <w:b w:val="1"/>
                <w:bCs w:val="1"/>
                <w:color w:val="auto"/>
              </w:rPr>
              <w:t>FLYW</w:t>
            </w:r>
          </w:p>
        </w:tc>
        <w:tc>
          <w:tcPr>
            <w:tcW w:w="4180" w:type="dxa"/>
            <w:vAlign w:val="bottom"/>
          </w:tcPr>
          <w:p>
            <w:pPr>
              <w:jc w:val="center"/>
              <w:ind w:right="790"/>
              <w:spacing w:after="0"/>
              <w:rPr>
                <w:sz w:val="20"/>
                <w:szCs w:val="20"/>
                <w:color w:val="auto"/>
              </w:rPr>
            </w:pPr>
            <w:r>
              <w:rPr>
                <w:rFonts w:ascii="Arial" w:cs="Arial" w:eastAsia="Arial" w:hAnsi="Arial"/>
                <w:sz w:val="14"/>
                <w:szCs w:val="14"/>
                <w:b w:val="1"/>
                <w:bCs w:val="1"/>
                <w:color w:val="auto"/>
              </w:rPr>
              <w:t>The Nasdaq Stock Market LLC</w:t>
            </w:r>
          </w:p>
        </w:tc>
        <w:tc>
          <w:tcPr>
            <w:tcW w:w="0" w:type="dxa"/>
            <w:vAlign w:val="bottom"/>
          </w:tcPr>
          <w:p>
            <w:pPr>
              <w:spacing w:after="0"/>
              <w:rPr>
                <w:sz w:val="1"/>
                <w:szCs w:val="1"/>
                <w:color w:val="auto"/>
              </w:rPr>
            </w:pPr>
          </w:p>
        </w:tc>
      </w:tr>
      <w:tr>
        <w:trPr>
          <w:trHeight w:val="196"/>
        </w:trPr>
        <w:tc>
          <w:tcPr>
            <w:tcW w:w="4280" w:type="dxa"/>
            <w:vAlign w:val="bottom"/>
            <w:vMerge w:val="restart"/>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2780" w:type="dxa"/>
            <w:vAlign w:val="bottom"/>
          </w:tcPr>
          <w:p>
            <w:pPr>
              <w:spacing w:after="0"/>
              <w:rPr>
                <w:sz w:val="17"/>
                <w:szCs w:val="17"/>
                <w:color w:val="auto"/>
              </w:rPr>
            </w:pPr>
          </w:p>
        </w:tc>
        <w:tc>
          <w:tcPr>
            <w:tcW w:w="4180" w:type="dxa"/>
            <w:vAlign w:val="bottom"/>
          </w:tcPr>
          <w:p>
            <w:pPr>
              <w:jc w:val="center"/>
              <w:ind w:right="790"/>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r>
        <w:trPr>
          <w:trHeight w:val="142"/>
        </w:trPr>
        <w:tc>
          <w:tcPr>
            <w:tcW w:w="4280" w:type="dxa"/>
            <w:vAlign w:val="bottom"/>
            <w:vMerge w:val="continue"/>
          </w:tcPr>
          <w:p>
            <w:pPr>
              <w:spacing w:after="0"/>
              <w:rPr>
                <w:sz w:val="12"/>
                <w:szCs w:val="12"/>
                <w:color w:val="auto"/>
              </w:rPr>
            </w:pPr>
          </w:p>
        </w:tc>
        <w:tc>
          <w:tcPr>
            <w:tcW w:w="27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060" w:type="dxa"/>
            <w:vAlign w:val="bottom"/>
            <w:gridSpan w:val="2"/>
          </w:tcPr>
          <w:p>
            <w:pPr>
              <w:spacing w:after="0" w:line="150" w:lineRule="exact"/>
              <w:rPr>
                <w:sz w:val="20"/>
                <w:szCs w:val="20"/>
                <w:color w:val="auto"/>
              </w:rPr>
            </w:pPr>
            <w:r>
              <w:rPr>
                <w:rFonts w:ascii="Arial" w:cs="Arial" w:eastAsia="Arial" w:hAnsi="Arial"/>
                <w:sz w:val="13"/>
                <w:szCs w:val="13"/>
                <w:color w:val="auto"/>
                <w:w w:val="98"/>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8"/>
              </w:rPr>
              <w:t>☒</w:t>
            </w:r>
          </w:p>
        </w:tc>
        <w:tc>
          <w:tcPr>
            <w:tcW w:w="4180" w:type="dxa"/>
            <w:vAlign w:val="bottom"/>
          </w:tcPr>
          <w:p>
            <w:pPr>
              <w:ind w:left="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13"/>
        </w:trPr>
        <w:tc>
          <w:tcPr>
            <w:tcW w:w="7060" w:type="dxa"/>
            <w:vAlign w:val="bottom"/>
            <w:gridSpan w:val="2"/>
          </w:tcPr>
          <w:p>
            <w:pPr>
              <w:spacing w:after="0" w:line="150" w:lineRule="exact"/>
              <w:rPr>
                <w:sz w:val="20"/>
                <w:szCs w:val="20"/>
                <w:color w:val="auto"/>
              </w:rPr>
            </w:pPr>
            <w:r>
              <w:rPr>
                <w:rFonts w:ascii="Arial" w:cs="Arial" w:eastAsia="Arial" w:hAnsi="Arial"/>
                <w:sz w:val="13"/>
                <w:szCs w:val="13"/>
                <w:color w:val="auto"/>
                <w:w w:val="98"/>
              </w:rPr>
              <w:t xml:space="preserve">Indicate by check mark if the registrant is not required to file reports pursuant to Section 13 or 15(d) of the Act. Yes </w:t>
            </w:r>
            <w:r>
              <w:rPr>
                <w:rFonts w:ascii="MS PGothic" w:cs="MS PGothic" w:eastAsia="MS PGothic" w:hAnsi="MS PGothic"/>
                <w:sz w:val="13"/>
                <w:szCs w:val="13"/>
                <w:color w:val="auto"/>
                <w:w w:val="98"/>
              </w:rPr>
              <w:t>☐</w:t>
            </w:r>
            <w:r>
              <w:rPr>
                <w:rFonts w:ascii="Arial" w:cs="Arial" w:eastAsia="Arial" w:hAnsi="Arial"/>
                <w:sz w:val="13"/>
                <w:szCs w:val="13"/>
                <w:color w:val="auto"/>
                <w:w w:val="98"/>
              </w:rPr>
              <w:t xml:space="preserve">  No </w:t>
            </w:r>
            <w:r>
              <w:rPr>
                <w:rFonts w:ascii="MS PGothic" w:cs="MS PGothic" w:eastAsia="MS PGothic" w:hAnsi="MS PGothic"/>
                <w:sz w:val="13"/>
                <w:szCs w:val="13"/>
                <w:color w:val="auto"/>
                <w:w w:val="98"/>
              </w:rPr>
              <w:t>☒</w:t>
            </w: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4"/>
          <w:szCs w:val="24"/>
          <w:color w:val="auto"/>
        </w:rPr>
      </w:pPr>
    </w:p>
    <w:p>
      <w:pPr>
        <w:ind w:right="36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ind w:right="160"/>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ind w:right="140"/>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17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6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20"/>
              <w:spacing w:after="0"/>
              <w:rPr>
                <w:sz w:val="20"/>
                <w:szCs w:val="20"/>
                <w:color w:val="auto"/>
              </w:rPr>
            </w:pPr>
            <w:r>
              <w:rPr>
                <w:rFonts w:ascii="Arial" w:cs="Arial" w:eastAsia="Arial" w:hAnsi="Arial"/>
                <w:sz w:val="13"/>
                <w:szCs w:val="13"/>
                <w:color w:val="auto"/>
              </w:rPr>
              <w:t>Accelerated filer</w:t>
            </w:r>
          </w:p>
        </w:tc>
        <w:tc>
          <w:tcPr>
            <w:tcW w:w="560" w:type="dxa"/>
            <w:vAlign w:val="bottom"/>
          </w:tcPr>
          <w:p>
            <w:pPr>
              <w:ind w:left="4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10"/>
        </w:trPr>
        <w:tc>
          <w:tcPr>
            <w:tcW w:w="1760" w:type="dxa"/>
            <w:vAlign w:val="bottom"/>
          </w:tcPr>
          <w:p>
            <w:pPr>
              <w:spacing w:after="0"/>
              <w:rPr>
                <w:sz w:val="20"/>
                <w:szCs w:val="20"/>
                <w:color w:val="auto"/>
              </w:rPr>
            </w:pPr>
            <w:r>
              <w:rPr>
                <w:rFonts w:ascii="Arial" w:cs="Arial" w:eastAsia="Arial" w:hAnsi="Arial"/>
                <w:sz w:val="13"/>
                <w:szCs w:val="13"/>
                <w:color w:val="auto"/>
              </w:rPr>
              <w:t>Non-accelerated filer</w:t>
            </w:r>
          </w:p>
        </w:tc>
        <w:tc>
          <w:tcPr>
            <w:tcW w:w="376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20"/>
              <w:spacing w:after="0"/>
              <w:rPr>
                <w:sz w:val="20"/>
                <w:szCs w:val="20"/>
                <w:color w:val="auto"/>
              </w:rPr>
            </w:pPr>
            <w:r>
              <w:rPr>
                <w:rFonts w:ascii="Arial" w:cs="Arial" w:eastAsia="Arial" w:hAnsi="Arial"/>
                <w:sz w:val="13"/>
                <w:szCs w:val="13"/>
                <w:color w:val="auto"/>
              </w:rPr>
              <w:t>Smaller reporting company</w:t>
            </w:r>
          </w:p>
        </w:tc>
        <w:tc>
          <w:tcPr>
            <w:tcW w:w="560" w:type="dxa"/>
            <w:vAlign w:val="bottom"/>
          </w:tcPr>
          <w:p>
            <w:pPr>
              <w:ind w:left="4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10"/>
        </w:trPr>
        <w:tc>
          <w:tcPr>
            <w:tcW w:w="17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060" w:type="dxa"/>
            <w:vAlign w:val="bottom"/>
          </w:tcPr>
          <w:p>
            <w:pPr>
              <w:ind w:left="3120"/>
              <w:spacing w:after="0"/>
              <w:rPr>
                <w:sz w:val="20"/>
                <w:szCs w:val="20"/>
                <w:color w:val="auto"/>
              </w:rPr>
            </w:pPr>
            <w:r>
              <w:rPr>
                <w:rFonts w:ascii="Arial" w:cs="Arial" w:eastAsia="Arial" w:hAnsi="Arial"/>
                <w:sz w:val="13"/>
                <w:szCs w:val="13"/>
                <w:color w:val="auto"/>
              </w:rPr>
              <w:t>Emerging growth company</w:t>
            </w:r>
          </w:p>
        </w:tc>
        <w:tc>
          <w:tcPr>
            <w:tcW w:w="560" w:type="dxa"/>
            <w:vAlign w:val="bottom"/>
          </w:tcPr>
          <w:p>
            <w:pPr>
              <w:ind w:left="4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8" w:lineRule="exact"/>
        <w:rPr>
          <w:sz w:val="24"/>
          <w:szCs w:val="24"/>
          <w:color w:val="auto"/>
        </w:rPr>
      </w:pPr>
    </w:p>
    <w:p>
      <w:pPr>
        <w:ind w:right="44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 w:lineRule="exact"/>
        <w:rPr>
          <w:sz w:val="24"/>
          <w:szCs w:val="24"/>
          <w:color w:val="auto"/>
        </w:rPr>
      </w:pPr>
    </w:p>
    <w:p>
      <w:pPr>
        <w:ind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6" w:lineRule="exact"/>
        <w:rPr>
          <w:sz w:val="24"/>
          <w:szCs w:val="24"/>
          <w:color w:val="auto"/>
        </w:rPr>
      </w:pPr>
    </w:p>
    <w:p>
      <w:pPr>
        <w:ind w:right="160"/>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6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58" w:lineRule="exact"/>
        <w:rPr>
          <w:sz w:val="24"/>
          <w:szCs w:val="24"/>
          <w:color w:val="auto"/>
        </w:rPr>
      </w:pPr>
    </w:p>
    <w:p>
      <w:pPr>
        <w:ind w:right="280"/>
        <w:spacing w:after="0" w:line="228" w:lineRule="auto"/>
        <w:rPr>
          <w:sz w:val="20"/>
          <w:szCs w:val="20"/>
          <w:color w:val="auto"/>
        </w:rPr>
      </w:pPr>
      <w:r>
        <w:rPr>
          <w:rFonts w:ascii="Arial" w:cs="Arial" w:eastAsia="Arial" w:hAnsi="Arial"/>
          <w:sz w:val="13"/>
          <w:szCs w:val="13"/>
          <w:color w:val="auto"/>
        </w:rPr>
        <w:t>As of June 30, 2023, the last business day of the registrant’s mostly recently completed second fiscal quarter, the aggregate market value of the voting and non-voting common stock held by non-affiliates of the registrant was $3,367,883,922 based upon the closing sale price of our voting common stock of $31.04 per share on that date. The voting and non-voting common stock held by each officer and director and by each person known to own in excess of 5% of aggregate outstanding shares of our voting and non-voting common stock has been excluded in that such persons may be deemed to be affiliates. The determination of affiliate status is not necessarily a conclusive determination for other purposes.</w:t>
      </w:r>
    </w:p>
    <w:p>
      <w:pPr>
        <w:spacing w:after="0" w:line="25" w:lineRule="exact"/>
        <w:rPr>
          <w:sz w:val="24"/>
          <w:szCs w:val="24"/>
          <w:color w:val="auto"/>
        </w:rPr>
      </w:pPr>
    </w:p>
    <w:p>
      <w:pPr>
        <w:ind w:right="60"/>
        <w:spacing w:after="0" w:line="242" w:lineRule="auto"/>
        <w:rPr>
          <w:sz w:val="20"/>
          <w:szCs w:val="20"/>
          <w:color w:val="auto"/>
        </w:rPr>
      </w:pPr>
      <w:r>
        <w:rPr>
          <w:rFonts w:ascii="Arial" w:cs="Arial" w:eastAsia="Arial" w:hAnsi="Arial"/>
          <w:sz w:val="13"/>
          <w:szCs w:val="13"/>
          <w:color w:val="auto"/>
        </w:rPr>
        <w:t>As of February 23, 2024, the registrant had 120,954,994 shares of voting common stock, $0.0001 par value per share, outstanding and 1,873,320 shares of non-voting common stock $0.0001 par value per share, outstanding.</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39" w:lineRule="exact"/>
        <w:rPr>
          <w:sz w:val="24"/>
          <w:szCs w:val="24"/>
          <w:color w:val="auto"/>
        </w:rPr>
      </w:pPr>
    </w:p>
    <w:p>
      <w:pPr>
        <w:spacing w:after="0" w:line="242" w:lineRule="auto"/>
        <w:rPr>
          <w:sz w:val="20"/>
          <w:szCs w:val="20"/>
          <w:color w:val="auto"/>
        </w:rPr>
      </w:pPr>
      <w:r>
        <w:rPr>
          <w:rFonts w:ascii="Arial" w:cs="Arial" w:eastAsia="Arial" w:hAnsi="Arial"/>
          <w:sz w:val="13"/>
          <w:szCs w:val="13"/>
          <w:color w:val="auto"/>
        </w:rPr>
        <w:t>Portions of the registrant’s proxy statement for the 2024 annual meeting of stockholders to be filed pursuant to Regulation 14A within 120 days after the registrant’s fiscal year ended December 31, 2023,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808990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920" w:type="dxa"/>
            <w:vAlign w:val="bottom"/>
            <w:gridSpan w:val="11"/>
          </w:tcPr>
          <w:p>
            <w:pPr>
              <w:ind w:left="42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1240" w:type="dxa"/>
            <w:vAlign w:val="bottom"/>
          </w:tcPr>
          <w:p>
            <w:pPr>
              <w:spacing w:after="0"/>
              <w:rPr>
                <w:sz w:val="24"/>
                <w:szCs w:val="24"/>
                <w:color w:val="auto"/>
              </w:rPr>
            </w:pPr>
          </w:p>
        </w:tc>
        <w:tc>
          <w:tcPr>
            <w:tcW w:w="9120" w:type="dxa"/>
            <w:vAlign w:val="bottom"/>
            <w:gridSpan w:val="23"/>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8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120" w:type="dxa"/>
            <w:vAlign w:val="bottom"/>
            <w:gridSpan w:val="23"/>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3"/>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1.</w:t>
            </w: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Business</w:t>
            </w:r>
          </w:p>
        </w:tc>
        <w:tc>
          <w:tcPr>
            <w:tcW w:w="8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1A.</w:t>
            </w:r>
          </w:p>
        </w:tc>
        <w:tc>
          <w:tcPr>
            <w:tcW w:w="7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Risk Factors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1B.</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Unresolved Staff Comments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1C.</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Cybersecurity</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2.</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Properties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3.</w:t>
            </w:r>
          </w:p>
        </w:tc>
        <w:tc>
          <w:tcPr>
            <w:tcW w:w="8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Legal Proceedings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4.</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Mine Safety Disclosures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5.</w:t>
            </w: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8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6.</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[Reserved]</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7.</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7A.</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8.</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Financial Statements and Supplementary Data</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9.</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9A.</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Controls and Procedures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9B.</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Other Information</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9C.</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10.</w:t>
            </w: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8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11.</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Executive Compensation</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12.</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13.</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14.</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Principal Accounting Fees and Services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15.</w:t>
            </w: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Exhibits, Financial Statement Schedules</w:t>
            </w:r>
          </w:p>
        </w:tc>
        <w:tc>
          <w:tcPr>
            <w:tcW w:w="8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rPr>
                <w:sz w:val="20"/>
                <w:szCs w:val="20"/>
                <w:color w:val="auto"/>
              </w:rPr>
            </w:pPr>
            <w:r>
              <w:rPr>
                <w:rFonts w:ascii="Arial" w:cs="Arial" w:eastAsia="Arial" w:hAnsi="Arial"/>
                <w:sz w:val="18"/>
                <w:szCs w:val="18"/>
                <w:color w:val="auto"/>
              </w:rPr>
              <w:t>Item 16.</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Form 10-K Summary</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7460" w:type="dxa"/>
            <w:vAlign w:val="bottom"/>
            <w:gridSpan w:val="16"/>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120" w:type="dxa"/>
            <w:vAlign w:val="bottom"/>
            <w:gridSpan w:val="23"/>
          </w:tcPr>
          <w:p>
            <w:pPr>
              <w:spacing w:after="0" w:line="195" w:lineRule="exact"/>
              <w:rPr>
                <w:sz w:val="20"/>
                <w:szCs w:val="20"/>
                <w:color w:val="auto"/>
              </w:rPr>
            </w:pPr>
            <w:r>
              <w:rPr>
                <w:rFonts w:ascii="Arial" w:cs="Arial" w:eastAsia="Arial" w:hAnsi="Arial"/>
                <w:sz w:val="18"/>
                <w:szCs w:val="18"/>
                <w:color w:val="0000FF"/>
              </w:rPr>
              <w:t>Signatures</w:t>
            </w: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475615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This Annual Report on Form 10-K,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77" w:lineRule="exact"/>
        <w:rPr>
          <w:sz w:val="20"/>
          <w:szCs w:val="20"/>
          <w:color w:val="auto"/>
        </w:rPr>
      </w:pPr>
    </w:p>
    <w:p>
      <w:pPr>
        <w:ind w:left="1020" w:right="420" w:hanging="504"/>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plan and our ability to effectively manage our growth;</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cross-border expansion plans and ability to expand internationally;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and ability to access, our cash and cash equivalents to meet our liquidity needs;</w:t>
      </w:r>
    </w:p>
    <w:p>
      <w:pPr>
        <w:spacing w:after="0" w:line="115" w:lineRule="exact"/>
        <w:rPr>
          <w:rFonts w:ascii="Times New Roman" w:cs="Times New Roman" w:eastAsia="Times New Roman" w:hAnsi="Times New Roman"/>
          <w:sz w:val="18"/>
          <w:szCs w:val="18"/>
          <w:color w:val="auto"/>
        </w:rPr>
      </w:pPr>
    </w:p>
    <w:p>
      <w:pPr>
        <w:ind w:left="1020" w:right="6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economic, foreign currency exchange rate, inflation, banking, legal, social and health risks and public health measures that may affect our business or the global economy;</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beliefs and objectives for future operations;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and protect our brand;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grow the payment volume that we process;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client base;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solutions and services and bring them to market in a timely manner;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concerning relationships with third parties, including financial institutions and strategic partners;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enter new client verticals and sub-verticals, including our relatively new business-to-business (B2B) sector;</w:t>
      </w:r>
    </w:p>
    <w:p>
      <w:pPr>
        <w:spacing w:after="0" w:line="115" w:lineRule="exact"/>
        <w:rPr>
          <w:rFonts w:ascii="Times New Roman" w:cs="Times New Roman" w:eastAsia="Times New Roman" w:hAnsi="Times New Roman"/>
          <w:sz w:val="18"/>
          <w:szCs w:val="18"/>
          <w:color w:val="auto"/>
        </w:rPr>
      </w:pPr>
    </w:p>
    <w:p>
      <w:pPr>
        <w:ind w:left="1020" w:right="70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litigation and legal and regulatory matters;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w:t>
      </w:r>
    </w:p>
    <w:p>
      <w:pPr>
        <w:spacing w:after="0" w:line="115" w:lineRule="exact"/>
        <w:rPr>
          <w:rFonts w:ascii="Times New Roman" w:cs="Times New Roman" w:eastAsia="Times New Roman" w:hAnsi="Times New Roman"/>
          <w:sz w:val="18"/>
          <w:szCs w:val="18"/>
          <w:color w:val="auto"/>
        </w:rPr>
      </w:pPr>
    </w:p>
    <w:p>
      <w:pPr>
        <w:jc w:val="both"/>
        <w:ind w:left="1020" w:right="140" w:hanging="504"/>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other financial services, economic and trade sanctions, anti-money laundering (AML) and countering the financing of terrorism (CFT), taxation, privacy and data protection;</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and industry trends, projected growth, or trend analysis;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global events and geopolitical conflict, including without limitation the continuing hostilities in Ukraine and Gaza;</w:t>
      </w:r>
    </w:p>
    <w:p>
      <w:pPr>
        <w:spacing w:after="0" w:line="115" w:lineRule="exact"/>
        <w:rPr>
          <w:rFonts w:ascii="Times New Roman" w:cs="Times New Roman" w:eastAsia="Times New Roman" w:hAnsi="Times New Roman"/>
          <w:sz w:val="18"/>
          <w:szCs w:val="18"/>
          <w:color w:val="auto"/>
        </w:rPr>
      </w:pPr>
    </w:p>
    <w:p>
      <w:pPr>
        <w:ind w:left="1020" w:right="28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adapt to changes in U.S. federal income or other tax laws or the interpretation of tax laws, including the Inflation Reduction Act of 2022;</w:t>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qualified employees;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protect, and enhance our intellectual property;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security and availability of our solutions;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increased expenses associated with being a public company;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market price of our common stock.</w:t>
      </w:r>
    </w:p>
    <w:p>
      <w:pPr>
        <w:spacing w:after="0" w:line="18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Annual Report on Form 10-K. Other sections of this Annual Report on Form 10-K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5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Annual Report on Form 10-K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4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39"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Unless otherwise noted or unless the context provides otherwise, all references in this Annual Report on Form 10-K to our “common stock” refer to our voting common stock.</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mission is to deliver the most important and complex payments. In an increasingly digital world, getting paid means Flywire.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8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42"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There have been substantial strides made in payments technology in the retail and e-commerce industries; however, massive sectors of our global economy—including education, healthcare, travel, and B2B payments—are still in the early stages of digital transformation. We estimate the annual addressable volume for these sectors alone to be approximately $11.7 trillion, as more fully described in “Our Market Opportunity”. We believe Flywire is well-positioned to capture a meaningful share of this global payment volume given our ability to provide deeply-integrated digital solutions that address both domestic and cross-border payments.</w:t>
      </w:r>
    </w:p>
    <w:p>
      <w:pPr>
        <w:spacing w:after="0" w:line="13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clients, and the types of organizations we serve in education, healthcare, travel, and B2B, require payment processes and experiences that can deliver high-stakes, high-value payments and are specifically tailored to their industry, their business, and their customers. Often, payment solutions have a “one size fits all” approach, without regard for the particular nuances and detailed operations of specific verticals. Without Flywire, organizations often invest substantial resources in building their own payment offerings or rely on disparate legacy systems, which not only fail to meet their or their customers’ needs but also divert meaningful resources away from revenue-generating work. When core payment capabilities like invoicing, diverse payment offerings and reconciliation are inefficient, organizations miss the opportunity to use payments to scale and grow their business.</w:t>
      </w:r>
    </w:p>
    <w:p>
      <w:pPr>
        <w:spacing w:after="0" w:line="156"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Flywire was founded to solve these challenges. We aim to power the transformation of our clients’ accounts receivable functions by automating paper and check-based business processes in addition to creating interactive, digital payment experiences for their customers. As a result, clients who implement our cross-border and in-country domestic payments and software solutions can experience improved accounts receivable, higher enrollment in payment plans, and a reduction in customer support inquiries. We help our clients turn their accounts receivable functions into strategic, value-enhancing areas of their organizations.</w:t>
      </w:r>
    </w:p>
    <w:p>
      <w:pPr>
        <w:spacing w:after="0" w:line="13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short message service (sms), chat, email, text, or phone) to enhance our clients’ ability to engage with their customers through a digital-first user experience. The result of these investments is our </w:t>
      </w:r>
      <w:r>
        <w:rPr>
          <w:rFonts w:ascii="Arial" w:cs="Arial" w:eastAsia="Arial" w:hAnsi="Arial"/>
          <w:sz w:val="18"/>
          <w:szCs w:val="18"/>
          <w:i w:val="1"/>
          <w:iCs w:val="1"/>
          <w:color w:val="auto"/>
        </w:rPr>
        <w:t>Flywire Advantage</w:t>
      </w:r>
      <w:r>
        <w:rPr>
          <w:rFonts w:ascii="Arial" w:cs="Arial" w:eastAsia="Arial" w:hAnsi="Arial"/>
          <w:sz w:val="18"/>
          <w:szCs w:val="18"/>
          <w:color w:val="auto"/>
        </w:rPr>
        <w:t>.</w:t>
      </w:r>
    </w:p>
    <w:p>
      <w:pPr>
        <w:spacing w:after="0" w:line="142"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402580" cy="402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02580" cy="402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right="160" w:hanging="504"/>
        <w:spacing w:after="0" w:line="239"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Next-Gen Payments Platform. </w:t>
      </w:r>
      <w:r>
        <w:rPr>
          <w:rFonts w:ascii="Arial" w:cs="Arial" w:eastAsia="Arial" w:hAnsi="Arial"/>
          <w:sz w:val="18"/>
          <w:szCs w:val="18"/>
          <w:color w:val="auto"/>
        </w:rPr>
        <w:t>Our platform improves the legacy accounts receivable value chain by facilitating global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flows across multiple currencies, payment types, and payment options. We do not simply collect payments and track money flows. Rather, our clients integrate our platform into their existing apps and workflows once and have access to a full suite of solutions, including tailored invoicing, settlement and reconciliation tools, single sign-on and checkout, recurring payments, and split payouts. Our platform automates and manages the process from initial invoice delivery through payment settlement and core system reconciliation. In addition, we leverage deep data and analytics to help our clients understand their customers’ historic payment behavior, facilitate transaction matching to optimize costs and offer flexible domestic and international payment plans.</w:t>
      </w:r>
    </w:p>
    <w:p>
      <w:pPr>
        <w:spacing w:after="0" w:line="157" w:lineRule="exact"/>
        <w:rPr>
          <w:rFonts w:ascii="Times New Roman" w:cs="Times New Roman" w:eastAsia="Times New Roman" w:hAnsi="Times New Roman"/>
          <w:sz w:val="18"/>
          <w:szCs w:val="18"/>
          <w:color w:val="auto"/>
        </w:rPr>
      </w:pPr>
    </w:p>
    <w:p>
      <w:pPr>
        <w:ind w:left="1020" w:right="160" w:hanging="504"/>
        <w:spacing w:after="0" w:line="255"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Proprietary Global Payment Network. </w:t>
      </w:r>
      <w:r>
        <w:rPr>
          <w:rFonts w:ascii="Arial" w:cs="Arial" w:eastAsia="Arial" w:hAnsi="Arial"/>
          <w:sz w:val="17"/>
          <w:szCs w:val="17"/>
          <w:color w:val="auto"/>
        </w:rPr>
        <w:t>At the core of our business is our network of global, regional and local banking</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which we have been strategically expanding for over a decade. With a single connection to Flywire, our clients have access to a unique set of payment methods including banks, third-party payment providers, payment networks and digital wallets—making it possible to accept and settle payments in over 240 countries and territories and in over 140 currencies. Our global payment network also provides direct connections to alternative payment methods such as Alipay, Boleto, PayPal / Venmo, and Trustly. Regardless of the currency on the invoice received, our clients’ customers can pay in their local currency with their preferred payment method. Additionally, our global payment network is optimized for country-specific regulatory and compliance standards which often require vertical-specific functionality and processes to serve our clients and their customers.</w:t>
      </w:r>
    </w:p>
    <w:p>
      <w:pPr>
        <w:spacing w:after="0" w:line="131" w:lineRule="exact"/>
        <w:rPr>
          <w:rFonts w:ascii="Times New Roman" w:cs="Times New Roman" w:eastAsia="Times New Roman" w:hAnsi="Times New Roman"/>
          <w:sz w:val="17"/>
          <w:szCs w:val="17"/>
          <w:color w:val="auto"/>
        </w:rPr>
      </w:pPr>
    </w:p>
    <w:p>
      <w:pPr>
        <w:ind w:left="1020" w:hanging="504"/>
        <w:spacing w:after="0" w:line="257"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Vertical-Specific Software Backed by Deep Industry Expertise</w:t>
      </w:r>
      <w:r>
        <w:rPr>
          <w:rFonts w:ascii="Arial" w:cs="Arial" w:eastAsia="Arial" w:hAnsi="Arial"/>
          <w:sz w:val="17"/>
          <w:szCs w:val="17"/>
          <w:color w:val="auto"/>
        </w:rPr>
        <w:t>. We go beyond payments by offering seamless integration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our software within our clients’ existing operating workflows and IT infrastructure. Our team, with decades of industry and domain expertise, designed our cloud-based software to be highly scalable across the types of clients we serve, aiming to solve unique payments and accounts receivable challenges of education, healthcare, travel, and B2B. For example, we have launched over 9,000 client payment portals, each built on our shared payments platform and global payment network but tailored to our clients’ brands and needs. In addition, our software solutions include interactive dashboards to manage payments, reporting tools to streamline reconciliation and customer communication tools to personalize and digitize engagement. This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enables us to be a hub of omni-channel connectivity, augmenting the relationship between our clients and their customers.</w:t>
      </w:r>
    </w:p>
    <w:p>
      <w:pPr>
        <w:spacing w:after="0" w:line="18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These three core elements of our business fuel a powerful and accelerating flywheel. When we started Flywire, we built a robust payments platform that solved pain points for cross-border payments and delivered simplicity, transparency, and cost-effective solutions. Continued adoption of our payments platform has enabled us to enhance engagement with our clients, create more personalized connections for our clients’ customers and extend our reach. Adding new clients and their customers builds our global scale and deepens our knowledge and expertise, enabling us to streamline and automate complex accounts receivable functions. As shown in the illustration below, as the number of clients using our next-gen payments platform grows, we are able to continue to enhance our end-to-end solutions, tailor our vertical-specific software and expand our global payment network to support more local payment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111125</wp:posOffset>
            </wp:positionV>
            <wp:extent cx="4358005" cy="393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58005" cy="393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The benefits of our flywheel are visible in the significant scale we have achieved to date. As of December 31, 2023, we serve over 3,800 clients around the world. In education, we serve more than 2,800 institutions. In healthcare, we serve more than 90 healthcare systems, including four of the top 10 healthcare systems in the United States ranked by hospital size. In our newer payment verticals of travel and B2B, we have a growing portfolio of more than 900 clients.</w:t>
      </w:r>
    </w:p>
    <w:p>
      <w:pPr>
        <w:spacing w:after="0" w:line="149" w:lineRule="exact"/>
        <w:rPr>
          <w:sz w:val="20"/>
          <w:szCs w:val="20"/>
          <w:color w:val="auto"/>
        </w:rPr>
      </w:pPr>
    </w:p>
    <w:p>
      <w:pPr>
        <w:jc w:val="both"/>
        <w:ind w:right="140" w:firstLine="509"/>
        <w:spacing w:after="0" w:line="252" w:lineRule="auto"/>
        <w:rPr>
          <w:sz w:val="20"/>
          <w:szCs w:val="20"/>
          <w:color w:val="auto"/>
        </w:rPr>
      </w:pPr>
      <w:r>
        <w:rPr>
          <w:rFonts w:ascii="Arial" w:cs="Arial" w:eastAsia="Arial" w:hAnsi="Arial"/>
          <w:sz w:val="18"/>
          <w:szCs w:val="18"/>
          <w:color w:val="auto"/>
        </w:rPr>
        <w:t>Our business model is designed to encourage rapid, widespread utilization of our solutions. We enable our clients to scale the use of Flywire to an unlimited number of customers with favorable unit economics. For the years ended December 31, 2023 and 2022, we enabled over $24.0 billion and approximately $18.1 billion, respectively, of total payment volume across more than 140 currencies.</w:t>
      </w:r>
    </w:p>
    <w:p>
      <w:pPr>
        <w:spacing w:after="0" w:line="130"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 xml:space="preserve">The value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has been recognized, with global financial institutions and technology providers choosing to form channel partnerships with us. Our channel partners include financial institutions such as Bank of America Corporation; payment providers such as China UnionPay Co. Ltd. and Adyen N.V.; and software companies that serve as the core systems in our verticals such as Ellucian Company, L.P. in education and Cerner Corporation in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healthcare. These partnerships promote organic referral and lead generation opportunities and enhance our indirect sales strategy.</w:t>
      </w:r>
    </w:p>
    <w:p>
      <w:pPr>
        <w:spacing w:after="0" w:line="18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also reach clients through our direct channel. Our domain -experienced sales and relationship management teams bring vertical expertise and regional and local reach that drives high dollar-based net retention. For the year ended December 31, 2023, our annual net dollar-based retention rate was approximately 125%. For the year ended December 31, 2022, our annual net dollar-based retention rate was approximately 124%. For the year ended December 31, 2021, our annual net dollar-based retention rate was approximately 140%. In addition, our client and customer service combines high-tech and high-touch functions backed by 24x7 multilingual customer support, resulting in high client and customer satisfaction. For the year ended December 31, 2022, we had a net promoter score (NPS) of 62, which exceeds the average NPS of traditional financial institutions.</w:t>
      </w:r>
    </w:p>
    <w:p>
      <w:pPr>
        <w:spacing w:after="0" w:line="14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have grown rapidly since our founding. We generated revenue of $403.1 million, $289.4 million and $201.1 million for the years ended December 31, 2023, 2022 and 2021, respectively, and incurred net losses of $ 8.6 million, $39.3 million and $28.1 million, respectively for those same years. In November 2023, we acquired Learning Information Systems Pty Ltd. (StudyLink), an Australian-based software as a service (SaaS) education company that provides platforms to education providers to support their student admissions systems and processes, including features such as eligibility assessment, offer generation, recruitment agent and commission management and acceptance processing. In July 2022, we acquired Cohort Solutions Pty Ltd. (Cohort Go), an Australian-based education payments provider that simplifies the student recruitment process by bringing together students, agents and essential student services such as health insurance into one platform. In December 2021, we acquired WPM Group Ltd. (WPM), a leading software provider that enables seamless and secure payment experiences for universities and colleges across the U.K.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the Flywire Advantage to Our Clients and Their Customers</w:t>
      </w:r>
    </w:p>
    <w:p>
      <w:pPr>
        <w:spacing w:after="0" w:line="184" w:lineRule="exact"/>
        <w:rPr>
          <w:sz w:val="20"/>
          <w:szCs w:val="20"/>
          <w:color w:val="auto"/>
        </w:rPr>
      </w:pPr>
    </w:p>
    <w:p>
      <w:pPr>
        <w:jc w:val="both"/>
        <w:ind w:right="40" w:firstLine="509"/>
        <w:spacing w:after="0" w:line="274" w:lineRule="auto"/>
        <w:rPr>
          <w:sz w:val="20"/>
          <w:szCs w:val="20"/>
          <w:color w:val="auto"/>
        </w:rPr>
      </w:pPr>
      <w:r>
        <w:rPr>
          <w:rFonts w:ascii="Arial" w:cs="Arial" w:eastAsia="Arial" w:hAnsi="Arial"/>
          <w:sz w:val="17"/>
          <w:szCs w:val="17"/>
          <w:color w:val="auto"/>
        </w:rPr>
        <w:t>Flywire sits in between our clients, which include educational institutions, hospitals, travel providers, businesses, and their customers: students, patients, travelers, and businesses. We believe this two-sided relationship makes us strategically important for our clients–who rely on us for their complex accounts receivable needs, and for our clients’ customers–who rely on us to deliver their most important payments.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the Flywire Advantage to Our Clients</w:t>
      </w:r>
    </w:p>
    <w:p>
      <w:pPr>
        <w:spacing w:after="0" w:line="169" w:lineRule="exact"/>
        <w:rPr>
          <w:sz w:val="20"/>
          <w:szCs w:val="20"/>
          <w:color w:val="auto"/>
        </w:rPr>
      </w:pPr>
    </w:p>
    <w:p>
      <w:pPr>
        <w:ind w:right="200" w:firstLine="509"/>
        <w:spacing w:after="0" w:line="252" w:lineRule="auto"/>
        <w:rPr>
          <w:sz w:val="20"/>
          <w:szCs w:val="20"/>
          <w:color w:val="auto"/>
        </w:rPr>
      </w:pPr>
      <w:r>
        <w:rPr>
          <w:rFonts w:ascii="Arial" w:cs="Arial" w:eastAsia="Arial" w:hAnsi="Arial"/>
          <w:sz w:val="18"/>
          <w:szCs w:val="18"/>
          <w:color w:val="auto"/>
        </w:rPr>
        <w:t>We continuously apply our knowledge and domain expertise in education, healthcare, travel, and B2B payments to expand upon our solutions and meet the specific needs of our clients, while freeing them from cumbersome and legacy financial processes. For our clients, key benefits of our solutions include:</w:t>
      </w:r>
    </w:p>
    <w:p>
      <w:pPr>
        <w:spacing w:after="0" w:line="144" w:lineRule="exact"/>
        <w:rPr>
          <w:sz w:val="20"/>
          <w:szCs w:val="20"/>
          <w:color w:val="auto"/>
        </w:rPr>
      </w:pPr>
    </w:p>
    <w:p>
      <w:pPr>
        <w:ind w:left="900" w:right="80" w:hanging="263"/>
        <w:spacing w:after="0" w:line="243"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Modern customer-focused payment experience. </w:t>
      </w:r>
      <w:r>
        <w:rPr>
          <w:rFonts w:ascii="Arial" w:cs="Arial" w:eastAsia="Arial" w:hAnsi="Arial"/>
          <w:sz w:val="18"/>
          <w:szCs w:val="18"/>
          <w:color w:val="auto"/>
        </w:rPr>
        <w:t>We enable a convenient and secure online payment experience which can</w:t>
      </w:r>
      <w:r>
        <w:rPr>
          <w:rFonts w:ascii="Arial" w:cs="Arial" w:eastAsia="Arial" w:hAnsi="Arial"/>
          <w:sz w:val="18"/>
          <w:szCs w:val="18"/>
          <w:b w:val="1"/>
          <w:bCs w:val="1"/>
          <w:color w:val="auto"/>
        </w:rPr>
        <w:t xml:space="preserve"> </w:t>
      </w:r>
      <w:r>
        <w:rPr>
          <w:rFonts w:ascii="Arial" w:cs="Arial" w:eastAsia="Arial" w:hAnsi="Arial"/>
          <w:sz w:val="18"/>
          <w:szCs w:val="18"/>
          <w:color w:val="auto"/>
        </w:rPr>
        <w:t>be configured by country, currency, client, and vertical. Our personalization engine leverages our data and applies artificial intelligence (AI) and machine learning (ML) to match the payment preferences of our clients’ customers with the right payment options. By streamlining a previously cumbersome and highly-manual process, our clients have the ability to extend transparency to their customers and proactively engage them through their preferred communication methods.</w:t>
      </w:r>
    </w:p>
    <w:p>
      <w:pPr>
        <w:spacing w:after="0" w:line="137" w:lineRule="exact"/>
        <w:rPr>
          <w:rFonts w:ascii="Times New Roman" w:cs="Times New Roman" w:eastAsia="Times New Roman" w:hAnsi="Times New Roman"/>
          <w:sz w:val="18"/>
          <w:szCs w:val="18"/>
          <w:color w:val="auto"/>
        </w:rPr>
      </w:pPr>
    </w:p>
    <w:p>
      <w:pPr>
        <w:jc w:val="both"/>
        <w:ind w:left="900" w:right="220" w:hanging="263"/>
        <w:spacing w:after="0" w:line="246"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Simplify payments complexity. </w:t>
      </w:r>
      <w:r>
        <w:rPr>
          <w:rFonts w:ascii="Arial" w:cs="Arial" w:eastAsia="Arial" w:hAnsi="Arial"/>
          <w:sz w:val="18"/>
          <w:szCs w:val="18"/>
          <w:color w:val="auto"/>
        </w:rPr>
        <w:t>We address complexity in payments by providing our clients with a “one-stop shop”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reducing the need to work with and manage multiple disparate vendors and systems. Our clients can experience a seamless workflow from start to finish with end-to-end visibility, from invoice to payment to receipt and reconciliation. This helps accelerate funds flow while streamlining operational expenses.</w:t>
      </w:r>
    </w:p>
    <w:p>
      <w:pPr>
        <w:spacing w:after="0" w:line="134" w:lineRule="exact"/>
        <w:rPr>
          <w:rFonts w:ascii="Times New Roman" w:cs="Times New Roman" w:eastAsia="Times New Roman" w:hAnsi="Times New Roman"/>
          <w:sz w:val="18"/>
          <w:szCs w:val="18"/>
          <w:color w:val="auto"/>
        </w:rPr>
      </w:pPr>
    </w:p>
    <w:p>
      <w:pPr>
        <w:ind w:left="900" w:right="160" w:hanging="263"/>
        <w:spacing w:after="0" w:line="241"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Processing cost savings and enhanced payments yield. </w:t>
      </w:r>
      <w:r>
        <w:rPr>
          <w:rFonts w:ascii="Arial" w:cs="Arial" w:eastAsia="Arial" w:hAnsi="Arial"/>
          <w:sz w:val="18"/>
          <w:szCs w:val="18"/>
          <w:color w:val="auto"/>
        </w:rPr>
        <w:t>We leverage our significant global volume and in-house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algorithms to mitigate our clients’ risk from currency fluctuation and reduce incremental payment fees, which we believe results in significant cost savings to our clients’ bottom line. Additionally, to optimize affordability for our clients’ customers, we design personalized payment plan offers. By providing a better customer experience, our clients can eliminate time-consuming customer calls and make their operations more efficient. We believe this results in our clients getting paid more quickly and consistently.</w:t>
      </w:r>
    </w:p>
    <w:p>
      <w:pPr>
        <w:spacing w:after="0" w:line="154" w:lineRule="exact"/>
        <w:rPr>
          <w:rFonts w:ascii="Times New Roman" w:cs="Times New Roman" w:eastAsia="Times New Roman" w:hAnsi="Times New Roman"/>
          <w:sz w:val="18"/>
          <w:szCs w:val="18"/>
          <w:color w:val="auto"/>
        </w:rPr>
      </w:pPr>
    </w:p>
    <w:p>
      <w:pPr>
        <w:ind w:left="900" w:hanging="263"/>
        <w:spacing w:after="0" w:line="246"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Ease of integration. </w:t>
      </w:r>
      <w:r>
        <w:rPr>
          <w:rFonts w:ascii="Arial" w:cs="Arial" w:eastAsia="Arial" w:hAnsi="Arial"/>
          <w:sz w:val="18"/>
          <w:szCs w:val="18"/>
          <w:color w:val="auto"/>
        </w:rPr>
        <w:t>Built on open architecture, Flywire integrates with existing systems and technology, allowing clients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 transactions and accounts, automate payment plans and cash management, and optimize processing through aligned billing-related tools. This ease of integration enables our clients to serve their customers better and faster, increasing satisfaction while reducing costs.</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left="900" w:right="40" w:hanging="263"/>
        <w:spacing w:after="0" w:line="241" w:lineRule="auto"/>
        <w:tabs>
          <w:tab w:leader="none" w:pos="9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Trusted expertise and a trusted brand. </w:t>
      </w:r>
      <w:r>
        <w:rPr>
          <w:rFonts w:ascii="Arial" w:cs="Arial" w:eastAsia="Arial" w:hAnsi="Arial"/>
          <w:sz w:val="18"/>
          <w:szCs w:val="18"/>
          <w:color w:val="auto"/>
        </w:rPr>
        <w:t>Our clients and their customers view Flywire as a trusted technology partner. With</w:t>
      </w:r>
      <w:r>
        <w:rPr>
          <w:rFonts w:ascii="Arial" w:cs="Arial" w:eastAsia="Arial" w:hAnsi="Arial"/>
          <w:sz w:val="18"/>
          <w:szCs w:val="18"/>
          <w:b w:val="1"/>
          <w:bCs w:val="1"/>
          <w:color w:val="auto"/>
        </w:rPr>
        <w:t xml:space="preserve"> </w:t>
      </w:r>
      <w:r>
        <w:rPr>
          <w:rFonts w:ascii="Arial" w:cs="Arial" w:eastAsia="Arial" w:hAnsi="Arial"/>
          <w:sz w:val="18"/>
          <w:szCs w:val="18"/>
          <w:color w:val="auto"/>
        </w:rPr>
        <w:t>deep roots in each industry we serve, our thought leadership, guidance, and innovation in our solutions, have built confidence and advocacy in Flywire throughout our clients and their customers around the world. We believe we bring a new level of transparency, efficiency, and value to industries that are traditionally characterized by complex operations and held back by services of legacy providers. Additionally, we believe the strength of our information security and compliance that underpins our solutions is a core differentiator that drives client trust.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the Flywire Advantage to Our Clients’ Customers</w:t>
      </w:r>
    </w:p>
    <w:p>
      <w:pPr>
        <w:spacing w:after="0" w:line="169"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Our digital-first customer experience is designed to make the process of paying invoices simple. For our clients’ customers, key benefits of our solutions include:</w:t>
      </w:r>
    </w:p>
    <w:p>
      <w:pPr>
        <w:spacing w:after="0" w:line="112" w:lineRule="exact"/>
        <w:rPr>
          <w:sz w:val="20"/>
          <w:szCs w:val="20"/>
          <w:color w:val="auto"/>
        </w:rPr>
      </w:pPr>
    </w:p>
    <w:p>
      <w:pPr>
        <w:ind w:left="900" w:hanging="263"/>
        <w:spacing w:after="0" w:line="243"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Superior and simple payment experiences. </w:t>
      </w:r>
      <w:r>
        <w:rPr>
          <w:rFonts w:ascii="Arial" w:cs="Arial" w:eastAsia="Arial" w:hAnsi="Arial"/>
          <w:sz w:val="18"/>
          <w:szCs w:val="18"/>
          <w:color w:val="auto"/>
        </w:rPr>
        <w:t>Our customer value proposition is simple: we provide a fast and nearly frictionless</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for our clients’ customers’ most important payments. Providing an integrated experience that leverages single sign-on, our clients’ customers can very quickly view real-time account balance updates, receive personalized communication and complete their payments – all as part of a streamlined digital self-service experience. These features can lead to an increase in self-service digital payments and optimized conversion of completed payments.</w:t>
      </w:r>
    </w:p>
    <w:p>
      <w:pPr>
        <w:spacing w:after="0" w:line="151" w:lineRule="exact"/>
        <w:rPr>
          <w:rFonts w:ascii="Times New Roman" w:cs="Times New Roman" w:eastAsia="Times New Roman" w:hAnsi="Times New Roman"/>
          <w:sz w:val="18"/>
          <w:szCs w:val="18"/>
          <w:color w:val="auto"/>
        </w:rPr>
      </w:pPr>
    </w:p>
    <w:p>
      <w:pPr>
        <w:ind w:left="900" w:right="120" w:hanging="263"/>
        <w:spacing w:after="0" w:line="246"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Customer preference. </w:t>
      </w:r>
      <w:r>
        <w:rPr>
          <w:rFonts w:ascii="Arial" w:cs="Arial" w:eastAsia="Arial" w:hAnsi="Arial"/>
          <w:sz w:val="18"/>
          <w:szCs w:val="18"/>
          <w:color w:val="auto"/>
        </w:rPr>
        <w:t>Using Flywire, our clients’ customers can choose their preferred payment method, currency,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channel, such as sms, chat, email, text, or phone. We make it possible to accept and settle payments in over 240 countries and territories and in more than 140 currencies, so our clients’ customers can choose the way they pay using local payment methods that they are most comfortable using.</w:t>
      </w:r>
    </w:p>
    <w:p>
      <w:pPr>
        <w:spacing w:after="0" w:line="134" w:lineRule="exact"/>
        <w:rPr>
          <w:rFonts w:ascii="Times New Roman" w:cs="Times New Roman" w:eastAsia="Times New Roman" w:hAnsi="Times New Roman"/>
          <w:sz w:val="18"/>
          <w:szCs w:val="18"/>
          <w:color w:val="auto"/>
        </w:rPr>
      </w:pPr>
    </w:p>
    <w:p>
      <w:pPr>
        <w:ind w:left="900" w:right="120" w:hanging="263"/>
        <w:spacing w:after="0" w:line="246"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Flexible on-demand payment options. </w:t>
      </w:r>
      <w:r>
        <w:rPr>
          <w:rFonts w:ascii="Arial" w:cs="Arial" w:eastAsia="Arial" w:hAnsi="Arial"/>
          <w:sz w:val="18"/>
          <w:szCs w:val="18"/>
          <w:color w:val="auto"/>
        </w:rPr>
        <w:t>We believe we provide favorable and transparent payment plans that can lead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engagement and enrollment by our clients’ customers. As a result, our clients’ customers can spread expenses across smaller, easier-to-manage payments. Our payments platform also enables our clients to offer their customers the choice to either front-load payment plans or provide extension options beyond service delivery.</w:t>
      </w:r>
    </w:p>
    <w:p>
      <w:pPr>
        <w:spacing w:after="0" w:line="134" w:lineRule="exact"/>
        <w:rPr>
          <w:rFonts w:ascii="Times New Roman" w:cs="Times New Roman" w:eastAsia="Times New Roman" w:hAnsi="Times New Roman"/>
          <w:sz w:val="18"/>
          <w:szCs w:val="18"/>
          <w:color w:val="auto"/>
        </w:rPr>
      </w:pPr>
    </w:p>
    <w:p>
      <w:pPr>
        <w:ind w:left="900" w:right="640" w:hanging="263"/>
        <w:spacing w:after="0" w:line="252"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Customer confidence. </w:t>
      </w:r>
      <w:r>
        <w:rPr>
          <w:rFonts w:ascii="Arial" w:cs="Arial" w:eastAsia="Arial" w:hAnsi="Arial"/>
          <w:sz w:val="18"/>
          <w:szCs w:val="18"/>
          <w:color w:val="auto"/>
        </w:rPr>
        <w:t>Navigating the world of complex cross-border payments can be overwhelming for our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With our superior customer experience including around the clock multilingual support, we believe that we give customers the confidence that their payments are delivered securely, accurately, and on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Our Flywire Advantage Works</w:t>
      </w:r>
    </w:p>
    <w:p>
      <w:pPr>
        <w:spacing w:after="0" w:line="171"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Our clients’ needs extend beyond simple payment processing. Enabling our clients to use enhanced payment functionality to drive business value as well as streamlining and automating their domestic and cross-border payment operations, requires a specialized approach that combines a secure, reliable, and robust suite of payments and software solutions with a seamless customer experience.</w:t>
      </w:r>
    </w:p>
    <w:p>
      <w:pPr>
        <w:spacing w:after="0" w:line="130"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 xml:space="preserve">To achieve this, 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and its three core elements: (i) our next-gen payments platform; (ii) our proprietary global payment network; and (iii) our vertical-specific software backed by our deep industry expertise.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Next-Gen Payments Platform</w:t>
      </w:r>
    </w:p>
    <w:p>
      <w:pPr>
        <w:spacing w:after="0" w:line="169" w:lineRule="exact"/>
        <w:rPr>
          <w:sz w:val="20"/>
          <w:szCs w:val="20"/>
          <w:color w:val="auto"/>
        </w:rPr>
      </w:pPr>
    </w:p>
    <w:p>
      <w:pPr>
        <w:ind w:right="520" w:firstLine="509"/>
        <w:spacing w:after="0" w:line="252" w:lineRule="auto"/>
        <w:rPr>
          <w:sz w:val="20"/>
          <w:szCs w:val="20"/>
          <w:color w:val="auto"/>
        </w:rPr>
      </w:pPr>
      <w:r>
        <w:rPr>
          <w:rFonts w:ascii="Arial" w:cs="Arial" w:eastAsia="Arial" w:hAnsi="Arial"/>
          <w:sz w:val="18"/>
          <w:szCs w:val="18"/>
          <w:color w:val="auto"/>
        </w:rPr>
        <w:t>Our next-gen payments platform is designed for payment processes and experiences that can deliver high-stakes, high-value payments. Through a single connection to our platform, we support the entire lifecycle of a domestic or cross-border transaction across online, mobile or in-person channels. This eliminates the need to work with multiple vendors and payment providers.</w:t>
      </w:r>
    </w:p>
    <w:p>
      <w:pPr>
        <w:spacing w:after="0" w:line="130"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For the years ended December 31, 2023 and 2022, we enabled over $24.0 billion and approximately $18.1 billion, respectively, in total payment volume across multiple payment types, including local bank transfer, credit, debit and other alternative payment methods such as Alipay, Boleto, PayPal / Venmo, and Trustly. The majority of our payment volume is not card related and is completed over our global payment network. This reflects the myriad of payment options enabled by our global payment network that are critical for the larger, more complex payments that we handle.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designed our next-gen payments platform to be:</w:t>
      </w:r>
    </w:p>
    <w:p>
      <w:pPr>
        <w:spacing w:after="0" w:line="184" w:lineRule="exact"/>
        <w:rPr>
          <w:sz w:val="20"/>
          <w:szCs w:val="20"/>
          <w:color w:val="auto"/>
        </w:rPr>
      </w:pPr>
    </w:p>
    <w:p>
      <w:pPr>
        <w:ind w:left="900" w:right="180" w:hanging="26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Integrated</w:t>
      </w:r>
      <w:r>
        <w:rPr>
          <w:rFonts w:ascii="Arial" w:cs="Arial" w:eastAsia="Arial" w:hAnsi="Arial"/>
          <w:sz w:val="18"/>
          <w:szCs w:val="18"/>
          <w:color w:val="auto"/>
        </w:rPr>
        <w:t>. Fully unified and seamlessly connected to a broad range of core operating systems, facilitating easy data capture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compatibility across a broad range of solutions;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Flexible</w:t>
      </w:r>
      <w:r>
        <w:rPr>
          <w:rFonts w:ascii="Arial" w:cs="Arial" w:eastAsia="Arial" w:hAnsi="Arial"/>
          <w:sz w:val="18"/>
          <w:szCs w:val="18"/>
          <w:color w:val="auto"/>
        </w:rPr>
        <w:t>.  Supports complex workflows and payment experiences for both in-country domestic and cross-border payments; and</w:t>
      </w:r>
    </w:p>
    <w:p>
      <w:pPr>
        <w:spacing w:after="0" w:line="183" w:lineRule="exact"/>
        <w:rPr>
          <w:rFonts w:ascii="Times New Roman" w:cs="Times New Roman" w:eastAsia="Times New Roman" w:hAnsi="Times New Roman"/>
          <w:sz w:val="18"/>
          <w:szCs w:val="18"/>
          <w:color w:val="auto"/>
        </w:rPr>
      </w:pPr>
    </w:p>
    <w:p>
      <w:pPr>
        <w:ind w:left="900" w:right="660" w:hanging="26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Secure</w:t>
      </w:r>
      <w:r>
        <w:rPr>
          <w:rFonts w:ascii="Arial" w:cs="Arial" w:eastAsia="Arial" w:hAnsi="Arial"/>
          <w:sz w:val="18"/>
          <w:szCs w:val="18"/>
          <w:color w:val="auto"/>
        </w:rPr>
        <w:t>. Leverages Payment Card Industry-validated Point-to-Point Encryption tokenization and other best-in-class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regulatory-compliant security measures.</w:t>
      </w:r>
    </w:p>
    <w:p>
      <w:pPr>
        <w:spacing w:after="0" w:line="127" w:lineRule="exact"/>
        <w:rPr>
          <w:sz w:val="20"/>
          <w:szCs w:val="20"/>
          <w:color w:val="auto"/>
        </w:rPr>
      </w:pPr>
    </w:p>
    <w:p>
      <w:pPr>
        <w:ind w:firstLine="509"/>
        <w:spacing w:after="0" w:line="274" w:lineRule="auto"/>
        <w:rPr>
          <w:sz w:val="20"/>
          <w:szCs w:val="20"/>
          <w:color w:val="auto"/>
        </w:rPr>
      </w:pPr>
      <w:r>
        <w:rPr>
          <w:rFonts w:ascii="Arial" w:cs="Arial" w:eastAsia="Arial" w:hAnsi="Arial"/>
          <w:sz w:val="17"/>
          <w:szCs w:val="17"/>
          <w:color w:val="auto"/>
        </w:rPr>
        <w:t>By utilizing predictive analytics, ML and AI, we handle the complexities of money movement across borders while providing fast, compliant, and transparent receipt of payments. Our AI and ML enabled fraud detection risk engine has trained against millions of automated clearing house (ACH), check, card, and wire transactions. As a result, the enhanced power of our risk engine enables us to mitigate fraud.</w:t>
      </w:r>
    </w:p>
    <w:p>
      <w:pPr>
        <w:spacing w:after="0" w:line="113" w:lineRule="exact"/>
        <w:rPr>
          <w:sz w:val="20"/>
          <w:szCs w:val="20"/>
          <w:color w:val="auto"/>
        </w:rPr>
      </w:pPr>
    </w:p>
    <w:p>
      <w:pPr>
        <w:ind w:right="400" w:firstLine="509"/>
        <w:spacing w:after="0" w:line="252" w:lineRule="auto"/>
        <w:rPr>
          <w:sz w:val="20"/>
          <w:szCs w:val="20"/>
          <w:color w:val="auto"/>
        </w:rPr>
      </w:pPr>
      <w:r>
        <w:rPr>
          <w:rFonts w:ascii="Arial" w:cs="Arial" w:eastAsia="Arial" w:hAnsi="Arial"/>
          <w:sz w:val="18"/>
          <w:szCs w:val="18"/>
          <w:color w:val="auto"/>
        </w:rPr>
        <w:t>Our comprehensive payments offering enables our clients to provide their customers a choice of cost-effective payment methods, currencies, and terms while enjoying a seamless digital experience. Our offering, supported by Flywire’s security, risk, and compliance monitoring tools, includes:</w:t>
      </w:r>
    </w:p>
    <w:p>
      <w:pPr>
        <w:spacing w:after="0" w:line="130" w:lineRule="exact"/>
        <w:rPr>
          <w:sz w:val="20"/>
          <w:szCs w:val="20"/>
          <w:color w:val="auto"/>
        </w:rPr>
      </w:pPr>
    </w:p>
    <w:p>
      <w:pPr>
        <w:ind w:left="900" w:right="100" w:hanging="263"/>
        <w:spacing w:after="0" w:line="270"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enhanced invoicing, settlement and reconciliation tools that simplify billing and customer payments and better manage cash flow and revenue;</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end-to-end processing, from authorization to clearing to settlement and reconciliation;</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turnkey solution for enhanced and secure single sign-on and checkout;</w:t>
      </w:r>
    </w:p>
    <w:p>
      <w:pPr>
        <w:spacing w:after="0" w:line="183" w:lineRule="exact"/>
        <w:rPr>
          <w:rFonts w:ascii="Times New Roman" w:cs="Times New Roman" w:eastAsia="Times New Roman" w:hAnsi="Times New Roman"/>
          <w:sz w:val="18"/>
          <w:szCs w:val="18"/>
          <w:color w:val="auto"/>
        </w:rPr>
      </w:pPr>
    </w:p>
    <w:p>
      <w:pPr>
        <w:ind w:left="900" w:right="560" w:hanging="263"/>
        <w:spacing w:after="0" w:line="270" w:lineRule="auto"/>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recurring, split and flexible payment options, including robust payment plan logic that can be tailored in our vertical-specific implementations; and</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unified reporting and analytics tools through direct integrations to client back-end infrastructure.</w:t>
      </w:r>
    </w:p>
    <w:p>
      <w:pPr>
        <w:spacing w:after="0" w:line="183"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Below is a sample funds flow for a traveler from Australia taking a ski vacation in Japan paying in their local currency and with their preferred method of payment, such as a bank transfer of Australian Dollars to Japanese Yen, without incurring hidden fees, and with exchange rate protection. The illustration shows how our next-gen payments platform can be configured and activated at the client level, and deliver a seamless experience from any country of payment or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106680</wp:posOffset>
            </wp:positionV>
            <wp:extent cx="5711190" cy="29965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1190" cy="299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to international expansion, we are accelerating the growth of our in-country domestic accounts receivable business, both by selling new solutions to existing clients and gaining new clients. Many of our clients who successfully use our payments platform to process cross-border payments require a similar solution for in-country domestic payments, which have similar challenges: they are reliant on home-grown or legacy solutions with limited or inflexible capabilities and often require time consuming manual updates. With our payments platform, clients are able to streamline payment processes and offer their customers flexible payment options, without the expense of building their own systems—for both in-country domestic and cross-border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Global Payment Network</w:t>
      </w:r>
    </w:p>
    <w:p>
      <w:pPr>
        <w:spacing w:after="0" w:line="169"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Our proprietary global payment network is comprised of global, regional and local banks and technology and payment partners around the world. We believe the extensive global reach and breadth of our network, serving more than 240 countries and territories, provides a strong competitive advantage. Additionally, we have local market knowledge and expertise to enable funds flow in some of the hardest to reach markets. We have also assembled redundant payment rails, wherever possible.</w:t>
      </w:r>
    </w:p>
    <w:p>
      <w:pPr>
        <w:spacing w:after="0" w:line="136"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With Flywire’s network, our clients can take advantage of our “local-in / local-out strategy”—providing access to pay-in options, such as local bank transfers, card-based payments, and alternative payment methods, while enabling pay-out capabilities in our clients’ preferred local payment methods.</w:t>
      </w:r>
    </w:p>
    <w:p>
      <w:pPr>
        <w:spacing w:after="0" w:line="144"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We believe our receive-side network sets us apart. Flywire clients, no matter the vertical or market they are in, can receive a single daily payment in their preferred currency that aggregates and reconciles all their customer payments made via Flywire from around the globe —across approximately 4,500 geographic corridors for 2023 representing transaction flows between payers and payees.</w:t>
      </w:r>
    </w:p>
    <w:p>
      <w:pPr>
        <w:spacing w:after="0" w:line="130"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Once our clients are connected to our global payment network, they can leverage an extended range of services and capabilities, including:</w:t>
      </w:r>
    </w:p>
    <w:p>
      <w:pPr>
        <w:spacing w:after="0" w:line="112" w:lineRule="exact"/>
        <w:rPr>
          <w:sz w:val="20"/>
          <w:szCs w:val="20"/>
          <w:color w:val="auto"/>
        </w:rPr>
      </w:pPr>
    </w:p>
    <w:p>
      <w:pPr>
        <w:ind w:left="900" w:right="20" w:hanging="263"/>
        <w:spacing w:after="0" w:line="246"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Transaction routing optimized for cost, risk and compliance management</w:t>
      </w:r>
      <w:r>
        <w:rPr>
          <w:rFonts w:ascii="Arial" w:cs="Arial" w:eastAsia="Arial" w:hAnsi="Arial"/>
          <w:sz w:val="18"/>
          <w:szCs w:val="18"/>
          <w:color w:val="auto"/>
        </w:rPr>
        <w:t>. We leverage the “plug and play” configuration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our global payment network and our proprietary payment-routing engine to analyze costs, currency exchange rates and payment acceptance data. Based on our analytics, we can configure optimal transaction routing that increases authorization rates in a secure and compliant manner, while reducing our processing costs and the costs to our clients’ customers.</w:t>
      </w:r>
    </w:p>
    <w:p>
      <w:pPr>
        <w:spacing w:after="0" w:line="148" w:lineRule="exact"/>
        <w:rPr>
          <w:rFonts w:ascii="Times New Roman" w:cs="Times New Roman" w:eastAsia="Times New Roman" w:hAnsi="Times New Roman"/>
          <w:sz w:val="18"/>
          <w:szCs w:val="18"/>
          <w:color w:val="auto"/>
        </w:rPr>
      </w:pPr>
    </w:p>
    <w:p>
      <w:pPr>
        <w:ind w:left="900" w:right="140" w:hanging="263"/>
        <w:spacing w:after="0" w:line="243"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Local clearing capabilities</w:t>
      </w:r>
      <w:r>
        <w:rPr>
          <w:rFonts w:ascii="Arial" w:cs="Arial" w:eastAsia="Arial" w:hAnsi="Arial"/>
          <w:sz w:val="18"/>
          <w:szCs w:val="18"/>
          <w:color w:val="auto"/>
        </w:rPr>
        <w:t>. Our clients’ customers have the ability to authorize and clear transactions in over 240 countries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territories through our connectivity to banks and major payment networks. Payments are made through direct connections to global, regional and local banks or through relationships with our payments partners including Citigroup Inc. These connections and relationships help us create local clearing hubs which enable our clients and their customers to have a local payments experience.</w:t>
      </w:r>
    </w:p>
    <w:p>
      <w:pPr>
        <w:spacing w:after="0" w:line="137" w:lineRule="exact"/>
        <w:rPr>
          <w:rFonts w:ascii="Times New Roman" w:cs="Times New Roman" w:eastAsia="Times New Roman" w:hAnsi="Times New Roman"/>
          <w:sz w:val="18"/>
          <w:szCs w:val="18"/>
          <w:color w:val="auto"/>
        </w:rPr>
      </w:pPr>
    </w:p>
    <w:p>
      <w:pPr>
        <w:ind w:left="900" w:right="220" w:hanging="263"/>
        <w:spacing w:after="0" w:line="252"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Ecosystem of alternative payment methods</w:t>
      </w:r>
      <w:r>
        <w:rPr>
          <w:rFonts w:ascii="Arial" w:cs="Arial" w:eastAsia="Arial" w:hAnsi="Arial"/>
          <w:sz w:val="18"/>
          <w:szCs w:val="18"/>
          <w:color w:val="auto"/>
        </w:rPr>
        <w:t>. We offer a myriad of alternative payment methods, such as Alipay, Boleto,</w:t>
      </w:r>
      <w:r>
        <w:rPr>
          <w:rFonts w:ascii="Arial" w:cs="Arial" w:eastAsia="Arial" w:hAnsi="Arial"/>
          <w:sz w:val="18"/>
          <w:szCs w:val="18"/>
          <w:b w:val="1"/>
          <w:bCs w:val="1"/>
          <w:color w:val="auto"/>
        </w:rPr>
        <w:t xml:space="preserve"> </w:t>
      </w:r>
      <w:r>
        <w:rPr>
          <w:rFonts w:ascii="Arial" w:cs="Arial" w:eastAsia="Arial" w:hAnsi="Arial"/>
          <w:sz w:val="18"/>
          <w:szCs w:val="18"/>
          <w:color w:val="auto"/>
        </w:rPr>
        <w:t>PayPal / Venmo, and Trustly, to allow customers to choose how they pay. We believe this helps promote greater adoption of our payments platform, higher levels of engagement and satisfaction, and increased value across our ecosystem.</w:t>
      </w:r>
    </w:p>
    <w:p>
      <w:pPr>
        <w:spacing w:after="0" w:line="129" w:lineRule="exact"/>
        <w:rPr>
          <w:rFonts w:ascii="Times New Roman" w:cs="Times New Roman" w:eastAsia="Times New Roman" w:hAnsi="Times New Roman"/>
          <w:sz w:val="18"/>
          <w:szCs w:val="18"/>
          <w:color w:val="auto"/>
        </w:rPr>
      </w:pPr>
    </w:p>
    <w:p>
      <w:pPr>
        <w:ind w:left="900" w:right="40" w:hanging="263"/>
        <w:spacing w:after="0" w:line="252"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Global pay-out</w:t>
      </w:r>
      <w:r>
        <w:rPr>
          <w:rFonts w:ascii="Arial" w:cs="Arial" w:eastAsia="Arial" w:hAnsi="Arial"/>
          <w:sz w:val="18"/>
          <w:szCs w:val="18"/>
          <w:color w:val="auto"/>
        </w:rPr>
        <w:t>. We enable our clients to automate disbursements and seamlessly settle in over 140 currencies via pay-out</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including local currency bank deposits. We believe we are able to settle pay-out more quickly given our end-to-end control and visibility of the transaction process.</w:t>
      </w:r>
    </w:p>
    <w:p>
      <w:pPr>
        <w:spacing w:after="0" w:line="142" w:lineRule="exact"/>
        <w:rPr>
          <w:rFonts w:ascii="Times New Roman" w:cs="Times New Roman" w:eastAsia="Times New Roman" w:hAnsi="Times New Roman"/>
          <w:sz w:val="18"/>
          <w:szCs w:val="18"/>
          <w:color w:val="auto"/>
        </w:rPr>
      </w:pPr>
    </w:p>
    <w:p>
      <w:pPr>
        <w:ind w:left="900" w:right="220" w:hanging="263"/>
        <w:spacing w:after="0" w:line="243" w:lineRule="auto"/>
        <w:tabs>
          <w:tab w:leader="none" w:pos="9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Tailored and scalable regulatory and compliance infrastructure</w:t>
      </w:r>
      <w:r>
        <w:rPr>
          <w:rFonts w:ascii="Arial" w:cs="Arial" w:eastAsia="Arial" w:hAnsi="Arial"/>
          <w:sz w:val="18"/>
          <w:szCs w:val="18"/>
          <w:color w:val="auto"/>
        </w:rPr>
        <w:t>. This foundational element underpins our global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network. We have fraud and transaction monitoring tools designed to accommodate multiple industry verticals. We combine this with the application of know-your customer (KYC) and anti-money laundering (AML) standards that are tailored to meet the applicable requirements of the jurisdictions where our clients operate. In addition, we leverage our in-depth knowledge of the markets in which we operate to execute tactically while complying with local licensing and regulatory requirements.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Vertical-Specific Software Backed by Deep Industry Expertise</w:t>
      </w:r>
    </w:p>
    <w:p>
      <w:pPr>
        <w:spacing w:after="0" w:line="182"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We tailor our software to meet the needs of each vertical market we serve. We do so by leveraging our industry expertise and knowledge to develop a comprehensive view of our clients’ complex business challenges. We learn to “speak our clients’ language” and tailor their invoicing processes and payment options to their specific situations.</w:t>
      </w:r>
    </w:p>
    <w:p>
      <w:pPr>
        <w:spacing w:after="0" w:line="130"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We offer deep integration within our clients’ existing apps and workflows for seamless payment acceptance and reconciliation. Our integrations, supported by our application programming interfaces (APIs), include some of the largest and most recognized accounting and enterprise resource planning (ERP) systems, such as Ellucian Company, L.P. in education, Epic Systems Corporation in healthcare, Rezdy Pty Ltd in travel, and Oracle Corporation in B2B payments. Through these integrations, our clients are able to reduce the number of banks and technology and payment providers on which they rely, while achieving faster settlements and lower wire and transaction fees.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 features of our vertical-specific software include:</w:t>
      </w:r>
    </w:p>
    <w:p>
      <w:pPr>
        <w:spacing w:after="0" w:line="184" w:lineRule="exact"/>
        <w:rPr>
          <w:sz w:val="20"/>
          <w:szCs w:val="20"/>
          <w:color w:val="auto"/>
        </w:rPr>
      </w:pPr>
    </w:p>
    <w:p>
      <w:pPr>
        <w:ind w:left="900" w:right="120" w:hanging="263"/>
        <w:spacing w:after="0" w:line="241"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Vertical-specific digital workflows</w:t>
      </w:r>
      <w:r>
        <w:rPr>
          <w:rFonts w:ascii="Arial" w:cs="Arial" w:eastAsia="Arial" w:hAnsi="Arial"/>
          <w:sz w:val="18"/>
          <w:szCs w:val="18"/>
          <w:color w:val="auto"/>
        </w:rPr>
        <w:t>. We help our clients automate the accounts receivable process from creation of an invoice</w:t>
      </w:r>
      <w:r>
        <w:rPr>
          <w:rFonts w:ascii="Arial" w:cs="Arial" w:eastAsia="Arial" w:hAnsi="Arial"/>
          <w:sz w:val="18"/>
          <w:szCs w:val="18"/>
          <w:b w:val="1"/>
          <w:bCs w:val="1"/>
          <w:color w:val="auto"/>
        </w:rPr>
        <w:t xml:space="preserve"> </w:t>
      </w:r>
      <w:r>
        <w:rPr>
          <w:rFonts w:ascii="Arial" w:cs="Arial" w:eastAsia="Arial" w:hAnsi="Arial"/>
          <w:sz w:val="18"/>
          <w:szCs w:val="18"/>
          <w:color w:val="auto"/>
        </w:rPr>
        <w:t>to delivery to the customer, to receipt of funds and synchronization back to their ERP system. In these workflows, we provide enhanced capabilities that improve customer satisfaction and may increase the collectability of amounts owed (e.g., offering patients of a health system the option to create a payment plan if they are unwilling or unable to pay their full amount due in a single payment). We provide timely status updates of financial inflows and outflows by indicating when invoices are delivered, opened, and paid. Our robust reporting tools provide our clients with a real time overview of their business’ payments profile.</w:t>
      </w:r>
    </w:p>
    <w:p>
      <w:pPr>
        <w:spacing w:after="0" w:line="140" w:lineRule="exact"/>
        <w:rPr>
          <w:rFonts w:ascii="Times New Roman" w:cs="Times New Roman" w:eastAsia="Times New Roman" w:hAnsi="Times New Roman"/>
          <w:sz w:val="18"/>
          <w:szCs w:val="18"/>
          <w:color w:val="auto"/>
        </w:rPr>
      </w:pPr>
    </w:p>
    <w:p>
      <w:pPr>
        <w:ind w:left="900" w:right="360" w:hanging="263"/>
        <w:spacing w:after="0" w:line="252"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Integration and synchronization to core and industry specific systems</w:t>
      </w:r>
      <w:r>
        <w:rPr>
          <w:rFonts w:ascii="Arial" w:cs="Arial" w:eastAsia="Arial" w:hAnsi="Arial"/>
          <w:sz w:val="18"/>
          <w:szCs w:val="18"/>
          <w:color w:val="auto"/>
        </w:rPr>
        <w:t>. Our software is designed to automate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reconciliation by synchronizing customer transactions with our client’s accounting and ERP systems. Our synchronization capabilities substantially reduce double data-entry and increase efficiency.</w:t>
      </w:r>
    </w:p>
    <w:p>
      <w:pPr>
        <w:spacing w:after="0" w:line="129" w:lineRule="exact"/>
        <w:rPr>
          <w:rFonts w:ascii="Times New Roman" w:cs="Times New Roman" w:eastAsia="Times New Roman" w:hAnsi="Times New Roman"/>
          <w:sz w:val="18"/>
          <w:szCs w:val="18"/>
          <w:color w:val="auto"/>
        </w:rPr>
      </w:pPr>
    </w:p>
    <w:p>
      <w:pPr>
        <w:ind w:left="900" w:right="540" w:hanging="263"/>
        <w:spacing w:after="0" w:line="270"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Real-time access</w:t>
      </w:r>
      <w:r>
        <w:rPr>
          <w:rFonts w:ascii="Arial" w:cs="Arial" w:eastAsia="Arial" w:hAnsi="Arial"/>
          <w:sz w:val="18"/>
          <w:szCs w:val="18"/>
          <w:color w:val="auto"/>
        </w:rPr>
        <w:t>. By leveraging our data, our clients can access real-time invoice and payment status updates, facilitate</w:t>
      </w:r>
      <w:r>
        <w:rPr>
          <w:rFonts w:ascii="Arial" w:cs="Arial" w:eastAsia="Arial" w:hAnsi="Arial"/>
          <w:sz w:val="18"/>
          <w:szCs w:val="18"/>
          <w:b w:val="1"/>
          <w:bCs w:val="1"/>
          <w:color w:val="auto"/>
        </w:rPr>
        <w:t xml:space="preserve"> </w:t>
      </w:r>
      <w:r>
        <w:rPr>
          <w:rFonts w:ascii="Arial" w:cs="Arial" w:eastAsia="Arial" w:hAnsi="Arial"/>
          <w:sz w:val="18"/>
          <w:szCs w:val="18"/>
          <w:color w:val="auto"/>
        </w:rPr>
        <w:t>seamless communication with customers and easily track payments from their customers.</w:t>
      </w:r>
    </w:p>
    <w:p>
      <w:pPr>
        <w:spacing w:after="0" w:line="126" w:lineRule="exact"/>
        <w:rPr>
          <w:rFonts w:ascii="Times New Roman" w:cs="Times New Roman" w:eastAsia="Times New Roman" w:hAnsi="Times New Roman"/>
          <w:sz w:val="18"/>
          <w:szCs w:val="18"/>
          <w:color w:val="auto"/>
        </w:rPr>
      </w:pPr>
    </w:p>
    <w:p>
      <w:pPr>
        <w:ind w:left="900" w:hanging="263"/>
        <w:spacing w:after="0" w:line="246"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Predictive analytics</w:t>
      </w:r>
      <w:r>
        <w:rPr>
          <w:rFonts w:ascii="Arial" w:cs="Arial" w:eastAsia="Arial" w:hAnsi="Arial"/>
          <w:sz w:val="18"/>
          <w:szCs w:val="18"/>
          <w:color w:val="auto"/>
        </w:rPr>
        <w:t>. We have robust predictive analytics capabilities to assess payment transactions across our client base</w:t>
      </w:r>
      <w:r>
        <w:rPr>
          <w:rFonts w:ascii="Arial" w:cs="Arial" w:eastAsia="Arial" w:hAnsi="Arial"/>
          <w:sz w:val="18"/>
          <w:szCs w:val="18"/>
          <w:b w:val="1"/>
          <w:bCs w:val="1"/>
          <w:color w:val="auto"/>
        </w:rPr>
        <w:t xml:space="preserve"> </w:t>
      </w:r>
      <w:r>
        <w:rPr>
          <w:rFonts w:ascii="Arial" w:cs="Arial" w:eastAsia="Arial" w:hAnsi="Arial"/>
          <w:sz w:val="18"/>
          <w:szCs w:val="18"/>
          <w:color w:val="auto"/>
        </w:rPr>
        <w:t>and to intelligently determine the appropriate pricing or payment plans. For example, in healthcare, we have built a personalization engine that enables hospitals and healthcare systems to better predict a patient’s capacity to pay and tailor the payment options they are offered, all in accordance with the hospital’s business rules.</w:t>
      </w:r>
    </w:p>
    <w:p>
      <w:pPr>
        <w:spacing w:after="0" w:line="135" w:lineRule="exact"/>
        <w:rPr>
          <w:sz w:val="20"/>
          <w:szCs w:val="20"/>
          <w:color w:val="auto"/>
        </w:rPr>
      </w:pPr>
    </w:p>
    <w:p>
      <w:pPr>
        <w:ind w:right="40" w:firstLine="559"/>
        <w:spacing w:after="0" w:line="243" w:lineRule="auto"/>
        <w:rPr>
          <w:sz w:val="20"/>
          <w:szCs w:val="20"/>
          <w:color w:val="auto"/>
        </w:rPr>
      </w:pPr>
      <w:r>
        <w:rPr>
          <w:rFonts w:ascii="Arial" w:cs="Arial" w:eastAsia="Arial" w:hAnsi="Arial"/>
          <w:sz w:val="18"/>
          <w:szCs w:val="18"/>
          <w:color w:val="auto"/>
        </w:rPr>
        <w:t>Below is an illustration of how a large hospital client utilizes our software to personalize patient engagement with payment options and billing conversations. We solve capacity to pay for our clients’ customers (with payment plans or other intelligent promotional financing) and we engage with them through their preferred communication methods (e.g., sms, chat, email, text, or phone). In turn, our clients are able to maximize yield on their accounts receivable potential, resulting in higher net payments, lower call volume, lower debt outstanding and most importantly, lower costs and happier patients.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635750" cy="3724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35750" cy="3724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84"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We believe Flywire plays a critical role in helping digitize transactions in traditionally underserved markets, facilitating in-country domestic and cross-border invoicing and payments, automating reconciliation, and providing a seamless experience for our clients’ customers. Our ability to deliver the most important and complex payments both domestically and internationally has become increasingly valued by our clients due to the following trends: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Globalization—and the rise of a “borderless” economy—requires global, cross-border and local payment and regulatory expertise</w:t>
      </w:r>
    </w:p>
    <w:p>
      <w:pPr>
        <w:spacing w:after="0" w:line="180"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As the world becomes more connected, it is both easier and harder to do business. Consumers want to make payments across borders with ease and want to have a personalized experience in their language and in their local currency. Businesses are attempting to satisfy this demand, but we believe they often struggle to deliver truly global capabilities. Providing a solution that meets the needs of our global client base extends beyond simple payment processing. Enabling, streamlining, and automating our clients’ in-country domestic and cross-border payment operations requires a specialized approach that combines a secure, reliable, and robust suite of payments and software solutions with a seamless customer experience. We believe we can deliver extensive global reach and bring local market knowledge and expertise to keep up with the rapidly changing payments landscape.</w:t>
      </w:r>
    </w:p>
    <w:p>
      <w:pPr>
        <w:spacing w:after="0" w:line="156"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Globalization has also increased the complexity of the regulatory landscape that our clients need to navigate. Consumers and businesses are required to understand and adhere to extensive and often incongruous sets of laws and regulations in both local and cross-border regimes. For example, many countries with significant cross-border flows require distinct paperwork to be collected, validated and recorded as part of currency export compliance for high-value payments. Furthermore, we believe that clients often lack the policies, procedures and systems in order to implement and monitor strict compliance. We believe that the result is often costly and manual review processes, which can also increase the client’s risk of penalties and fines. We endeavor to actively manage the global complexities of regulation for our clients’ payments while implementing innovative solutions intended to make the entire process more efficient and user-friendly.</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8"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shift to software-integrated digital payments is accelerating</w:t>
      </w:r>
    </w:p>
    <w:p>
      <w:pPr>
        <w:spacing w:after="0" w:line="182"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As business and consumer transaction expectations shift with digitization, providers of modern payments platforms with industry-specific software have begun to displace legacy systems. Businesses and consumers have come to expect that all payment flows, especially for high-value services, are settled with the same ease as typical e-commerce purchases. We expect these trends will impact all industries and force many businesses to accept new digital payment methods. We believe fully integrated payments and software solutions, including those provided by us, enable businesses to offer seamless payment experiences, minimize friction at the point-of-sale and respond to evolving customer preferences.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payment and accounts receivable management infrastructure has significant limitations and is ripe for innovation</w:t>
      </w:r>
    </w:p>
    <w:p>
      <w:pPr>
        <w:spacing w:after="0" w:line="169"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Even in some of the largest industries in the world, such as education, healthcare, and travel, legacy payment and accounts receivable infrastructure has not evolved to streamline complexities nor enhance efficiency as demanded by organizations or their customers. This legacy infrastructure has the following limitations:</w:t>
      </w:r>
    </w:p>
    <w:p>
      <w:pPr>
        <w:spacing w:after="0" w:line="144" w:lineRule="exact"/>
        <w:rPr>
          <w:sz w:val="20"/>
          <w:szCs w:val="20"/>
          <w:color w:val="auto"/>
        </w:rPr>
      </w:pPr>
    </w:p>
    <w:p>
      <w:pPr>
        <w:ind w:left="900" w:right="80" w:hanging="263"/>
        <w:spacing w:after="0" w:line="241" w:lineRule="auto"/>
        <w:tabs>
          <w:tab w:leader="none" w:pos="9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Paper-based. </w:t>
      </w:r>
      <w:r>
        <w:rPr>
          <w:rFonts w:ascii="Arial" w:cs="Arial" w:eastAsia="Arial" w:hAnsi="Arial"/>
          <w:sz w:val="18"/>
          <w:szCs w:val="18"/>
          <w:color w:val="auto"/>
        </w:rPr>
        <w:t>The accounts receivable process, from creation of an invoice to delivery to the customer, is most often still</w:t>
      </w:r>
      <w:r>
        <w:rPr>
          <w:rFonts w:ascii="Arial" w:cs="Arial" w:eastAsia="Arial" w:hAnsi="Arial"/>
          <w:sz w:val="18"/>
          <w:szCs w:val="18"/>
          <w:b w:val="1"/>
          <w:bCs w:val="1"/>
          <w:color w:val="auto"/>
        </w:rPr>
        <w:t xml:space="preserve"> </w:t>
      </w:r>
      <w:r>
        <w:rPr>
          <w:rFonts w:ascii="Arial" w:cs="Arial" w:eastAsia="Arial" w:hAnsi="Arial"/>
          <w:sz w:val="18"/>
          <w:szCs w:val="18"/>
          <w:color w:val="auto"/>
        </w:rPr>
        <w:t>dependent on paper. This paper-based workflow not only results in payment flows that are slow, error-prone, and less secure, but is also costly for businesses. Organizations that process substantially all of their accounts receivable by automated or electronic means report half the accounts receivable processing costs of those that do not, according to survey data from the American Productivity and Quality Center (APQC). We digitize and automate the accounts receivable process from start to finish, allowing clients to rely on our solutions and save on their accounts receivable transaction and processing costs.</w:t>
      </w:r>
    </w:p>
    <w:p>
      <w:pPr>
        <w:spacing w:after="0" w:line="140" w:lineRule="exact"/>
        <w:rPr>
          <w:rFonts w:ascii="Times New Roman" w:cs="Times New Roman" w:eastAsia="Times New Roman" w:hAnsi="Times New Roman"/>
          <w:sz w:val="18"/>
          <w:szCs w:val="18"/>
          <w:color w:val="auto"/>
        </w:rPr>
      </w:pPr>
    </w:p>
    <w:p>
      <w:pPr>
        <w:ind w:left="900" w:right="100" w:hanging="263"/>
        <w:spacing w:after="0" w:line="241" w:lineRule="auto"/>
        <w:tabs>
          <w:tab w:leader="none" w:pos="9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Manual. </w:t>
      </w:r>
      <w:r>
        <w:rPr>
          <w:rFonts w:ascii="Arial" w:cs="Arial" w:eastAsia="Arial" w:hAnsi="Arial"/>
          <w:sz w:val="18"/>
          <w:szCs w:val="18"/>
          <w:color w:val="auto"/>
        </w:rPr>
        <w:t>Legacy workflows require manual input of employees at every stage of the accounts receivable process: from opening</w:t>
      </w:r>
      <w:r>
        <w:rPr>
          <w:rFonts w:ascii="Arial" w:cs="Arial" w:eastAsia="Arial" w:hAnsi="Arial"/>
          <w:sz w:val="18"/>
          <w:szCs w:val="18"/>
          <w:b w:val="1"/>
          <w:bCs w:val="1"/>
          <w:color w:val="auto"/>
        </w:rPr>
        <w:t xml:space="preserve"> </w:t>
      </w:r>
      <w:r>
        <w:rPr>
          <w:rFonts w:ascii="Arial" w:cs="Arial" w:eastAsia="Arial" w:hAnsi="Arial"/>
          <w:sz w:val="18"/>
          <w:szCs w:val="18"/>
          <w:color w:val="auto"/>
        </w:rPr>
        <w:t>an envelope, logging the receipt, getting approvals, cashing the check, to proper accounting and compliance. This repetitive employee engagement significantly slows down payment flows, increases likelihood of error, and is more expensive for businesses. Organizations that automatically generate the vast majority of their invoices reported processing almost twice as many invoices per invoicing full-time equivalent (FTE) compared to those that do not, according to survey data from the APQC. Our clients can easily leverage our solutions for traditional back-office tasks, with less manual labor involved from start to finish.</w:t>
      </w:r>
    </w:p>
    <w:p>
      <w:pPr>
        <w:spacing w:after="0" w:line="140" w:lineRule="exact"/>
        <w:rPr>
          <w:rFonts w:ascii="Times New Roman" w:cs="Times New Roman" w:eastAsia="Times New Roman" w:hAnsi="Times New Roman"/>
          <w:sz w:val="18"/>
          <w:szCs w:val="18"/>
          <w:color w:val="auto"/>
        </w:rPr>
      </w:pPr>
    </w:p>
    <w:p>
      <w:pPr>
        <w:ind w:left="900" w:hanging="263"/>
        <w:spacing w:after="0" w:line="243" w:lineRule="auto"/>
        <w:tabs>
          <w:tab w:leader="none" w:pos="9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Disparate. </w:t>
      </w:r>
      <w:r>
        <w:rPr>
          <w:rFonts w:ascii="Arial" w:cs="Arial" w:eastAsia="Arial" w:hAnsi="Arial"/>
          <w:sz w:val="18"/>
          <w:szCs w:val="18"/>
          <w:color w:val="auto"/>
        </w:rPr>
        <w:t>Many businesses deal with multiple accounting and reconciliation systems to process a single transaction flow.</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APQC survey data, inefficient processing of receivables requires almost 2.5 times as many FTE resources compared to top-performing organizations for the same dollar volume. Instead of relying on stacks of disparate technology systems that were not built to work together in the context of a seamless experience, our clients can use our solutions to automatically synchronize customer transactions while leveraging their existing IT infrastructure.</w:t>
      </w:r>
    </w:p>
    <w:p>
      <w:pPr>
        <w:spacing w:after="0" w:line="151"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Lacking functionality and capabilities that drive value. </w:t>
      </w:r>
      <w:r>
        <w:rPr>
          <w:rFonts w:ascii="Arial" w:cs="Arial" w:eastAsia="Arial" w:hAnsi="Arial"/>
          <w:sz w:val="18"/>
          <w:szCs w:val="18"/>
          <w:color w:val="auto"/>
        </w:rPr>
        <w:t>A large number of businesses attempt to use their current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or ERP systems for accounts receivable management. These systems often lack functional and analytical capabilities to calibrate and present optimal payment options that could improve customer experience and maximize client yield on their accounts receivable. In contrast, our predictive analytics capabilities provide valuable insights to help drive business decisions and allow our clients to tailor their offerings. For example, our clients can see when a payment plan may be helpful to one of their customers, allowing them or their customers to initiate a payment plan. This insight and functionality can ultimately increase the speed and frequency of collection and improve customer satisfaction.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Accelerating digitization of B2B payments</w:t>
      </w:r>
    </w:p>
    <w:p>
      <w:pPr>
        <w:spacing w:after="0" w:line="16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believe the B2B payments market remains one of the largest untapped opportunities in the payments industry. Few payments and software companies have end-to-end integrated payments solutions including accounts receivable software, omni-channel offerings, cross-border capabilities and other value-added services. Most often, providers only offer one or two of these capabilities and require clients to employ other piecemeal point solutions. The unique combination of our next-gen payments platform, proprietary global payment network, and vertical-specific software enables us to design and deliver a comprehensive suite of solutions that help our business clients get paid by their customers.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Market Opportunity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We believe the trend of digitizing payments is inevitable across all industries. When businesses and consumers make payments, they expect a quick and easy process. On the receiving end, businesses expect to accept payments from different sources and countries, and reconcile them from within one system, but without added complexity or additional costs.</w:t>
      </w:r>
    </w:p>
    <w:p>
      <w:pPr>
        <w:spacing w:after="0" w:line="144"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Many industries still lack the digital payments infrastructure that is necessary to meet customer demand and solve operational inefficiencies. For example, the majority of healthcare payments are still made by check. Likewise, in education, budget shortfalls, along with rising tuition costs, have added financial strain and created collections problems.</w:t>
      </w:r>
    </w:p>
    <w:p>
      <w:pPr>
        <w:spacing w:after="0" w:line="130"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These inefficiencies are costly. According to a study by Deloitte, middle-market businesses incur $ 3.3 trillion in operational costs when reconciling invoices as a result of inadequate legacy solutions, such as disparate file formats and lack of back-office support for automated remittances.</w:t>
      </w:r>
    </w:p>
    <w:p>
      <w:pPr>
        <w:spacing w:after="0" w:line="130"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Despite these shortfalls, the demand for domestic and cross-border money movement continues to accelerate and global payments present one of the largest market opportunities. For the primary industries we currently serve, we estimate the current addressable market for our solutions to be approximately $1.7 trillion in global payment volume, including education ($660 billion)</w:t>
      </w:r>
      <w:r>
        <w:rPr>
          <w:rFonts w:ascii="Arial" w:cs="Arial" w:eastAsia="Arial" w:hAnsi="Arial"/>
          <w:sz w:val="20"/>
          <w:szCs w:val="20"/>
          <w:color w:val="auto"/>
          <w:vertAlign w:val="superscript"/>
        </w:rPr>
        <w:t>(1)</w:t>
      </w:r>
      <w:r>
        <w:rPr>
          <w:rFonts w:ascii="Arial" w:cs="Arial" w:eastAsia="Arial" w:hAnsi="Arial"/>
          <w:sz w:val="18"/>
          <w:szCs w:val="18"/>
          <w:color w:val="auto"/>
        </w:rPr>
        <w:t>, healthcare ($500 billion)</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and travel (approximately $530 billion).</w:t>
      </w:r>
      <w:r>
        <w:rPr>
          <w:rFonts w:ascii="Arial" w:cs="Arial" w:eastAsia="Arial" w:hAnsi="Arial"/>
          <w:sz w:val="20"/>
          <w:szCs w:val="20"/>
          <w:color w:val="auto"/>
          <w:vertAlign w:val="superscript"/>
        </w:rPr>
        <w:t>(3)</w:t>
      </w:r>
    </w:p>
    <w:p>
      <w:pPr>
        <w:spacing w:after="0" w:line="102"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Additionally, our B2B payments offering expands the addressable market for our solutions, which we estimate to be over $10 trillion in addressable B2B payment volume</w:t>
      </w:r>
      <w:r>
        <w:rPr>
          <w:rFonts w:ascii="Arial" w:cs="Arial" w:eastAsia="Arial" w:hAnsi="Arial"/>
          <w:sz w:val="20"/>
          <w:szCs w:val="20"/>
          <w:color w:val="auto"/>
          <w:vertAlign w:val="superscript"/>
        </w:rPr>
        <w:t>(4)</w:t>
      </w:r>
      <w:r>
        <w:rPr>
          <w:rFonts w:ascii="Arial" w:cs="Arial" w:eastAsia="Arial" w:hAnsi="Arial"/>
          <w:sz w:val="18"/>
          <w:szCs w:val="18"/>
          <w:color w:val="auto"/>
        </w:rPr>
        <w:t>. Given Flywire’s existing penetration of key verticals, ability to integrate with a broad range of core systems and continued investments in our next-gen payments platform, proprietary global payment network, and vertical-specific software, we believe we have the opportunity to capture a meaningful share of this payment volume.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1"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We believe we have a significant opportunity to build on our success and momentum to date. The key elements of our growth strategy include: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Client Reach</w:t>
      </w:r>
    </w:p>
    <w:p>
      <w:pPr>
        <w:spacing w:after="0" w:line="169" w:lineRule="exact"/>
        <w:rPr>
          <w:sz w:val="20"/>
          <w:szCs w:val="20"/>
          <w:color w:val="auto"/>
        </w:rPr>
      </w:pPr>
    </w:p>
    <w:p>
      <w:pPr>
        <w:ind w:left="900" w:right="60" w:hanging="263"/>
        <w:spacing w:after="0" w:line="243" w:lineRule="auto"/>
        <w:tabs>
          <w:tab w:leader="none" w:pos="90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Grow with existing clients. </w:t>
      </w:r>
      <w:r>
        <w:rPr>
          <w:rFonts w:ascii="Arial" w:cs="Arial" w:eastAsia="Arial" w:hAnsi="Arial"/>
          <w:sz w:val="18"/>
          <w:szCs w:val="18"/>
          <w:color w:val="auto"/>
        </w:rPr>
        <w:t>We intend to continue to become a more integral part of our clients’ businesses as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our clients’ customers who utilize our solutions increases. Our track record of organic growth with our clients is demonstrated by our three-year average annual net dollar-based retention rate, which was approximately 130% for the years ended December 31, 2021 through December 31, 2023. As our clients transform and digitize their operational workflows, we plan to encourage them to add additional solutions, such as tailored invoicing, payment plans, and eStore marketplace.</w:t>
      </w:r>
    </w:p>
    <w:p>
      <w:pPr>
        <w:spacing w:after="0" w:line="137" w:lineRule="exact"/>
        <w:rPr>
          <w:rFonts w:ascii="Times New Roman" w:cs="Times New Roman" w:eastAsia="Times New Roman" w:hAnsi="Times New Roman"/>
          <w:sz w:val="18"/>
          <w:szCs w:val="18"/>
          <w:color w:val="auto"/>
        </w:rPr>
      </w:pPr>
    </w:p>
    <w:p>
      <w:pPr>
        <w:jc w:val="both"/>
        <w:ind w:left="900" w:right="300" w:hanging="263"/>
        <w:spacing w:after="0" w:line="252" w:lineRule="auto"/>
        <w:tabs>
          <w:tab w:leader="none" w:pos="90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Continue to win new clients. </w:t>
      </w:r>
      <w:r>
        <w:rPr>
          <w:rFonts w:ascii="Arial" w:cs="Arial" w:eastAsia="Arial" w:hAnsi="Arial"/>
          <w:sz w:val="18"/>
          <w:szCs w:val="18"/>
          <w:color w:val="auto"/>
        </w:rPr>
        <w:t>We plan to expand our sales and marketing efforts to increase brand awareness and highlight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our solutions. We believe this will attract new clients to Flywire and as we add more clients, we can accelerate the effects of our flywheel.</w:t>
      </w:r>
    </w:p>
    <w:p>
      <w:pPr>
        <w:spacing w:after="0" w:line="142" w:lineRule="exact"/>
        <w:rPr>
          <w:rFonts w:ascii="Times New Roman" w:cs="Times New Roman" w:eastAsia="Times New Roman" w:hAnsi="Times New Roman"/>
          <w:sz w:val="18"/>
          <w:szCs w:val="18"/>
          <w:color w:val="auto"/>
        </w:rPr>
      </w:pPr>
    </w:p>
    <w:p>
      <w:pPr>
        <w:ind w:left="900" w:right="40" w:hanging="263"/>
        <w:spacing w:after="0" w:line="246" w:lineRule="auto"/>
        <w:tabs>
          <w:tab w:leader="none" w:pos="90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Increase payments platform monetization. </w:t>
      </w:r>
      <w:r>
        <w:rPr>
          <w:rFonts w:ascii="Arial" w:cs="Arial" w:eastAsia="Arial" w:hAnsi="Arial"/>
          <w:sz w:val="18"/>
          <w:szCs w:val="18"/>
          <w:color w:val="auto"/>
        </w:rPr>
        <w:t>We have the opportunity to offer additional complementary payment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our clients’ customers in support of our clients’ business goals. We intend to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by expanding the number of use cases we can address such as handling payables in education, business invoices in hospitals, and commissions in travel.</w:t>
      </w:r>
    </w:p>
    <w:p>
      <w:pPr>
        <w:spacing w:after="0" w:line="134" w:lineRule="exact"/>
        <w:rPr>
          <w:rFonts w:ascii="Times New Roman" w:cs="Times New Roman" w:eastAsia="Times New Roman" w:hAnsi="Times New Roman"/>
          <w:sz w:val="18"/>
          <w:szCs w:val="18"/>
          <w:color w:val="auto"/>
        </w:rPr>
      </w:pPr>
    </w:p>
    <w:p>
      <w:pPr>
        <w:ind w:left="900" w:right="60" w:hanging="263"/>
        <w:spacing w:after="0" w:line="270" w:lineRule="auto"/>
        <w:tabs>
          <w:tab w:leader="none" w:pos="90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Expand our solution portfolio. </w:t>
      </w:r>
      <w:r>
        <w:rPr>
          <w:rFonts w:ascii="Arial" w:cs="Arial" w:eastAsia="Arial" w:hAnsi="Arial"/>
          <w:sz w:val="18"/>
          <w:szCs w:val="18"/>
          <w:color w:val="auto"/>
        </w:rPr>
        <w:t>We expect to continue investing in our solution portfolio by expanding the breadth and depth of</w:t>
      </w:r>
      <w:r>
        <w:rPr>
          <w:rFonts w:ascii="Arial" w:cs="Arial" w:eastAsia="Arial" w:hAnsi="Arial"/>
          <w:sz w:val="18"/>
          <w:szCs w:val="18"/>
          <w:b w:val="1"/>
          <w:bCs w:val="1"/>
          <w:color w:val="auto"/>
        </w:rPr>
        <w:t xml:space="preserve"> </w:t>
      </w:r>
      <w:r>
        <w:rPr>
          <w:rFonts w:ascii="Arial" w:cs="Arial" w:eastAsia="Arial" w:hAnsi="Arial"/>
          <w:sz w:val="18"/>
          <w:szCs w:val="18"/>
          <w:color w:val="auto"/>
        </w:rPr>
        <w:t>our payments and software capabilities.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6" w:lineRule="exact"/>
        <w:rPr>
          <w:rFonts w:ascii="Times New Roman" w:cs="Times New Roman" w:eastAsia="Times New Roman" w:hAnsi="Times New Roman"/>
          <w:sz w:val="18"/>
          <w:szCs w:val="18"/>
          <w:color w:val="auto"/>
        </w:rPr>
      </w:pPr>
    </w:p>
    <w:p>
      <w:pPr>
        <w:ind w:left="520" w:hanging="377"/>
        <w:spacing w:after="0" w:line="251" w:lineRule="auto"/>
        <w:tabs>
          <w:tab w:leader="none" w:pos="520" w:val="left"/>
        </w:tabs>
        <w:numPr>
          <w:ilvl w:val="0"/>
          <w:numId w:val="14"/>
        </w:numPr>
        <w:rPr>
          <w:rFonts w:ascii="Arial" w:cs="Arial" w:eastAsia="Arial" w:hAnsi="Arial"/>
          <w:sz w:val="8"/>
          <w:szCs w:val="8"/>
          <w:color w:val="auto"/>
        </w:rPr>
      </w:pPr>
      <w:r>
        <w:rPr>
          <w:rFonts w:ascii="Arial" w:cs="Arial" w:eastAsia="Arial" w:hAnsi="Arial"/>
          <w:sz w:val="14"/>
          <w:szCs w:val="14"/>
          <w:color w:val="auto"/>
        </w:rPr>
        <w:t>Based on net household payments to educational institutions in OECD countries in 2020 according to the Organisation for Economic Co-operation and Development and payments made to private education institutions in Southeast Asia in 2015 according to EY Parthenon.</w:t>
      </w:r>
    </w:p>
    <w:p>
      <w:pPr>
        <w:ind w:left="520" w:right="300" w:hanging="377"/>
        <w:spacing w:after="0" w:line="241" w:lineRule="auto"/>
        <w:tabs>
          <w:tab w:leader="none" w:pos="520" w:val="left"/>
        </w:tabs>
        <w:numPr>
          <w:ilvl w:val="0"/>
          <w:numId w:val="14"/>
        </w:numPr>
        <w:rPr>
          <w:rFonts w:ascii="Arial" w:cs="Arial" w:eastAsia="Arial" w:hAnsi="Arial"/>
          <w:sz w:val="8"/>
          <w:szCs w:val="8"/>
          <w:color w:val="auto"/>
        </w:rPr>
      </w:pPr>
      <w:r>
        <w:rPr>
          <w:rFonts w:ascii="Arial" w:cs="Arial" w:eastAsia="Arial" w:hAnsi="Arial"/>
          <w:sz w:val="14"/>
          <w:szCs w:val="14"/>
          <w:color w:val="auto"/>
        </w:rPr>
        <w:t>Based on U.S. out of pocket healthcare spending in 2019 according to the Centers for Medicare &amp; Medicaid Services and cross-border healthcare payments in 2020 according to Patients Without Borders.</w:t>
      </w:r>
    </w:p>
    <w:p>
      <w:pPr>
        <w:ind w:left="520" w:right="340" w:hanging="377"/>
        <w:spacing w:after="0" w:line="241" w:lineRule="auto"/>
        <w:tabs>
          <w:tab w:leader="none" w:pos="520" w:val="left"/>
        </w:tabs>
        <w:numPr>
          <w:ilvl w:val="0"/>
          <w:numId w:val="14"/>
        </w:numPr>
        <w:rPr>
          <w:rFonts w:ascii="Arial" w:cs="Arial" w:eastAsia="Arial" w:hAnsi="Arial"/>
          <w:sz w:val="8"/>
          <w:szCs w:val="8"/>
          <w:color w:val="auto"/>
        </w:rPr>
      </w:pPr>
      <w:r>
        <w:rPr>
          <w:rFonts w:ascii="Arial" w:cs="Arial" w:eastAsia="Arial" w:hAnsi="Arial"/>
          <w:sz w:val="14"/>
          <w:szCs w:val="14"/>
          <w:color w:val="auto"/>
        </w:rPr>
        <w:t>Based on global travel industry revenue in 2020 according to IBISWorld and management’s estimates that approximately 41% of the non-business and professional travel payment volume is addressable by our solutions.</w:t>
      </w:r>
    </w:p>
    <w:p>
      <w:pPr>
        <w:ind w:left="520" w:right="440" w:hanging="377"/>
        <w:spacing w:after="0" w:line="263" w:lineRule="auto"/>
        <w:tabs>
          <w:tab w:leader="none" w:pos="520" w:val="left"/>
        </w:tabs>
        <w:numPr>
          <w:ilvl w:val="0"/>
          <w:numId w:val="14"/>
        </w:numPr>
        <w:rPr>
          <w:rFonts w:ascii="Arial" w:cs="Arial" w:eastAsia="Arial" w:hAnsi="Arial"/>
          <w:sz w:val="8"/>
          <w:szCs w:val="8"/>
          <w:color w:val="auto"/>
        </w:rPr>
      </w:pPr>
      <w:r>
        <w:rPr>
          <w:rFonts w:ascii="Arial" w:cs="Arial" w:eastAsia="Arial" w:hAnsi="Arial"/>
          <w:sz w:val="14"/>
          <w:szCs w:val="14"/>
          <w:color w:val="auto"/>
        </w:rPr>
        <w:t>Based on cross-border B2B inflows revenue in 2020 according to Juniper and management’s estimates that at least 75% of total B2B payment volume is made by medium to large businesses and is potentially addressable by our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-885825</wp:posOffset>
            </wp:positionV>
            <wp:extent cx="23806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Ecosystem Through Channel Partnerships</w:t>
      </w:r>
    </w:p>
    <w:p>
      <w:pPr>
        <w:spacing w:after="0" w:line="182" w:lineRule="exact"/>
        <w:rPr>
          <w:sz w:val="20"/>
          <w:szCs w:val="20"/>
          <w:color w:val="auto"/>
        </w:rPr>
      </w:pPr>
    </w:p>
    <w:p>
      <w:pPr>
        <w:ind w:right="260" w:firstLine="509"/>
        <w:spacing w:after="0" w:line="246" w:lineRule="auto"/>
        <w:rPr>
          <w:sz w:val="20"/>
          <w:szCs w:val="20"/>
          <w:color w:val="auto"/>
        </w:rPr>
      </w:pPr>
      <w:r>
        <w:rPr>
          <w:rFonts w:ascii="Arial" w:cs="Arial" w:eastAsia="Arial" w:hAnsi="Arial"/>
          <w:sz w:val="18"/>
          <w:szCs w:val="18"/>
          <w:color w:val="auto"/>
        </w:rPr>
        <w:t>While the majority of our clients to date have been acquired by our direct sales team, we expect that continued engagement with channel partners, including financial institutions and providers of enterprise software solutions in our key verticals, will enhance our client acquisition efforts and drive continued growth. We also believe our channel partners, which include consultants specialized in our industry verticals, will help amplify the reach and visibility of our solutions to clients worldwide.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to New Verticals and Geographies</w:t>
      </w:r>
    </w:p>
    <w:p>
      <w:pPr>
        <w:spacing w:after="0" w:line="16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 xml:space="preserve">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to scale into new verticals and geographic markets. We have a strong track record of expanding efficiently into new verticals and geographic markets, as we have shown in healthcare, travel, and B2B payments and in the expanded reach of our global payment network. We see a large and significantly underserved opportunity for clients domestically and internationally to benefit from our payments platform, global payment network and vertical-specific software. Additionally, there are other industries, including real estate and government taxes, that we believe are poorly digitized and could benefit from our solutions.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Strategic and Value-Enhancing Acquisitions</w:t>
      </w:r>
    </w:p>
    <w:p>
      <w:pPr>
        <w:spacing w:after="0" w:line="16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intend to continue to complement and accelerate our organic growth strategies through acquisitions. We have a successful record of identifying, executing, and integrating acquisitions, and we intend to continue to pursue acquisitions through a highly disciplined approach. We also have the scale to be an attractive and reputable consolidator in the payments markets as evidenced by our ability to retain nearly all of the clients and employees from our WPM, Cohort Go and StudyLink acquisitions. We believe our approach and breadth of experience in integrating culturally-aligned businesses position us to maximize the value we derive from future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Flywire Culture and Team</w:t>
      </w:r>
    </w:p>
    <w:p>
      <w:pPr>
        <w:spacing w:after="0" w:line="184"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As an organization, our culture is founded on our shared experiences, unique and diverse backgrounds, and belief in our mission to deliver on the most important and complex payments. As a collective team of approximately 1,200 full-time employees and contractors, who we call FlyMates, we strive for excellence as one team, guided by our core values, including:</w:t>
      </w:r>
    </w:p>
    <w:p>
      <w:pPr>
        <w:spacing w:after="0" w:line="130" w:lineRule="exact"/>
        <w:rPr>
          <w:sz w:val="20"/>
          <w:szCs w:val="20"/>
          <w:color w:val="auto"/>
        </w:rPr>
      </w:pPr>
    </w:p>
    <w:p>
      <w:pPr>
        <w:ind w:left="900" w:hanging="263"/>
        <w:spacing w:after="0"/>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collaboration. </w:t>
      </w:r>
      <w:r>
        <w:rPr>
          <w:rFonts w:ascii="Arial" w:cs="Arial" w:eastAsia="Arial" w:hAnsi="Arial"/>
          <w:sz w:val="18"/>
          <w:szCs w:val="18"/>
          <w:color w:val="auto"/>
        </w:rPr>
        <w:t>We believe in teamwork.</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Authenticity. </w:t>
      </w:r>
      <w:r>
        <w:rPr>
          <w:rFonts w:ascii="Arial" w:cs="Arial" w:eastAsia="Arial" w:hAnsi="Arial"/>
          <w:sz w:val="18"/>
          <w:szCs w:val="18"/>
          <w:color w:val="auto"/>
        </w:rPr>
        <w:t>We never compromise on integrity, honesty, and kindness.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Fulfillment. </w:t>
      </w:r>
      <w:r>
        <w:rPr>
          <w:rFonts w:ascii="Arial" w:cs="Arial" w:eastAsia="Arial" w:hAnsi="Arial"/>
          <w:sz w:val="18"/>
          <w:szCs w:val="18"/>
          <w:color w:val="auto"/>
        </w:rPr>
        <w:t>We strive for personal and professional satisfaction.</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Execution. </w:t>
      </w:r>
      <w:r>
        <w:rPr>
          <w:rFonts w:ascii="Arial" w:cs="Arial" w:eastAsia="Arial" w:hAnsi="Arial"/>
          <w:sz w:val="18"/>
          <w:szCs w:val="18"/>
          <w:color w:val="auto"/>
        </w:rPr>
        <w:t>We accomplish our goals through collective support and accountability.</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Ambitious innovation. </w:t>
      </w:r>
      <w:r>
        <w:rPr>
          <w:rFonts w:ascii="Arial" w:cs="Arial" w:eastAsia="Arial" w:hAnsi="Arial"/>
          <w:sz w:val="18"/>
          <w:szCs w:val="18"/>
          <w:color w:val="auto"/>
        </w:rPr>
        <w:t>We continuously look to deliver more and new value to all our constituents.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Evolved learning. </w:t>
      </w:r>
      <w:r>
        <w:rPr>
          <w:rFonts w:ascii="Arial" w:cs="Arial" w:eastAsia="Arial" w:hAnsi="Arial"/>
          <w:sz w:val="18"/>
          <w:szCs w:val="18"/>
          <w:color w:val="auto"/>
        </w:rPr>
        <w:t>We believe in new challenges and constant growth.</w:t>
      </w:r>
    </w:p>
    <w:p>
      <w:pPr>
        <w:spacing w:after="0" w:line="183" w:lineRule="exact"/>
        <w:rPr>
          <w:sz w:val="20"/>
          <w:szCs w:val="20"/>
          <w:color w:val="auto"/>
        </w:rPr>
      </w:pPr>
    </w:p>
    <w:p>
      <w:pPr>
        <w:jc w:val="both"/>
        <w:ind w:right="340" w:firstLine="509"/>
        <w:spacing w:after="0" w:line="246" w:lineRule="auto"/>
        <w:rPr>
          <w:sz w:val="20"/>
          <w:szCs w:val="20"/>
          <w:color w:val="auto"/>
        </w:rPr>
      </w:pPr>
      <w:r>
        <w:rPr>
          <w:rFonts w:ascii="Arial" w:cs="Arial" w:eastAsia="Arial" w:hAnsi="Arial"/>
          <w:sz w:val="18"/>
          <w:szCs w:val="18"/>
          <w:color w:val="auto"/>
        </w:rPr>
        <w:t>Our leadership team defines our culture and strategy and collectively has decades of experience leading companies through rapid growth at scale. Representing approximately 40 nationalities and spoken languages, our diverse team of FlyMates deliver critical domain expertise and regionally tailored skill sets to our clients 24x7. We believe our team’s relentless client focus and adherence to our shared values are evident in our NPS of 62 for the year ended December 31, 2022, and will continue to define our future success.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84"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We derive revenue from transactions and platform and usage-based fees. Each new student tuition bill, patient visit, travel journey and business invoice is an opportunity for us to generate fees.</w:t>
      </w:r>
    </w:p>
    <w:p>
      <w:pPr>
        <w:spacing w:after="0" w:line="112"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Our revenue is highly re-occurring in nature due to the mission-critical nature of our solutions that are deeply integrated within our clients’ existing operating workflows and IT infrastructure. We believe the depth and breadth of our solutions help our clients get paid faster and with less friction. This enables us to develop long-standing relationships with our clients, which in turn also drive strong retention and significant cross-selling opportunities.</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Illustration of Our Solution</w:t>
      </w:r>
    </w:p>
    <w:p>
      <w:pPr>
        <w:spacing w:after="0" w:line="18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simplify domestic and cross-border payment transactions for our clients by eliminating the need to work with disparate vendors for invoicing, global pay-in and pay-out, compliance and risk management and more. Through a single connection to Flywire, we enable our clients to securely accept and reconcile payments and engage with their customers. The illustrations below depict how Flywire manages both international and domestic payments for a representative education client.</w:t>
      </w:r>
    </w:p>
    <w:p>
      <w:pPr>
        <w:spacing w:after="0" w:line="136" w:lineRule="exact"/>
        <w:rPr>
          <w:sz w:val="20"/>
          <w:szCs w:val="20"/>
          <w:color w:val="auto"/>
        </w:rPr>
      </w:pPr>
    </w:p>
    <w:p>
      <w:pPr>
        <w:ind w:right="20" w:firstLine="509"/>
        <w:spacing w:after="0"/>
        <w:rPr>
          <w:sz w:val="20"/>
          <w:szCs w:val="20"/>
          <w:color w:val="auto"/>
        </w:rPr>
      </w:pPr>
      <w:r>
        <w:rPr>
          <w:rFonts w:ascii="Arial" w:cs="Arial" w:eastAsia="Arial" w:hAnsi="Arial"/>
          <w:sz w:val="18"/>
          <w:szCs w:val="18"/>
          <w:b w:val="1"/>
          <w:bCs w:val="1"/>
          <w:i w:val="1"/>
          <w:iCs w:val="1"/>
          <w:color w:val="auto"/>
        </w:rPr>
        <w:t>International Payment Example</w:t>
      </w:r>
      <w:r>
        <w:rPr>
          <w:rFonts w:ascii="Arial" w:cs="Arial" w:eastAsia="Arial" w:hAnsi="Arial"/>
          <w:sz w:val="18"/>
          <w:szCs w:val="18"/>
          <w:color w:val="auto"/>
        </w:rPr>
        <w:t>: In the first example below, a Chinese student paying their tuition to a Canadian university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experiences a seamless process from start to finish—choosing their preferred payment method and currency. For our client, the accounts receivable process is automated and streamlined from invoice to receipt and to reconciliation and real-time ERP updates. For our cross-border payments, we have short term foreign exchange exposure, typically between one and four days; we leverage our in-house currency hedging algorithms, and enter into non-deliverable forward foreign currency contracts, to mitigate the volatility related to fluctuations in the foreign exchange rates. For additional discussion about our foreign exchange exposure, please see “Management’s Discussion and Analysis of Financial Condition and Results of Operations -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b w:val="1"/>
          <w:bCs w:val="1"/>
          <w:i w:val="1"/>
          <w:iCs w:val="1"/>
          <w:color w:val="auto"/>
        </w:rPr>
        <w:t>Domestic Payment Example</w:t>
      </w:r>
      <w:r>
        <w:rPr>
          <w:rFonts w:ascii="Arial" w:cs="Arial" w:eastAsia="Arial" w:hAnsi="Arial"/>
          <w:sz w:val="18"/>
          <w:szCs w:val="18"/>
          <w:color w:val="auto"/>
        </w:rPr>
        <w:t>: The example below illustrates the process of offering payment plans to domestic students, which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set up by either the school or the student.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100330</wp:posOffset>
            </wp:positionV>
            <wp:extent cx="4126865" cy="2713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26865" cy="271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From the same payments platform, we manage the entire payment process for our clients with the only difference being the type of payment offering selected to meet the needs of their customers, whether that be international or domestic.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Go-To-Market Strategy</w:t>
      </w:r>
    </w:p>
    <w:p>
      <w:pPr>
        <w:spacing w:after="0" w:line="18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direct sales channel is core to our go-to-market strategy. We believe that regional, vertical, and broader domain expertise, as well as continued client management, are critical to our sales success. Our regional sales teams are located in the United States, Canada, Latin America, Europe, and the Asia Pacific region including Singapore, Japan, and Australia. Our relationship management team augments direct sales capabilities by cultivating existing relationships and identifying cross-sell and up-sell opportunities of additional solutions, contributing to our strong dollar-based net retention rate. We believe that our ability to understand the nuanced pain points of education, healthcare, and travel accounts receivable is a strategic advantage enabling us to gain clients in those verticals, while our broader domain expertise in payments, treasury, and banking is critical to executing on our broader B2B payments expansion.</w:t>
      </w:r>
    </w:p>
    <w:p>
      <w:pPr>
        <w:spacing w:after="0" w:line="142" w:lineRule="exact"/>
        <w:rPr>
          <w:sz w:val="20"/>
          <w:szCs w:val="20"/>
          <w:color w:val="auto"/>
        </w:rPr>
      </w:pPr>
    </w:p>
    <w:p>
      <w:pPr>
        <w:ind w:right="280" w:firstLine="509"/>
        <w:spacing w:after="0" w:line="246" w:lineRule="auto"/>
        <w:rPr>
          <w:sz w:val="20"/>
          <w:szCs w:val="20"/>
          <w:color w:val="auto"/>
        </w:rPr>
      </w:pPr>
      <w:r>
        <w:rPr>
          <w:rFonts w:ascii="Arial" w:cs="Arial" w:eastAsia="Arial" w:hAnsi="Arial"/>
          <w:sz w:val="18"/>
          <w:szCs w:val="18"/>
          <w:color w:val="auto"/>
        </w:rPr>
        <w:t>We focus our sales and marketing efforts on generating leads to develop our sales pipeline, building brand and vertical awareness, scaling our network of partners, and growing our business from our existing client base. Our sales leads primarily come through inbound digital channels including our website, content marketing efforts, lead generation and account-based marketing tactics, virtual events, and industry trade shows and associations.</w:t>
      </w:r>
    </w:p>
    <w:p>
      <w:pPr>
        <w:spacing w:after="0" w:line="136"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We typically follow a “land-and-expand” strategy as our clients engage with us on more than one solution as we grow our partnership. For example, in education we have a high success rate expanding beyond solving cross-border payments needs, with clients also adopting our domestic solutions or full-suite enterprise solution. Once our clients experience the depth of our ability to handle their multi-faceted accounts receivable and payments needs, our relationship managers are able to successfully cross-sell and up-sell other solutions, creating a large avenue of revenue generation with minimal incremental acquisition cost.</w:t>
      </w:r>
    </w:p>
    <w:p>
      <w:pPr>
        <w:spacing w:after="0" w:line="152"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We also reach clients indirectly through our channel partnerships, integrations with workflow software, and other technology providers. Our channel partners include financial institutions, such as Bank of America Corporation, as well as a number of referral partners such as Tribal Group and Cerner Corporation. Additionally, Flywire has integrations with leading accounting and ERP systems, such as Oracle Corporation, Ellucian Company, L.P., Epic Systems Corporation and Rezdy Pty Ltd.</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and Architecture</w:t>
      </w:r>
    </w:p>
    <w:p>
      <w:pPr>
        <w:spacing w:after="0" w:line="18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 xml:space="preserve">Our unified technology is at the core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The scale and complexity of the product implementation challenges that we address for our clients and their customers cannot easily be addressed through today’s legacy systems and outdated infrastructure. Instead, it requires our combination of a modern technology stack, cloud-native infrastructure, and investment in product and engineering management talent.</w:t>
      </w:r>
    </w:p>
    <w:p>
      <w:pPr>
        <w:spacing w:after="0" w:line="136" w:lineRule="exact"/>
        <w:rPr>
          <w:sz w:val="20"/>
          <w:szCs w:val="20"/>
          <w:color w:val="auto"/>
        </w:rPr>
      </w:pPr>
    </w:p>
    <w:p>
      <w:pPr>
        <w:ind w:right="440" w:firstLine="509"/>
        <w:spacing w:after="0" w:line="246" w:lineRule="auto"/>
        <w:rPr>
          <w:sz w:val="20"/>
          <w:szCs w:val="20"/>
          <w:color w:val="auto"/>
        </w:rPr>
      </w:pPr>
      <w:r>
        <w:rPr>
          <w:rFonts w:ascii="Arial" w:cs="Arial" w:eastAsia="Arial" w:hAnsi="Arial"/>
          <w:sz w:val="18"/>
          <w:szCs w:val="18"/>
          <w:color w:val="auto"/>
        </w:rPr>
        <w:t>Our engineering approach includes a DevOps culture, microservice architecture, continuous delivery, and the use of containers to enable shorter development lifecycles. We also operate independently-deployable services that are critical to supporting verticals and reliability across operating environments. Our product and engineering leadership team has a long history of payments and payments technology experience, with domain expertise across our verticals.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technology stack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128905</wp:posOffset>
            </wp:positionV>
            <wp:extent cx="6165215" cy="3159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65215" cy="3159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Payments-as-a-Service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next-gen payments platform includes the infrastructure required to support more than just simple money flows:</w:t>
      </w:r>
    </w:p>
    <w:p>
      <w:pPr>
        <w:spacing w:after="0" w:line="184" w:lineRule="exact"/>
        <w:rPr>
          <w:sz w:val="20"/>
          <w:szCs w:val="20"/>
          <w:color w:val="auto"/>
        </w:rPr>
      </w:pPr>
    </w:p>
    <w:p>
      <w:pPr>
        <w:ind w:left="900" w:hanging="26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Payment services</w:t>
      </w:r>
      <w:r>
        <w:rPr>
          <w:rFonts w:ascii="Arial" w:cs="Arial" w:eastAsia="Arial" w:hAnsi="Arial"/>
          <w:sz w:val="18"/>
          <w:szCs w:val="18"/>
          <w:color w:val="auto"/>
        </w:rPr>
        <w:t>.  Our technology to capture the payment from our clients’ customers.</w:t>
      </w:r>
    </w:p>
    <w:p>
      <w:pPr>
        <w:spacing w:after="0" w:line="183" w:lineRule="exact"/>
        <w:rPr>
          <w:rFonts w:ascii="Times New Roman" w:cs="Times New Roman" w:eastAsia="Times New Roman" w:hAnsi="Times New Roman"/>
          <w:sz w:val="18"/>
          <w:szCs w:val="18"/>
          <w:color w:val="auto"/>
        </w:rPr>
      </w:pPr>
    </w:p>
    <w:p>
      <w:pPr>
        <w:ind w:left="900" w:right="360" w:hanging="263"/>
        <w:spacing w:after="0" w:line="270" w:lineRule="auto"/>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Enabling services</w:t>
      </w:r>
      <w:r>
        <w:rPr>
          <w:rFonts w:ascii="Arial" w:cs="Arial" w:eastAsia="Arial" w:hAnsi="Arial"/>
          <w:sz w:val="18"/>
          <w:szCs w:val="18"/>
          <w:color w:val="auto"/>
        </w:rPr>
        <w:t>. Our proprietary pricing engine, foreign currency exchange hedging infrastructure, and ML technology to</w:t>
      </w:r>
      <w:r>
        <w:rPr>
          <w:rFonts w:ascii="Arial" w:cs="Arial" w:eastAsia="Arial" w:hAnsi="Arial"/>
          <w:sz w:val="18"/>
          <w:szCs w:val="18"/>
          <w:b w:val="1"/>
          <w:bCs w:val="1"/>
          <w:color w:val="auto"/>
        </w:rPr>
        <w:t xml:space="preserve"> </w:t>
      </w:r>
      <w:r>
        <w:rPr>
          <w:rFonts w:ascii="Arial" w:cs="Arial" w:eastAsia="Arial" w:hAnsi="Arial"/>
          <w:sz w:val="18"/>
          <w:szCs w:val="18"/>
          <w:color w:val="auto"/>
        </w:rPr>
        <w:t>manage fraud and AML risk.</w:t>
      </w:r>
    </w:p>
    <w:p>
      <w:pPr>
        <w:spacing w:after="0" w:line="113"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Transaction processing services</w:t>
      </w:r>
      <w:r>
        <w:rPr>
          <w:rFonts w:ascii="Arial" w:cs="Arial" w:eastAsia="Arial" w:hAnsi="Arial"/>
          <w:sz w:val="18"/>
          <w:szCs w:val="18"/>
          <w:color w:val="auto"/>
        </w:rPr>
        <w:t>. Our routing capabilities enabled by our automated technology to deliver on-time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appropriate destination.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Software-as-a-Service</w:t>
      </w:r>
    </w:p>
    <w:p>
      <w:pPr>
        <w:spacing w:after="0" w:line="169"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Our vertical-specific software leverages our payments platform to provide industry specific solutions and deliver “last mile” connectivity to our clients’ operating systems and their customers. Our applications address complex billing and domestic and cross-border payment processes, while delivering a near seamless payment experience. Additionally, our personalization engine, delivered as a software solution and leverages our AI and ML and deep analytics systems.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Application Programming Interface (API)</w:t>
      </w:r>
    </w:p>
    <w:p>
      <w:pPr>
        <w:spacing w:after="0" w:line="182"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We recently launched a direct public API that sits on top of our payments platform. For organizations of all sizes, from smaller businesses to larger enterprises who want to control the customer experience, we can expose our API for easy integration, significantly reducing the time to realize advantages from the use of our solution. This public API capability significantly enhances our ability to scale and to execute on our growth strategies.</w:t>
      </w:r>
    </w:p>
    <w:p>
      <w:pPr>
        <w:spacing w:after="0" w:line="136"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technology is designed for speed, resilience and reliability. We believe we demonstrated our ability to scale when we entered the broader B2B market and were able to leverage engineering solutions and APIs in our other verticals, including a native module integrated into NetSuite. Our technology enables us to process transactions in real-time, regardless of origin, destination or amount. For example, in education, our deep, customized integrations within our clients’ systems can lead to the difference between on-time enrollment or missed registrations—a difference that cannot be delivered through batch processes that are not posted instantaneously. We leverage Amazon Web Services (AWS) for our cloud redundancy, and tools such as Site24x7, Pingdom, Cloudflare, and PagerDuty for an uninterrupted experience for our clients.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Compliance and Risk Management Foundation</w:t>
      </w:r>
    </w:p>
    <w:p>
      <w:pPr>
        <w:spacing w:after="0" w:line="18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have a dedicated compliance and risk management function. We have implemented the practices to help us protect our business and assure our clients and payment partners that our processes are compliant and meet or exceed their exacting standards, including advanced and agile practices for risk governance and a monitoring program that leverages key data inputs and software. We have robust AML, suspicious activity reports (SARs) and client KYC procedures. We also devote considerable resources to our data and cyber security. In addition, we possess key certifications across the verticals we serve, which we believe is an important aspect of why our clients choose to work with us. These audit-tested certifications and risk program features, which in many cases apply with specificity to the verticals we serve, include: third party certifications for Service Organization Control 2 (both SOC 1, Type II and SOC 2, Type II), Payment Card Industry Data Security Standard (PCI DSS), and Americans with Disabilities Act (ADA) compliance, as well as systems and processes designed to ensure compliance with the General Data Protection Regulation (GDPR) in Europe, the Data Security Law (DSL) and Personal Information Protection Law (PIPL) in China, the California Consumer Protection Act (CCPA), the Personal Information Protection and Electronic Documents Act in Canada, Family Educational Rights and Privacy Act (FERPA), and Health Insurance Portability and Accountability Act (HIPAA), among others.</w:t>
      </w:r>
    </w:p>
    <w:p>
      <w:pPr>
        <w:spacing w:after="0" w:line="139"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Our experienced team, coupled with our advanced technology and software tools, helps us navigate the challenges of global payments in a compliant manner:</w:t>
      </w:r>
    </w:p>
    <w:p>
      <w:pPr>
        <w:spacing w:after="0" w:line="112" w:lineRule="exact"/>
        <w:rPr>
          <w:sz w:val="20"/>
          <w:szCs w:val="20"/>
          <w:color w:val="auto"/>
        </w:rPr>
      </w:pPr>
    </w:p>
    <w:p>
      <w:pPr>
        <w:ind w:left="900" w:right="20" w:hanging="263"/>
        <w:spacing w:after="0" w:line="270"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Local and global regulatory regimes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we are able to react nimbly to global and local regulatory changes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business.</w:t>
      </w:r>
    </w:p>
    <w:p>
      <w:pPr>
        <w:spacing w:after="0" w:line="126" w:lineRule="exact"/>
        <w:rPr>
          <w:rFonts w:ascii="Times New Roman" w:cs="Times New Roman" w:eastAsia="Times New Roman" w:hAnsi="Times New Roman"/>
          <w:sz w:val="18"/>
          <w:szCs w:val="18"/>
          <w:color w:val="auto"/>
        </w:rPr>
      </w:pPr>
    </w:p>
    <w:p>
      <w:pPr>
        <w:ind w:left="900" w:right="220"/>
        <w:spacing w:after="0" w:line="246" w:lineRule="auto"/>
        <w:rPr>
          <w:rFonts w:ascii="Times New Roman" w:cs="Times New Roman" w:eastAsia="Times New Roman" w:hAnsi="Times New Roman"/>
          <w:sz w:val="18"/>
          <w:szCs w:val="18"/>
          <w:color w:val="auto"/>
        </w:rPr>
      </w:pPr>
      <w:r>
        <w:rPr>
          <w:rFonts w:ascii="Arial" w:cs="Arial" w:eastAsia="Arial" w:hAnsi="Arial"/>
          <w:sz w:val="18"/>
          <w:szCs w:val="18"/>
          <w:color w:val="auto"/>
        </w:rPr>
        <w:t>Locally, we often work with licensed and regulated payment service providers (PSPs) to bring more familiar solutions to our clients’ customers and to leverage their regulatory insight. This insight can be a valuable tool to deliver differentiated services to our clients to help them stay in front of laws that may impact their business. For example, in India, we addressed new tax withholding requirements for our clients’ customers and deployed a solution to help with their education-related payments.</w:t>
      </w:r>
    </w:p>
    <w:p>
      <w:pPr>
        <w:spacing w:after="0" w:line="135" w:lineRule="exact"/>
        <w:rPr>
          <w:rFonts w:ascii="Times New Roman" w:cs="Times New Roman" w:eastAsia="Times New Roman" w:hAnsi="Times New Roman"/>
          <w:sz w:val="18"/>
          <w:szCs w:val="18"/>
          <w:color w:val="auto"/>
        </w:rPr>
      </w:pPr>
    </w:p>
    <w:p>
      <w:pPr>
        <w:ind w:left="900" w:right="260" w:hanging="263"/>
        <w:spacing w:after="0" w:line="252"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Currency controls and exemptions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robust controls to comply with the requirements of handling cross-border payments. For example, in certain jurisdictions where it is required, we are able to help track and prove purpose-driven payments through digital document collection and verification integrated with our clients’ systems.</w:t>
      </w:r>
    </w:p>
    <w:p>
      <w:pPr>
        <w:spacing w:after="0" w:line="129" w:lineRule="exact"/>
        <w:rPr>
          <w:rFonts w:ascii="Times New Roman" w:cs="Times New Roman" w:eastAsia="Times New Roman" w:hAnsi="Times New Roman"/>
          <w:sz w:val="18"/>
          <w:szCs w:val="18"/>
          <w:color w:val="auto"/>
        </w:rPr>
      </w:pPr>
    </w:p>
    <w:p>
      <w:pPr>
        <w:ind w:left="900" w:right="240" w:hanging="263"/>
        <w:spacing w:after="0" w:line="243"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Transaction-level risks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payments platform subjects payments to a series of controls, to mitigate the risk of facilitating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fraud, money laundering, or transactions subject to sanctions. Payment information, historical activity and user behavior are utilized to identify potentially fraudulent transactions. All payments are monitored for suspicious behavior consistent with money laundering or terrorist financing, and all alerted activity is investigated by our internal team of experienced analysts. We also screen sender and receiver information, along with geolocation data, against relevant international watch lists.</w:t>
      </w:r>
    </w:p>
    <w:p>
      <w:pPr>
        <w:spacing w:after="0" w:line="151" w:lineRule="exact"/>
        <w:rPr>
          <w:rFonts w:ascii="Times New Roman" w:cs="Times New Roman" w:eastAsia="Times New Roman" w:hAnsi="Times New Roman"/>
          <w:sz w:val="18"/>
          <w:szCs w:val="18"/>
          <w:color w:val="auto"/>
        </w:rPr>
      </w:pPr>
    </w:p>
    <w:p>
      <w:pPr>
        <w:ind w:left="900" w:right="60" w:hanging="263"/>
        <w:spacing w:after="0" w:line="246"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Dedicated, experienced and globally dispersed risk, information/physical security and internal audit function</w:t>
      </w:r>
      <w:r>
        <w:rPr>
          <w:rFonts w:ascii="Arial" w:cs="Arial" w:eastAsia="Arial" w:hAnsi="Arial"/>
          <w:sz w:val="18"/>
          <w:szCs w:val="18"/>
          <w:color w:val="auto"/>
        </w:rPr>
        <w:t>.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consistently maintained a dedicated risk and security team – led by our Chief Information Security Officer – that is global in nature and devises and supports Flywire’s strategy of risk reduction and business process and information protection excellence by assuring confidentiality, integrity and availability of</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left="900" w:right="80"/>
        <w:spacing w:after="0" w:line="252" w:lineRule="auto"/>
        <w:rPr>
          <w:sz w:val="20"/>
          <w:szCs w:val="20"/>
          <w:color w:val="auto"/>
        </w:rPr>
      </w:pPr>
      <w:r>
        <w:rPr>
          <w:rFonts w:ascii="Arial" w:cs="Arial" w:eastAsia="Arial" w:hAnsi="Arial"/>
          <w:sz w:val="18"/>
          <w:szCs w:val="18"/>
          <w:color w:val="auto"/>
        </w:rPr>
        <w:t>electronic information. We have also developed an internal audit program utilizing internal and external auditors focused on policies and processes, testing our controls, and reporting on a regular basis to our Audit Committee. Among the focal points are the risk and security program areas:</w:t>
      </w:r>
    </w:p>
    <w:p>
      <w:pPr>
        <w:spacing w:after="0" w:line="63" w:lineRule="exact"/>
        <w:rPr>
          <w:sz w:val="20"/>
          <w:szCs w:val="20"/>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risk mitigation through outreach, awareness, assessment, policy development and adoption of best practices;</w:t>
      </w:r>
    </w:p>
    <w:p>
      <w:pPr>
        <w:spacing w:after="0" w:line="11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building and maintaining secure access protocols and network architecture;</w:t>
      </w:r>
    </w:p>
    <w:p>
      <w:pPr>
        <w:spacing w:after="0" w:line="115" w:lineRule="exact"/>
        <w:rPr>
          <w:rFonts w:ascii="Times New Roman" w:cs="Times New Roman" w:eastAsia="Times New Roman" w:hAnsi="Times New Roman"/>
          <w:sz w:val="18"/>
          <w:szCs w:val="18"/>
          <w:color w:val="auto"/>
        </w:rPr>
      </w:pPr>
    </w:p>
    <w:p>
      <w:pPr>
        <w:ind w:left="1540" w:right="420" w:hanging="514"/>
        <w:spacing w:after="0" w:line="270" w:lineRule="auto"/>
        <w:tabs>
          <w:tab w:leader="none" w:pos="1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monitoring of networks and systems to protect against, detect and eradicate malicious activity and ensure regulatory compliance;</w:t>
      </w:r>
    </w:p>
    <w:p>
      <w:pPr>
        <w:spacing w:after="0" w:line="4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managing continuity of operations planning for critical information systems;</w:t>
      </w:r>
    </w:p>
    <w:p>
      <w:pPr>
        <w:spacing w:after="0" w:line="11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responding to security breaches to contain incidents and improve protocols;</w:t>
      </w:r>
    </w:p>
    <w:p>
      <w:pPr>
        <w:spacing w:after="0" w:line="115" w:lineRule="exact"/>
        <w:rPr>
          <w:rFonts w:ascii="Times New Roman" w:cs="Times New Roman" w:eastAsia="Times New Roman" w:hAnsi="Times New Roman"/>
          <w:sz w:val="18"/>
          <w:szCs w:val="18"/>
          <w:color w:val="auto"/>
        </w:rPr>
      </w:pPr>
    </w:p>
    <w:p>
      <w:pPr>
        <w:ind w:left="1540" w:right="80" w:hanging="514"/>
        <w:spacing w:after="0" w:line="270" w:lineRule="auto"/>
        <w:tabs>
          <w:tab w:leader="none" w:pos="1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“horizon scanning” and managing and enforcing compliance with global regulations (Sarbanes-Oxley, FERPA, HIPAA, GDPR, ADA and others);</w:t>
      </w:r>
    </w:p>
    <w:p>
      <w:pPr>
        <w:spacing w:after="0" w:line="4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managing physical security, health and safety (office, business travel and FlyMates);</w:t>
      </w:r>
    </w:p>
    <w:p>
      <w:pPr>
        <w:spacing w:after="0" w:line="11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and enforcing our vendor due diligence program; and</w:t>
      </w:r>
    </w:p>
    <w:p>
      <w:pPr>
        <w:spacing w:after="0" w:line="115" w:lineRule="exact"/>
        <w:rPr>
          <w:rFonts w:ascii="Times New Roman" w:cs="Times New Roman" w:eastAsia="Times New Roman" w:hAnsi="Times New Roman"/>
          <w:sz w:val="18"/>
          <w:szCs w:val="18"/>
          <w:color w:val="auto"/>
        </w:rPr>
      </w:pPr>
    </w:p>
    <w:p>
      <w:pPr>
        <w:ind w:left="1540" w:right="220" w:hanging="514"/>
        <w:spacing w:after="0" w:line="270" w:lineRule="auto"/>
        <w:tabs>
          <w:tab w:leader="none" w:pos="15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responding to external audits and law enforcement enquiries, conducting internal investigations, and maintaining audit-tested risk and security certifications.</w:t>
      </w:r>
    </w:p>
    <w:p>
      <w:pPr>
        <w:spacing w:after="0" w:line="127"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To support these areas of focus, our risk and security team has developed a foundation resting on an appropriate governance and policy structure, robust and scalable security architecture and solutions, and an expansive and continuous cyber security and incident response framework. In addition, we have FlyMates in the compliance and risk management function located around the world where we have operations to address the needs of the business in real-time.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1" w:lineRule="exact"/>
        <w:rPr>
          <w:sz w:val="20"/>
          <w:szCs w:val="20"/>
          <w:color w:val="auto"/>
        </w:rPr>
      </w:pPr>
    </w:p>
    <w:p>
      <w:pPr>
        <w:ind w:right="280" w:firstLine="509"/>
        <w:spacing w:after="0" w:line="252" w:lineRule="auto"/>
        <w:rPr>
          <w:sz w:val="20"/>
          <w:szCs w:val="20"/>
          <w:color w:val="auto"/>
        </w:rPr>
      </w:pPr>
      <w:r>
        <w:rPr>
          <w:rFonts w:ascii="Arial" w:cs="Arial" w:eastAsia="Arial" w:hAnsi="Arial"/>
          <w:sz w:val="18"/>
          <w:szCs w:val="18"/>
          <w:color w:val="auto"/>
        </w:rPr>
        <w:t>Our primary competition consists of legacy payment methods such as traditional bank wires provided by local, regional and global banks and money transfers from remittance companies. Other competitors include integrated payment providers focused on cross-border payments; B2B payments platforms; and vertical-specific software solutions offered by local niche players.</w:t>
      </w:r>
    </w:p>
    <w:p>
      <w:pPr>
        <w:spacing w:after="0" w:line="144"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We believe many legacy payment providers are hindered by limitations such as antiquated technology systems, insufficient solution and service offerings, poor user experiences, and unsatisfactory client and customer support. Our modern technology stack, combined with our innovative and flexible suite of solutions, addresses many of the issues that clients face today, including:</w:t>
      </w:r>
    </w:p>
    <w:p>
      <w:pPr>
        <w:spacing w:after="0" w:line="130" w:lineRule="exact"/>
        <w:rPr>
          <w:sz w:val="20"/>
          <w:szCs w:val="20"/>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friction in client and customer experiences;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lack of a scaled global network;</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limited software and payments offerings;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adapt to new technology; and</w:t>
      </w:r>
    </w:p>
    <w:p>
      <w:pPr>
        <w:spacing w:after="0" w:line="183" w:lineRule="exact"/>
        <w:rPr>
          <w:rFonts w:ascii="Times New Roman" w:cs="Times New Roman" w:eastAsia="Times New Roman" w:hAnsi="Times New Roman"/>
          <w:sz w:val="18"/>
          <w:szCs w:val="18"/>
          <w:color w:val="auto"/>
        </w:rPr>
      </w:pPr>
    </w:p>
    <w:p>
      <w:pPr>
        <w:ind w:left="520" w:right="5280" w:firstLine="117"/>
        <w:spacing w:after="0" w:line="479" w:lineRule="auto"/>
        <w:tabs>
          <w:tab w:leader="none" w:pos="895"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unsophisticated fraud prevention and risk management tools. We believe that we compete favorably on the basis of these factors.</w:t>
      </w:r>
    </w:p>
    <w:p>
      <w:pPr>
        <w:spacing w:after="0"/>
        <w:rPr>
          <w:sz w:val="20"/>
          <w:szCs w:val="20"/>
          <w:color w:val="auto"/>
        </w:rPr>
      </w:pPr>
      <w:r>
        <w:rPr>
          <w:rFonts w:ascii="Arial" w:cs="Arial" w:eastAsia="Arial" w:hAnsi="Arial"/>
          <w:sz w:val="18"/>
          <w:szCs w:val="18"/>
          <w:b w:val="1"/>
          <w:bCs w:val="1"/>
          <w:color w:val="auto"/>
        </w:rPr>
        <w:t>Intellectual Property</w:t>
      </w:r>
    </w:p>
    <w:p>
      <w:pPr>
        <w:spacing w:after="0" w:line="17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protect our intellectual property through a combination of trademark, copyright, and trade secret laws, as well as confidentiality procedures and contractual restrictions, to establish and protect our proprietary rights both domestically and abroad. These laws, procedures and restrictions provide only limited protection. We endeavor to enter into agreements with our FlyMates, consultants and contractors and with parties with whom we do business in order to acquire intellectual property rights developed as a result of service to Flywire, as well as to limit access to and disclosure of our proprietary information.</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We actively pursue registration of our trademarks, logos, service marks, trade dress, and domain names in the United States and in other jurisdictions. As of December 31, 2023, we had 118 registered trademarks and trademark applications, and were the registered holder of a variety of U.S. and international domain names.</w:t>
      </w:r>
    </w:p>
    <w:p>
      <w:pPr>
        <w:spacing w:after="0" w:line="144" w:lineRule="exact"/>
        <w:rPr>
          <w:sz w:val="20"/>
          <w:szCs w:val="20"/>
          <w:color w:val="auto"/>
        </w:rPr>
      </w:pPr>
    </w:p>
    <w:p>
      <w:pPr>
        <w:ind w:right="160" w:firstLine="509"/>
        <w:spacing w:after="0" w:line="301" w:lineRule="auto"/>
        <w:rPr>
          <w:sz w:val="20"/>
          <w:szCs w:val="20"/>
          <w:color w:val="auto"/>
        </w:rPr>
      </w:pPr>
      <w:r>
        <w:rPr>
          <w:rFonts w:ascii="Arial" w:cs="Arial" w:eastAsia="Arial" w:hAnsi="Arial"/>
          <w:sz w:val="17"/>
          <w:szCs w:val="17"/>
          <w:color w:val="auto"/>
        </w:rPr>
        <w:t>From time to time, we also incorporate certain intellectual property licensed from third parties. Even if any such third-party technology was not available to us on commercially reasonable terms, we believe that alternative technologies would be available as needed.</w:t>
      </w:r>
    </w:p>
    <w:p>
      <w:pPr>
        <w:spacing w:after="0" w:line="90"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For additional information about our intellectual property and associated risks, see the section titled “Risk Factors–If we fail to adequately protect our proprietary rights, our competitive position could be impaired and we may lose valuable assets, generate less revenue and incur costly litigation to protect our rights.”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Regulation and Industry Standards</w:t>
      </w:r>
    </w:p>
    <w:p>
      <w:pPr>
        <w:spacing w:after="0" w:line="184"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Various aspects of our business and service areas operate in a quickly evolving regulatory environment, and are subject to U.S. federal, state, and local regulation, as well as regulation outside the United States. Certain of our services also are subject to rules promulgated by various card networks and other authorities, as more fully described below. These descriptions are not exhaustive, and these laws, regulations and rules frequently change, are subject to differing interpretations or enforcement, and are increasing in number.</w:t>
      </w:r>
    </w:p>
    <w:p>
      <w:pPr>
        <w:spacing w:after="0" w:line="136"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We are registered as a Money Service Business (MSB) with the U.S. Department of the Treasury’s Financial Crimes Enforcement Network (FinCEN) and are subject to the Bank Secrecy Act of 1970, as amended by the USA PATRIOT Act of 2001, and its implementing regulations, collectively, the BSA, and certain obligations contained therein, including, among other things, certain record-keeping and reporting requirements, and examinations by FinCEN.</w:t>
      </w:r>
    </w:p>
    <w:p>
      <w:pPr>
        <w:spacing w:after="0" w:line="136"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The BSA is the primary compendium of U.S. laws and regulations regarding AML and countering the financing of terrorism (CFT). As required under the BSA, we have implemented and continue to expand an AML and CFT program designed to prevent our payments platform from being used to facilitate money laundering, terrorist financing, and other financial crimes. Our program is also designed to prevent our payments platform and global payment network from being used to facilitate business with certain individuals, entities, countries, and territories that are subject to economic or trade sanctions that the U.S. Department of the Treasury’s Office of Foreign Assets Controls (OFAC) and various foreign authorities administer or enforce. Our AML and CFT compliance programs include policies, procedures, and controls that are designed to address these legal and regulatory requirements and to assist in detecting and preventing the use of our payments platform to engage in money laundering or terrorist financing activity. Program elements include, without limitation, the designation of a BSA/AML Officer to oversee the programs, KYC procedures, processes to detect and report suspicious activity, sanctions screening, employee training, annual third-party independent testing, and risk-based procedures for conducting ongoing customer due diligence.</w:t>
      </w:r>
    </w:p>
    <w:p>
      <w:pPr>
        <w:spacing w:after="0" w:line="14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If our compliance programs are found to be deficient, we could lose key relationships with banks, merchant acquirers, and other payment partners on which we rely to carry out our business. Fines, penalties or sanctions for the violation of AML and CFT laws and regulations may be severe and our efforts to remediate issues may be costly, may result in diversion of management and staff time and effort, and may still not guarantee compliance. In 2023, in the course of implementing geolocation data-based sanctions screening measures, we identified certain payments which, based on geolocation data, appear to have been initiated from Cuba, Iran, or Syria, in potential violation of applicable sanctions regimes. We have made a voluntary submission to OFAC to report the potential violations. Although the internal investigation completed to date suggests that any loss incurred as a result of this matter would not be material to our business, if OFAC ultimately concludes a violation has occurred, it could result in penalties, fines, costs, and restrictions on our ability to do business, which could also harm our operating results.</w:t>
      </w:r>
    </w:p>
    <w:p>
      <w:pPr>
        <w:spacing w:after="0" w:line="14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Most states in the United States require a license to offer money transmission services. We are in the process of procuring money transmitter licenses (or the statutory equivalent) in those U.S. jurisdictions that require them in order to be able to offer additional business lines in the future. We have procured and maintain money transmitter licenses in 42 U.S. jurisdictions, and actively work to comply with new license requirements as they arise. We have taken the position that Flywire’s business to date is exempt from licensure under various state money transmission laws, either expressly as a payment processor or agent of the payee, or pursuant to common law as an agent of the payee. We actively work to evaluate, and if applicable, comply with new license or regulatory requirements as they arise. Although we believe we have defensible arguments in support of our positions under the state money transmission statutes, we have not expressly obtained confirmation of such positions from all of the state banking departments who administer the state money transmission statutes. It is possible that certain state banking departments may determine that our activities are not exempt from licensure. In the past, certain competitors have been found to violate laws and regulations related to</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money transmission, and they have been subject to fines and other penalties by regulatory authorities. Regulators and third-party auditors have also identified gaps in how similar businesses have implemented AML and CFT programs. The adoption of new money transmitter or MSB statutes, or changes in regulators’ interpretation of existing state and federal money transmitter or MSB statutes or regulations, could subject Flywire to new registration, licensing or other requirements. Any determination that Flywire is in fact required to be licensed under such state money transmission or MSB statutes may require substantial expenditures of time and money and could lead to liability in the nature of penalties or fines, as well as cause us to be required to cease operations in some of the U.S. jurisdictions we serve.</w:t>
      </w:r>
    </w:p>
    <w:p>
      <w:pPr>
        <w:spacing w:after="0" w:line="155"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With respect to the money transmission licenses we maintain in U.S. jurisdictions, we are subjected to, among other things, record-keeping requirements, reporting requirements, bonding requirements, limitations on the investment of customer funds, and examination by state regulatory agencies. Any actual or perceived failure to comply with legal and regulatory requirements related to our money transmitter licenses may result in, among other things, revocation of required licenses, regulatory or governmental investigations, administrative enforcement actions, civil and criminal liability, and constraints on our ability to continue to operate.</w:t>
      </w:r>
    </w:p>
    <w:p>
      <w:pPr>
        <w:spacing w:after="0" w:line="13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Similar regulatory requirements exist in other markets where we do business. For example, local Flywire entities are licensed as Authorised Payments Institutions in each of the United Kingdom (U.K.) (regulated by the Financial Conduct Authority (FCA)) and Lithuania (regulated by the Bank of Lithuania (BOL)), and Australia (regulated by the Australian Securities &amp; Investments Commission (ASIC)). In addition, we have secured approval for a Major Payment Institution license from the Monetary Authority of Singapore (MAS), and in Canada we are registered as an MSB with the Financial Transactions and Reports Analysis Centre of Canada. We are also registered as a foreign Electronic System Organizer in Indonesia. When serving clients in these regulated markets, we are generally required to implement governance structures, AML and CFT programs and KYC standards that are different from those in the U.S., and which incorporate local or European Economic Area (EEA) requirements. The FCA in particular has been an active regulator, and as a result of Brexit, we were able to both obtain a license from the BOL and continue to serve our EEA clients through the “passporting” principle without any interruption of service. In other non-U.S. markets, we are able to serve clients in locations that either do not require Flywire to obtain a license or pursuant to a specific exemption issued by the applicable regulator.</w:t>
      </w:r>
    </w:p>
    <w:p>
      <w:pPr>
        <w:spacing w:after="0" w:line="14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several jurisdictions where our clients’ customers reside impose currency export controls (e.g., China and India), taxation at source or other documentation requirements before money can be converted into destination currency and sent abroad. Generally, our local payment partners in these locations will assist in ensuring the customers meet these requirements, but it is often the case that we need to ensure that the Flywire payment experience accommodates the unique and ever-changing regulatory environments where our clients’ customers are located.</w:t>
      </w:r>
    </w:p>
    <w:p>
      <w:pPr>
        <w:spacing w:after="0" w:line="15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There are also a number of U.S. federal and state consumer finance and consumer protection laws that may impact Flywire’s business. States have a myriad of statutes and case law precedent addressing when credit card surcharges or convenience fees may be imposed by third-party service providers and under what circumstances they are prohibited. In addition, Dodd-Frank created the Consumer Financial Protection Bureau (CFPB), which has assumed responsibility for implementing and enforcing most federal consumer financial protection laws and a prohibition on unfair, deceptive and abusive acts and practices. Several of these laws apply to some of Flywire’s clients, and in some cases, Flywire is contractually obligated to ensure its services do not violate these laws, even though Flywire is not directly subject to them. For example, the Truth in Lending Act of 1968 (TILA) is a U.S. federal law that applies to creditors and is designed to promote the informed use of consumer credit. Although Flywire is not in the business of extending credit or charging interest on the payments it helps its clients collect, when Flywire clients extend credit subject to TILA, TILA may require our clients to provide disclosures to their customers about consumer credit terms and costs in a format specified by the CFPB. Our payment installment plan functionality utilized by our clients in healthcare and education often requires that our payment experience accommodate these disclosure obligations that attach to our clients. Our business may also be subject to the Fair Credit Reporting Act (FCRA) which regulates the use and reporting of consumer credit information and imposes disclosure requirements on entities that take adverse action based on information obtained from credit reporting agencies. We could be liable if our practices governed under the FCRA are not in compliance with the FCRA or its regulations.</w:t>
      </w:r>
    </w:p>
    <w:p>
      <w:pPr>
        <w:spacing w:after="0" w:line="14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Electronic Fund Transfer Act (EFTA) also imposes substantive disclosure and error resolution obligations on entities that facilitate electronic fund transfers and international remittance transfers. We could be liable for violating EFTA if we fail to comply with these requirements when they apply to us. We do not believe other laws that are implemented by the CFPB, including the Equal Credit Opportunity Act and the Fair Debt Collection Practices Act apply to us. If these determinations are wrong, interpretations of these statutes change, or we expand or change our solutions, we may be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subject to the restrictions imposed by these laws. Should our business or solutions change in a way that did subject us to the CFPB’s jurisdiction, we would be subject to increased scrutiny of our business and consumer compliance practices.</w:t>
      </w:r>
    </w:p>
    <w:p>
      <w:pPr>
        <w:spacing w:after="0" w:line="126"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Separately, the Telephone Consumer Protection Act of 1991 (TCPA) and similar state and federal laws contain extensive rules relating to communication by telephone, such as detailed requirements relating to granting and revocation of consent and “opt-in” or “opt-out” thresholds for receipt of communications, and these requirements are often changing and the subject of high-profile litigation. Our services include features regulated by the TCPA and similar laws (e.g., calls made from automated dialing systems, texts confirming receipt of payment, status updates or due dates, appointment reminders) and we can be liable for penalties, or subject to litigation or contractual indemnification obligations, if we do not comply with them.</w:t>
      </w:r>
    </w:p>
    <w:p>
      <w:pPr>
        <w:spacing w:after="0" w:line="142"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Flywire is also required to navigate card network rules and other requirements of self-regulatory organizations, such as ACH payment networks. We rely on our varied network of merchant acquirer relationships to access the payment card networks such as Visa and Mastercard, which enable our acceptance of credit cards and debit cards. We pay fees to our merchant acquirers for such services.</w:t>
      </w:r>
    </w:p>
    <w:p>
      <w:pPr>
        <w:spacing w:after="0" w:line="13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Visa, Mastercard and other card networks set complex and evolving rules and standards with which we must comply—often referred to as “card network rules”. We also have relationships with American Express, Japan Credit Bureau (JCB) and China Unionpay, which impose similar obligations on us. The payment networks and their member financial institutions routinely update, generally expand and modify requirements applicable to merchant acquirers and their customers, including rules regulating data integrity, third-party relationships, merchant chargeback standards and compliance with the PCI DSS. PCI DSS is a set of requirements designed to ensure that all companies that process, store, or transmit payment card information maintain a secure environment to protect cardholder data. Under certain circumstances, we are required to report incidents to the card networks and other authorities within a specified time frame. Any changes in card network rules or standards that increase the cost of doing business or limit our ability to provide processing services to our merchants will adversely affect the operation of our business.</w:t>
      </w:r>
    </w:p>
    <w:p>
      <w:pPr>
        <w:spacing w:after="0" w:line="154" w:lineRule="exact"/>
        <w:rPr>
          <w:sz w:val="20"/>
          <w:szCs w:val="20"/>
          <w:color w:val="auto"/>
        </w:rPr>
      </w:pPr>
    </w:p>
    <w:p>
      <w:pPr>
        <w:ind w:right="460" w:firstLine="509"/>
        <w:spacing w:after="0" w:line="243" w:lineRule="auto"/>
        <w:rPr>
          <w:sz w:val="20"/>
          <w:szCs w:val="20"/>
          <w:color w:val="auto"/>
        </w:rPr>
      </w:pPr>
      <w:r>
        <w:rPr>
          <w:rFonts w:ascii="Arial" w:cs="Arial" w:eastAsia="Arial" w:hAnsi="Arial"/>
          <w:sz w:val="18"/>
          <w:szCs w:val="18"/>
          <w:color w:val="auto"/>
        </w:rPr>
        <w:t>If we or our merchant acquirers fail to comply with the card network rules or other applicable rules and requirements of the card payment networks, Visa or Mastercard or our other card providers could suspend or terminate our registration. Further, our transaction processing capabilities, including with respect to settlement processes, could be delayed or otherwise disrupted, and recurring non-compliance could result in the payment networks seeking to fine us, or suspend or terminate our registrations which allow us to process transactions on their networks, which would make it impossible for us to conduct our business on its current scale.</w:t>
      </w:r>
    </w:p>
    <w:p>
      <w:pPr>
        <w:spacing w:after="0" w:line="139"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Under certain circumstances specified in the card network rules,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or other cybersecurity incident.</w:t>
      </w:r>
    </w:p>
    <w:p>
      <w:pPr>
        <w:spacing w:after="0" w:line="136" w:lineRule="exact"/>
        <w:rPr>
          <w:sz w:val="20"/>
          <w:szCs w:val="20"/>
          <w:color w:val="auto"/>
        </w:rPr>
      </w:pPr>
    </w:p>
    <w:p>
      <w:pPr>
        <w:jc w:val="both"/>
        <w:ind w:right="180" w:firstLine="509"/>
        <w:spacing w:after="0" w:line="246" w:lineRule="auto"/>
        <w:rPr>
          <w:sz w:val="20"/>
          <w:szCs w:val="20"/>
          <w:color w:val="auto"/>
        </w:rPr>
      </w:pPr>
      <w:r>
        <w:rPr>
          <w:rFonts w:ascii="Arial" w:cs="Arial" w:eastAsia="Arial" w:hAnsi="Arial"/>
          <w:sz w:val="18"/>
          <w:szCs w:val="18"/>
          <w:color w:val="auto"/>
        </w:rPr>
        <w:t>The termination of our registration with the payment networks, or any changes in payment network or issuer rules that limit our ability to provide card payment alternatives to our clients’ customers could have an adverse effect on our payment processing volumes, revenues and operating costs. If we are unable to comply with the requirements applicable to our settlement activities, the payment networks may no longer allow us to provide these services and we would lose a substantial portion of our revenues.</w:t>
      </w:r>
    </w:p>
    <w:p>
      <w:pPr>
        <w:spacing w:after="0" w:line="14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are also subject to the National Automated Clearing House Association (NACHA) operating rules.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particularly when we instruct our partner institutions to debit a third party’s account. These obligations include audit and oversight by the financial institutions and the imposition of mandatory corrective action, including termination, for serious violations. If an audit or self-assessment of PCI DSS or NACHA compliance identifies any deficiencies that we need to remediate, the remediation efforts may distract our management team and other staff and be expensive and time consuming.</w:t>
      </w:r>
    </w:p>
    <w:p>
      <w:pPr>
        <w:spacing w:after="0" w:line="142"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Similarly, our ACH sponsor banks have the right to audit our compliance with NACHA’s rules and guidelines and are given wide discretion to approve certain aspects of our business practices. Like the payment networks, NACHA may update its operating rules and guidelines at any time, which could require us to take more costly compliance measures or to develop more complex monitoring systems. The NACHA rules permit transactions to be returned under certain circumstances. If too many of our transactions are returned, our ability to access the ACH system could be impaired by our partner financial institutions. Our partner financial institutions could similarly change their interpretation of NACHA</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requirements, which could require costly remediation efforts and could prevent us from continuing to provide services through such partner financial institutions until we remediate issues to their satisfaction.</w:t>
      </w:r>
    </w:p>
    <w:p>
      <w:pPr>
        <w:spacing w:after="0" w:line="126"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We collect and use a wide variety of information (including personal information) for various purposes in our business, including: (i) to help ensure the integrity of our services, (ii) to meet KYC, transaction monitoring, AML and CFT standards, and (iii) to provide features and functionality to our clients and their customers. This aspect of our business, including the collection, use, disclosure, and protection of personal information we acquire in connection with the use of our services, is subject to numerous laws and regulations in the United States and globally. Regulation and proposed regulation in this area has increased significantly in recent years and is expected to continue to do so.</w:t>
      </w:r>
    </w:p>
    <w:p>
      <w:pPr>
        <w:spacing w:after="0" w:line="124"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In addition to numerous privacy and data protection laws already in place, U.S. states are increasingly adopting laws modeled on the GDPR that impose comprehensive privacy and data protection obligations. For example, the CCPA, which became effective on January 1, 2020, gives California residents expanded rights to access and delete their personal information, opt out of certain personal information sharing and receive detailed information about how their personal information is used, and it imposes other requirements as well. The CCPA provides for civil penalties for violations, as well as a private right of action for data breaches. Colorado, Virginia, Utah and Oregon have recently joined California in enacting privacy and data protection legislation that impose additional obligations on businesses related to the collection, storage and utilization of third party information, as well as the reporting of data breaches. All 50 states, Puerto Rico, and the U.S. Virgin Islands (similar to many of the other countries where we do business), have passed laws regulating the actions that a business must take if it experiences a data breach, such as prompt disclosure to affected individuals, consumer reporting agencies, or governmental agencies. In addition, we are subject to laws in the U.S. and abroad restricting or placing conditions on our ability to collect and utilize certain specific types of information, such as Social Security and driver’s license numbers.</w:t>
      </w:r>
    </w:p>
    <w:p>
      <w:pPr>
        <w:spacing w:after="0" w:line="14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Many of the foreign jurisdictions where we or our customers do business, including the European Union (E.U.), have laws and regulations dealing with the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Flywire has multiple offices in Europe and serves clients and their customers throughout the E.U., where GDPR went into effect in 2018. The GDPR, which also is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Fines of up to 20 million Euros or up to 4% of the annual global revenue of a noncompliant corporate family, whichever is greater, could be imposed for violations of certain of the GDPR’s requirements, and private claims also are possible.</w:t>
      </w:r>
    </w:p>
    <w:p>
      <w:pPr>
        <w:spacing w:after="0" w:line="156"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 xml:space="preserve">Recent legal developments have created compliance uncertainty regarding some transfers of personal information from the U.K. and EEA to locations where we or our customers operate or conduct business, including the United States and potentially Singapore. Under the GDPR, such transfers can take place only if certain conditions apply or if certain data transfer mechanisms are in place. In July 2020, the Court of Justice of the E.U.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the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customers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related enforcement actions or other legal developments in this area could subject us to negative financial consequences, such as fines, penalties, loss of customers, and the need to engage in costly restructuring of our business and IT operations and restructuring of our relationships with service providers and other partners.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w:t>
      </w:r>
    </w:p>
    <w:p>
      <w:pPr>
        <w:spacing w:after="0" w:line="15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China passed its DSL and its PIPL in 2021. Both new laws impact every business operating in or doing business with China, coupling extensive obligations with respect to the processing of all types of data, with potentially significant penalties for noncompliance. With the promulgation of the DSL and PIPL, China has tightened up regulation on collection, processing, sharing and cross-border transfer of personal data and important data such as financial data. The data security regime has an extraterritorial effect and imposes additional compliance obligations with respect to processing (in and outside China) of personal data of Chinese individuals and other data which may be viewed sensitive or important. These regulations apply not only to our client’s payers who are Chinese nationals (such as students seeking to study abroad) but also China-based employees as well as third party business partners.</w:t>
      </w:r>
    </w:p>
    <w:p>
      <w:pPr>
        <w:spacing w:after="0" w:line="142"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As a reaction to data security concerns, the Australian parliament, in 2022,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spacing w:after="0" w:line="142" w:lineRule="exact"/>
        <w:rPr>
          <w:sz w:val="20"/>
          <w:szCs w:val="20"/>
          <w:color w:val="auto"/>
        </w:rPr>
      </w:pPr>
    </w:p>
    <w:p>
      <w:pPr>
        <w:ind w:right="200" w:firstLine="509"/>
        <w:spacing w:after="0" w:line="252"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the PIPL and Australian data security laws but cannot assure you that such steps will be effective, and we may face the risk of increased costs, liability and loss of business.</w:t>
      </w:r>
    </w:p>
    <w:p>
      <w:pPr>
        <w:spacing w:after="0" w:line="14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There are also regulations that require that access to websites be safe and accessible for people with disabilities. The ADA contains certain standards (most commonly referred to as Section 508 Standards) that apply to federal government websites as well as to websites that may be provided by institutions that are recipients of federal funding. Many of our clients (principally higher education clients in the U.S.) receive support from U.S. federal agencies, and require that our payment experience be accessible and conform to the Section 508 Standards and the World Wide Web Consortium (W3C) Web Content Accessibility Guidelines 2.0 Level AA. Our payment experience is ADA-compliant, and we arrange for third-party audits to ensure that we continually conform to these standards. As we modify our user interface to improve or add features and functionality to our payment experience, we must continue to account for ADA compliance when required.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and Employees</w:t>
      </w:r>
    </w:p>
    <w:p>
      <w:pPr>
        <w:spacing w:after="0" w:line="171"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As of December 31, 2023, we had approximately 1,200 full-time FlyMates. We also engage part-time and temporary FlyMates, as well as consultants as needed to support our operations. As an organization, our culture is founded on our shared experiences, unique and diverse backgrounds, and belief in our mission to deliver on the most important and complex payments. Our leadership team defines our culture and strategy and collectively has decades of experience leading companies through rapid growth at scale.</w:t>
      </w:r>
    </w:p>
    <w:p>
      <w:pPr>
        <w:spacing w:after="0" w:line="14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None of our FlyMates are represented by a labor union or covered by a collective bargaining agreement. We have not experienced any work stoppages and we consider our relations with our FlyMates to be good.</w:t>
      </w:r>
    </w:p>
    <w:p>
      <w:pPr>
        <w:spacing w:after="0" w:line="112" w:lineRule="exact"/>
        <w:rPr>
          <w:sz w:val="20"/>
          <w:szCs w:val="20"/>
          <w:color w:val="auto"/>
        </w:rPr>
      </w:pPr>
    </w:p>
    <w:p>
      <w:pPr>
        <w:ind w:right="240" w:firstLine="509"/>
        <w:spacing w:after="0" w:line="274"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FlyMates. The principal purposes of our equity incentive plans are to attract, retain and motivate selected FlyMates, consultants and directors through the granting of stock-based compensation awards and cash-based performance bonus awards.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Values</w:t>
      </w:r>
    </w:p>
    <w:p>
      <w:pPr>
        <w:spacing w:after="0" w:line="184" w:lineRule="exact"/>
        <w:rPr>
          <w:sz w:val="20"/>
          <w:szCs w:val="20"/>
          <w:color w:val="auto"/>
        </w:rPr>
      </w:pPr>
    </w:p>
    <w:p>
      <w:pPr>
        <w:ind w:right="720" w:firstLine="509"/>
        <w:spacing w:after="0" w:line="271" w:lineRule="auto"/>
        <w:rPr>
          <w:sz w:val="20"/>
          <w:szCs w:val="20"/>
          <w:color w:val="auto"/>
        </w:rPr>
      </w:pPr>
      <w:r>
        <w:rPr>
          <w:rFonts w:ascii="Arial" w:cs="Arial" w:eastAsia="Arial" w:hAnsi="Arial"/>
          <w:sz w:val="18"/>
          <w:szCs w:val="18"/>
          <w:color w:val="auto"/>
        </w:rPr>
        <w:t>At Flywire, we commit to encourage and reward behaviors that are consistent with our culture, which is founded on our shared experiences, unique and diverse backgrounds, and belief in our mission to deliver on the most important and</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complex payments. We seek to hold each other accountable when behaviors do not support the culture we aspire to. Our values include:</w:t>
      </w:r>
    </w:p>
    <w:p>
      <w:pPr>
        <w:spacing w:after="0" w:line="103" w:lineRule="exact"/>
        <w:rPr>
          <w:sz w:val="20"/>
          <w:szCs w:val="20"/>
          <w:color w:val="auto"/>
        </w:rPr>
      </w:pPr>
    </w:p>
    <w:p>
      <w:pPr>
        <w:jc w:val="both"/>
        <w:ind w:left="1020" w:right="160" w:hanging="504"/>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Collaboration. </w:t>
      </w:r>
      <w:r>
        <w:rPr>
          <w:rFonts w:ascii="Arial" w:cs="Arial" w:eastAsia="Arial" w:hAnsi="Arial"/>
          <w:sz w:val="18"/>
          <w:szCs w:val="18"/>
          <w:color w:val="auto"/>
        </w:rPr>
        <w:t>We believe in teamwork and that together we are greater than the sum of individual FlyMates, across</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location and position. We seek to understand and embrace everyone’s uniqueness, and leverage the power of our FlyMates and clients’ and their customers’ cultural differences and perspectives to create value.</w:t>
      </w:r>
    </w:p>
    <w:p>
      <w:pPr>
        <w:spacing w:after="0" w:line="61" w:lineRule="exact"/>
        <w:rPr>
          <w:rFonts w:ascii="Times New Roman" w:cs="Times New Roman" w:eastAsia="Times New Roman" w:hAnsi="Times New Roman"/>
          <w:sz w:val="18"/>
          <w:szCs w:val="18"/>
          <w:color w:val="auto"/>
        </w:rPr>
      </w:pPr>
    </w:p>
    <w:p>
      <w:pPr>
        <w:ind w:left="1020" w:right="100" w:hanging="504"/>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Authenticity. </w:t>
      </w:r>
      <w:r>
        <w:rPr>
          <w:rFonts w:ascii="Arial" w:cs="Arial" w:eastAsia="Arial" w:hAnsi="Arial"/>
          <w:sz w:val="18"/>
          <w:szCs w:val="18"/>
          <w:color w:val="auto"/>
        </w:rPr>
        <w:t>We value integrity, honesty, and kindness. We believe in staying true to oneself, being courageous enough to</w:t>
      </w:r>
      <w:r>
        <w:rPr>
          <w:rFonts w:ascii="Arial" w:cs="Arial" w:eastAsia="Arial" w:hAnsi="Arial"/>
          <w:sz w:val="18"/>
          <w:szCs w:val="18"/>
          <w:b w:val="1"/>
          <w:bCs w:val="1"/>
          <w:color w:val="auto"/>
        </w:rPr>
        <w:t xml:space="preserve"> </w:t>
      </w:r>
      <w:r>
        <w:rPr>
          <w:rFonts w:ascii="Arial" w:cs="Arial" w:eastAsia="Arial" w:hAnsi="Arial"/>
          <w:sz w:val="18"/>
          <w:szCs w:val="18"/>
          <w:color w:val="auto"/>
        </w:rPr>
        <w:t>share your voice and humble enough to admit when you are wrong. Above all, we strive for sincerity and encourage both giving and receiving feedback.</w:t>
      </w:r>
    </w:p>
    <w:p>
      <w:pPr>
        <w:spacing w:after="0" w:line="61" w:lineRule="exact"/>
        <w:rPr>
          <w:rFonts w:ascii="Times New Roman" w:cs="Times New Roman" w:eastAsia="Times New Roman" w:hAnsi="Times New Roman"/>
          <w:sz w:val="18"/>
          <w:szCs w:val="18"/>
          <w:color w:val="auto"/>
        </w:rPr>
      </w:pPr>
    </w:p>
    <w:p>
      <w:pPr>
        <w:ind w:left="1020" w:hanging="504"/>
        <w:spacing w:after="0" w:line="246"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Fulfillment. </w:t>
      </w:r>
      <w:r>
        <w:rPr>
          <w:rFonts w:ascii="Arial" w:cs="Arial" w:eastAsia="Arial" w:hAnsi="Arial"/>
          <w:sz w:val="18"/>
          <w:szCs w:val="18"/>
          <w:color w:val="auto"/>
        </w:rPr>
        <w:t>We recognize that fulfillment comes from personal and professional satisfaction, from bringing our whole selves to</w:t>
      </w:r>
      <w:r>
        <w:rPr>
          <w:rFonts w:ascii="Arial" w:cs="Arial" w:eastAsia="Arial" w:hAnsi="Arial"/>
          <w:sz w:val="18"/>
          <w:szCs w:val="18"/>
          <w:b w:val="1"/>
          <w:bCs w:val="1"/>
          <w:color w:val="auto"/>
        </w:rPr>
        <w:t xml:space="preserve"> </w:t>
      </w:r>
      <w:r>
        <w:rPr>
          <w:rFonts w:ascii="Arial" w:cs="Arial" w:eastAsia="Arial" w:hAnsi="Arial"/>
          <w:sz w:val="18"/>
          <w:szCs w:val="18"/>
          <w:color w:val="auto"/>
        </w:rPr>
        <w:t>work. It is understanding what ignites our individual passions and gets us excited, while being inclusive and knowing that this is different for everyone. We believe that by engaging with the wider community, giving back and contributing, our greater purpose is fulfilled.</w:t>
      </w:r>
    </w:p>
    <w:p>
      <w:pPr>
        <w:spacing w:after="0" w:line="67" w:lineRule="exact"/>
        <w:rPr>
          <w:rFonts w:ascii="Times New Roman" w:cs="Times New Roman" w:eastAsia="Times New Roman" w:hAnsi="Times New Roman"/>
          <w:sz w:val="18"/>
          <w:szCs w:val="18"/>
          <w:color w:val="auto"/>
        </w:rPr>
      </w:pPr>
    </w:p>
    <w:p>
      <w:pPr>
        <w:jc w:val="both"/>
        <w:ind w:left="1020" w:right="120" w:hanging="504"/>
        <w:spacing w:after="0" w:line="300"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Execution. </w:t>
      </w:r>
      <w:r>
        <w:rPr>
          <w:rFonts w:ascii="Arial" w:cs="Arial" w:eastAsia="Arial" w:hAnsi="Arial"/>
          <w:sz w:val="17"/>
          <w:szCs w:val="17"/>
          <w:color w:val="auto"/>
        </w:rPr>
        <w:t>We aim to take calculated, sensible risks and make smart decisions quickly to accomplish our objectives. We are</w:t>
      </w:r>
      <w:r>
        <w:rPr>
          <w:rFonts w:ascii="Arial" w:cs="Arial" w:eastAsia="Arial" w:hAnsi="Arial"/>
          <w:sz w:val="17"/>
          <w:szCs w:val="17"/>
          <w:b w:val="1"/>
          <w:bCs w:val="1"/>
          <w:color w:val="auto"/>
        </w:rPr>
        <w:t xml:space="preserve"> </w:t>
      </w:r>
      <w:r>
        <w:rPr>
          <w:rFonts w:ascii="Arial" w:cs="Arial" w:eastAsia="Arial" w:hAnsi="Arial"/>
          <w:sz w:val="17"/>
          <w:szCs w:val="17"/>
          <w:color w:val="auto"/>
        </w:rPr>
        <w:t>helpful and supportive of each other, yet we hold each other accountable to delivering with a sense of urgency in all that we do.</w:t>
      </w:r>
    </w:p>
    <w:p>
      <w:pPr>
        <w:spacing w:after="0" w:line="22" w:lineRule="exact"/>
        <w:rPr>
          <w:rFonts w:ascii="Times New Roman" w:cs="Times New Roman" w:eastAsia="Times New Roman" w:hAnsi="Times New Roman"/>
          <w:sz w:val="17"/>
          <w:szCs w:val="17"/>
          <w:color w:val="auto"/>
        </w:rPr>
      </w:pPr>
    </w:p>
    <w:p>
      <w:pPr>
        <w:ind w:left="1020" w:right="500" w:hanging="504"/>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Ambitious Innovation. </w:t>
      </w:r>
      <w:r>
        <w:rPr>
          <w:rFonts w:ascii="Arial" w:cs="Arial" w:eastAsia="Arial" w:hAnsi="Arial"/>
          <w:sz w:val="18"/>
          <w:szCs w:val="18"/>
          <w:color w:val="auto"/>
        </w:rPr>
        <w:t>We continuously look for ways to deliver more and new value to our clients and their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and people. We are leaders not followers, curious and open-minded, and we recognize there is always room for improvement and strive for excellence and welcome new ideas.</w:t>
      </w:r>
    </w:p>
    <w:p>
      <w:pPr>
        <w:spacing w:after="0" w:line="61" w:lineRule="exact"/>
        <w:rPr>
          <w:rFonts w:ascii="Times New Roman" w:cs="Times New Roman" w:eastAsia="Times New Roman" w:hAnsi="Times New Roman"/>
          <w:sz w:val="18"/>
          <w:szCs w:val="18"/>
          <w:color w:val="auto"/>
        </w:rPr>
      </w:pPr>
    </w:p>
    <w:p>
      <w:pPr>
        <w:jc w:val="both"/>
        <w:ind w:left="1020" w:right="260" w:hanging="504"/>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Evolved Learning. </w:t>
      </w:r>
      <w:r>
        <w:rPr>
          <w:rFonts w:ascii="Arial" w:cs="Arial" w:eastAsia="Arial" w:hAnsi="Arial"/>
          <w:sz w:val="18"/>
          <w:szCs w:val="18"/>
          <w:color w:val="auto"/>
        </w:rPr>
        <w:t>The importance of actively listening, questioning, challenging, and accepting is not lost on us. We are a</w:t>
      </w:r>
      <w:r>
        <w:rPr>
          <w:rFonts w:ascii="Arial" w:cs="Arial" w:eastAsia="Arial" w:hAnsi="Arial"/>
          <w:sz w:val="18"/>
          <w:szCs w:val="18"/>
          <w:b w:val="1"/>
          <w:bCs w:val="1"/>
          <w:color w:val="auto"/>
        </w:rPr>
        <w:t xml:space="preserve"> </w:t>
      </w:r>
      <w:r>
        <w:rPr>
          <w:rFonts w:ascii="Arial" w:cs="Arial" w:eastAsia="Arial" w:hAnsi="Arial"/>
          <w:sz w:val="18"/>
          <w:szCs w:val="18"/>
          <w:color w:val="auto"/>
        </w:rPr>
        <w:t>learning organization, eager to expand as individuals, as teams and as a company. We live by the knowledge that there is no endpoint to learning, that there is always room for growth.</w:t>
      </w:r>
    </w:p>
    <w:p>
      <w:pPr>
        <w:spacing w:after="0" w:line="14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We define our values by the virtues and behaviors that shape them, as these values guide us in all that we do: in hiring, performance, and day-to-day interactions with both FlyMates and our clients and their customers.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 Report</w:t>
      </w:r>
    </w:p>
    <w:p>
      <w:pPr>
        <w:spacing w:after="0" w:line="17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December 2022, we released our inaugural ESG report, our first comprehensive summary of how we integrate social good initiatives into our business strategy. The report provides baseline metrics as well as a detailed overview of the core tenets of our ESG program, which are shaped by many defining principles - from social impact and community engagement, to diversity, equity and inclusion (DE&amp;I), and much more. Our ESG report is based on global best practices, and aligns with metrics set forth by the Sustainability Accounting Standards Boards (SASB) standards as well as the Global Reporting Initiative (GRI) standards.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ESG report details our investments across the following ESG disciplines, including:</w:t>
      </w:r>
    </w:p>
    <w:p>
      <w:pPr>
        <w:spacing w:after="0" w:line="171" w:lineRule="exact"/>
        <w:rPr>
          <w:sz w:val="20"/>
          <w:szCs w:val="20"/>
          <w:color w:val="auto"/>
        </w:rPr>
      </w:pPr>
    </w:p>
    <w:p>
      <w:pPr>
        <w:ind w:left="1020" w:right="100" w:hanging="504"/>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Affordability and accessibility: </w:t>
      </w:r>
      <w:r>
        <w:rPr>
          <w:rFonts w:ascii="Arial" w:cs="Arial" w:eastAsia="Arial" w:hAnsi="Arial"/>
          <w:sz w:val="18"/>
          <w:szCs w:val="18"/>
          <w:color w:val="auto"/>
        </w:rPr>
        <w:t>Flywire’s payments technology and software enables payers to set up payment plans, helping</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high-value transactions like medical bills and education expenses more accessible and affordable.</w:t>
      </w:r>
    </w:p>
    <w:p>
      <w:pPr>
        <w:spacing w:after="0" w:line="45" w:lineRule="exact"/>
        <w:rPr>
          <w:rFonts w:ascii="Times New Roman" w:cs="Times New Roman" w:eastAsia="Times New Roman" w:hAnsi="Times New Roman"/>
          <w:sz w:val="18"/>
          <w:szCs w:val="18"/>
          <w:color w:val="auto"/>
        </w:rPr>
      </w:pPr>
    </w:p>
    <w:p>
      <w:pPr>
        <w:ind w:left="1020" w:right="300" w:hanging="504"/>
        <w:spacing w:after="0" w:line="300"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Diversity, equity and inclusion: </w:t>
      </w:r>
      <w:r>
        <w:rPr>
          <w:rFonts w:ascii="Arial" w:cs="Arial" w:eastAsia="Arial" w:hAnsi="Arial"/>
          <w:sz w:val="17"/>
          <w:szCs w:val="17"/>
          <w:color w:val="auto"/>
        </w:rPr>
        <w:t>Flywire employees represent 40 nationalities and spoken languages. Multiple Flywire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Resource Groups are devoted to promoting FlyMate inclusivity and belonging as well as our overall DE&amp;I mission.</w:t>
      </w:r>
    </w:p>
    <w:p>
      <w:pPr>
        <w:spacing w:after="0" w:line="22" w:lineRule="exact"/>
        <w:rPr>
          <w:rFonts w:ascii="Times New Roman" w:cs="Times New Roman" w:eastAsia="Times New Roman" w:hAnsi="Times New Roman"/>
          <w:sz w:val="17"/>
          <w:szCs w:val="17"/>
          <w:color w:val="auto"/>
        </w:rPr>
      </w:pPr>
    </w:p>
    <w:p>
      <w:pPr>
        <w:ind w:left="1020" w:right="120" w:hanging="504"/>
        <w:spacing w:after="0" w:line="300"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Career development and training: </w:t>
      </w:r>
      <w:r>
        <w:rPr>
          <w:rFonts w:ascii="Arial" w:cs="Arial" w:eastAsia="Arial" w:hAnsi="Arial"/>
          <w:sz w:val="17"/>
          <w:szCs w:val="17"/>
          <w:color w:val="auto"/>
        </w:rPr>
        <w:t>In 2023, FlyMates spent more than 2,900 hours on company-sponsored career</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training programs. These initiatives are available to all FlyMates, including part-time and contract employees.</w:t>
      </w:r>
    </w:p>
    <w:p>
      <w:pPr>
        <w:spacing w:after="0" w:line="22" w:lineRule="exact"/>
        <w:rPr>
          <w:rFonts w:ascii="Times New Roman" w:cs="Times New Roman" w:eastAsia="Times New Roman" w:hAnsi="Times New Roman"/>
          <w:sz w:val="17"/>
          <w:szCs w:val="17"/>
          <w:color w:val="auto"/>
        </w:rPr>
      </w:pPr>
    </w:p>
    <w:p>
      <w:pPr>
        <w:ind w:left="1020" w:right="240" w:hanging="504"/>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Social impact and community engagement: </w:t>
      </w:r>
      <w:r>
        <w:rPr>
          <w:rFonts w:ascii="Arial" w:cs="Arial" w:eastAsia="Arial" w:hAnsi="Arial"/>
          <w:sz w:val="18"/>
          <w:szCs w:val="18"/>
          <w:color w:val="auto"/>
        </w:rPr>
        <w:t>A cornerstone of Flywire's social impact and community engagement efforts is</w:t>
      </w:r>
      <w:r>
        <w:rPr>
          <w:rFonts w:ascii="Arial" w:cs="Arial" w:eastAsia="Arial" w:hAnsi="Arial"/>
          <w:sz w:val="18"/>
          <w:szCs w:val="18"/>
          <w:b w:val="1"/>
          <w:bCs w:val="1"/>
          <w:color w:val="auto"/>
        </w:rPr>
        <w:t xml:space="preserve"> </w:t>
      </w:r>
      <w:r>
        <w:rPr>
          <w:rFonts w:ascii="Arial" w:cs="Arial" w:eastAsia="Arial" w:hAnsi="Arial"/>
          <w:sz w:val="18"/>
          <w:szCs w:val="18"/>
          <w:color w:val="auto"/>
        </w:rPr>
        <w:t>The Flywire Charitable Foundation, which improves equality, access and affordability for underrepresented individuals and communities.</w:t>
      </w:r>
    </w:p>
    <w:p>
      <w:pPr>
        <w:spacing w:after="0" w:line="61" w:lineRule="exact"/>
        <w:rPr>
          <w:rFonts w:ascii="Times New Roman" w:cs="Times New Roman" w:eastAsia="Times New Roman" w:hAnsi="Times New Roman"/>
          <w:sz w:val="18"/>
          <w:szCs w:val="18"/>
          <w:color w:val="auto"/>
        </w:rPr>
      </w:pPr>
    </w:p>
    <w:p>
      <w:pPr>
        <w:ind w:left="1020" w:right="40" w:hanging="504"/>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Data privacy, security and compliance: </w:t>
      </w:r>
      <w:r>
        <w:rPr>
          <w:rFonts w:ascii="Arial" w:cs="Arial" w:eastAsia="Arial" w:hAnsi="Arial"/>
          <w:sz w:val="18"/>
          <w:szCs w:val="18"/>
          <w:color w:val="auto"/>
        </w:rPr>
        <w:t>Flywire’s dedicated compliance and risk management function, overseen by our Chief</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Officer and Chief Information Security Officer with Board-level oversight, has been built over more than a decade, providing payers and clients confidence in our solutions.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left="1020" w:right="60" w:hanging="504"/>
        <w:spacing w:after="0" w:line="24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Governance and ethics: </w:t>
      </w:r>
      <w:r>
        <w:rPr>
          <w:rFonts w:ascii="Arial" w:cs="Arial" w:eastAsia="Arial" w:hAnsi="Arial"/>
          <w:sz w:val="18"/>
          <w:szCs w:val="18"/>
          <w:color w:val="auto"/>
        </w:rPr>
        <w:t>Flywire is committed to ethical and compliant business practices and good corporate governance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long-term success of our company and stakeholders. We have a Code of Conduct that is actively enforced and mandatory training across a spectrum of important topics, ranging from anti-money laundering to sexual harassment to information security best practices.</w:t>
      </w:r>
    </w:p>
    <w:p>
      <w:pPr>
        <w:spacing w:after="0" w:line="67" w:lineRule="exact"/>
        <w:rPr>
          <w:rFonts w:ascii="Times New Roman" w:cs="Times New Roman" w:eastAsia="Times New Roman" w:hAnsi="Times New Roman"/>
          <w:sz w:val="18"/>
          <w:szCs w:val="18"/>
          <w:color w:val="auto"/>
        </w:rPr>
      </w:pPr>
    </w:p>
    <w:p>
      <w:pPr>
        <w:ind w:left="1020" w:right="180" w:hanging="504"/>
        <w:spacing w:after="0" w:line="24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Environmental sustainability: </w:t>
      </w:r>
      <w:r>
        <w:rPr>
          <w:rFonts w:ascii="Arial" w:cs="Arial" w:eastAsia="Arial" w:hAnsi="Arial"/>
          <w:sz w:val="18"/>
          <w:szCs w:val="18"/>
          <w:color w:val="auto"/>
        </w:rPr>
        <w:t>Flywire conducted our first greenhouse gas emissions audit, over our own operations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most significant value-chain emissions with a vision to reduce our carbon-intensive activities and improve overall energy efficiencies. Our baseline inventory includes Scope 2 and Scope 3 emissions from purchased electricity, purchased goods and services (cloud services only), business travel and employee commuting and telework.</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past year, we have reinforced our commitment to ESG by:</w:t>
      </w:r>
    </w:p>
    <w:p>
      <w:pPr>
        <w:spacing w:after="0" w:line="103" w:lineRule="exact"/>
        <w:rPr>
          <w:sz w:val="20"/>
          <w:szCs w:val="20"/>
          <w:color w:val="auto"/>
        </w:rPr>
      </w:pPr>
    </w:p>
    <w:p>
      <w:pPr>
        <w:ind w:left="1020" w:right="220" w:hanging="504"/>
        <w:spacing w:after="0" w:line="246"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Codifying ESG as a strategic priority and establishing new management and oversight of ESG priorities.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Nominating and Corporate Governance Committee of Flywire’s Board of Directors is responsible for the oversight of company ESG initiatives, supported by Co-Executive Sponsors and a cross-functional task force of employees that comprise the ESG disclosure committee.</w:t>
      </w:r>
    </w:p>
    <w:p>
      <w:pPr>
        <w:spacing w:after="0" w:line="67" w:lineRule="exact"/>
        <w:rPr>
          <w:rFonts w:ascii="Times New Roman" w:cs="Times New Roman" w:eastAsia="Times New Roman" w:hAnsi="Times New Roman"/>
          <w:sz w:val="18"/>
          <w:szCs w:val="18"/>
          <w:color w:val="auto"/>
        </w:rPr>
      </w:pPr>
    </w:p>
    <w:p>
      <w:pPr>
        <w:ind w:left="1020" w:right="100" w:hanging="504"/>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Establishing a Center of Expertise for Diversity, Equity &amp; Inclusion (DE&amp;I) </w:t>
      </w:r>
      <w:r>
        <w:rPr>
          <w:rFonts w:ascii="Arial" w:cs="Arial" w:eastAsia="Arial" w:hAnsi="Arial"/>
          <w:sz w:val="18"/>
          <w:szCs w:val="18"/>
          <w:color w:val="auto"/>
        </w:rPr>
        <w:t>to better serve our diverse, global community of</w:t>
      </w:r>
      <w:r>
        <w:rPr>
          <w:rFonts w:ascii="Arial" w:cs="Arial" w:eastAsia="Arial" w:hAnsi="Arial"/>
          <w:sz w:val="18"/>
          <w:szCs w:val="18"/>
          <w:b w:val="1"/>
          <w:bCs w:val="1"/>
          <w:color w:val="auto"/>
        </w:rPr>
        <w:t xml:space="preserve"> </w:t>
      </w:r>
      <w:r>
        <w:rPr>
          <w:rFonts w:ascii="Arial" w:cs="Arial" w:eastAsia="Arial" w:hAnsi="Arial"/>
          <w:sz w:val="18"/>
          <w:szCs w:val="18"/>
          <w:color w:val="auto"/>
        </w:rPr>
        <w:t>FlyMates where they live and work, and to deliver inclusive and compelling experiences that engage and care for FlyMates.</w:t>
      </w:r>
    </w:p>
    <w:p>
      <w:pPr>
        <w:spacing w:after="0" w:line="45" w:lineRule="exact"/>
        <w:rPr>
          <w:rFonts w:ascii="Times New Roman" w:cs="Times New Roman" w:eastAsia="Times New Roman" w:hAnsi="Times New Roman"/>
          <w:sz w:val="18"/>
          <w:szCs w:val="18"/>
          <w:color w:val="auto"/>
        </w:rPr>
      </w:pPr>
    </w:p>
    <w:p>
      <w:pPr>
        <w:ind w:left="1020" w:right="280" w:hanging="504"/>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Enhancing our career development and skills training policies </w:t>
      </w:r>
      <w:r>
        <w:rPr>
          <w:rFonts w:ascii="Arial" w:cs="Arial" w:eastAsia="Arial" w:hAnsi="Arial"/>
          <w:sz w:val="18"/>
          <w:szCs w:val="18"/>
          <w:color w:val="auto"/>
        </w:rPr>
        <w:t>by offering new programs focused on enriching FlyMates’</w:t>
      </w:r>
      <w:r>
        <w:rPr>
          <w:rFonts w:ascii="Arial" w:cs="Arial" w:eastAsia="Arial" w:hAnsi="Arial"/>
          <w:sz w:val="18"/>
          <w:szCs w:val="18"/>
          <w:b w:val="1"/>
          <w:bCs w:val="1"/>
          <w:color w:val="auto"/>
        </w:rPr>
        <w:t xml:space="preserve"> </w:t>
      </w:r>
      <w:r>
        <w:rPr>
          <w:rFonts w:ascii="Arial" w:cs="Arial" w:eastAsia="Arial" w:hAnsi="Arial"/>
          <w:sz w:val="18"/>
          <w:szCs w:val="18"/>
          <w:color w:val="auto"/>
        </w:rPr>
        <w:t>careers and growing them both personally and professionally.</w:t>
      </w:r>
    </w:p>
    <w:p>
      <w:pPr>
        <w:spacing w:after="0" w:line="45" w:lineRule="exact"/>
        <w:rPr>
          <w:rFonts w:ascii="Times New Roman" w:cs="Times New Roman" w:eastAsia="Times New Roman" w:hAnsi="Times New Roman"/>
          <w:sz w:val="18"/>
          <w:szCs w:val="18"/>
          <w:color w:val="auto"/>
        </w:rPr>
      </w:pPr>
    </w:p>
    <w:p>
      <w:pPr>
        <w:ind w:left="1020" w:right="500" w:hanging="504"/>
        <w:spacing w:after="0" w:line="279"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Maximizing our social impact initiatives both through the fourth annual scholarship program administered by The Flywire Charitable Foundation</w:t>
      </w:r>
      <w:r>
        <w:rPr>
          <w:rFonts w:ascii="Arial" w:cs="Arial" w:eastAsia="Arial" w:hAnsi="Arial"/>
          <w:sz w:val="18"/>
          <w:szCs w:val="18"/>
          <w:color w:val="auto"/>
        </w:rPr>
        <w:t>, and through purposeful philanthropy to non-profit organizations around the world.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1" w:lineRule="exact"/>
        <w:rPr>
          <w:sz w:val="20"/>
          <w:szCs w:val="20"/>
          <w:color w:val="auto"/>
        </w:rPr>
      </w:pPr>
    </w:p>
    <w:p>
      <w:pPr>
        <w:ind w:right="400" w:firstLine="509"/>
        <w:spacing w:after="0" w:line="266" w:lineRule="auto"/>
        <w:rPr>
          <w:sz w:val="20"/>
          <w:szCs w:val="20"/>
          <w:color w:val="auto"/>
        </w:rPr>
      </w:pPr>
      <w:r>
        <w:rPr>
          <w:rFonts w:ascii="Arial" w:cs="Arial" w:eastAsia="Arial" w:hAnsi="Arial"/>
          <w:sz w:val="17"/>
          <w:szCs w:val="17"/>
          <w:color w:val="auto"/>
        </w:rPr>
        <w:t>We were initially formed in July 2009 as peerTransfer Corporation, a Delaware corporation. We changed our name to Flywire Corporation in December 2016. Our principal executive offices are located at 141 Tremont St., #10, Boston, MA 02111. Our telephone number is (617) 329-4524. Our internet address is www.flywire.com. The information contained on, or that can be accessed through, our website is not a part of this Annual Report on Form 10-K. We have included our website address as an inactive textual reference only.</w:t>
      </w:r>
    </w:p>
    <w:p>
      <w:pPr>
        <w:spacing w:after="0" w:line="11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Flywire, the Flywire logo, and other registered or common law trade names, trademarks, or service marks of Flywire appearing in this Annual Report on Form 10-K are the property of Flywire. This Annual Report on Form 10-K contains additional trade names, trademarks, and service marks of ours and of other companies. We do not intend our use or display of other companies’ trade names, trademarks, or service marks to imply a relationship with, or endorsement or sponsorship of us, by these other companies. Other trademarks appearing in this Annual Report on Form 10-K are the property of their respective holders. Solely for convenience, our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make available free of charge, on our website (www.flywire.com),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SEC maintains an internet site that contains reports, proxy and information statements, and other information regarding issuers that file electronically with the SEC at http://www.sec.gov.</w:t>
      </w:r>
    </w:p>
    <w:p>
      <w:pPr>
        <w:spacing w:after="0" w:line="139"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Investors, the media, and others should note that we intend to announce material information to the public through filings with the SEC, the investor relations page on our website (https://ir.flywire.com), blog posts on our website, press releases, public conference calls, webcasts, and social media channels, including our X (formerly known as Twitter) feed (@flywire) and LinkedIn page (https://www.linkedin.com/company/flywire).</w:t>
      </w:r>
    </w:p>
    <w:p>
      <w:pPr>
        <w:spacing w:after="0" w:line="149"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8"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deciding whether to invest in shares of our common stock, you should consider carefully the risks and uncertainties described below, together with all of the other information in this Annual Report on Form 10-K, including “Management’s Discussion and Analysis of Financial Condition and Results of Operations” and our consolidated financial statements and the accompanying notes included elsewhere in this Annual Report on Form 10-K.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1"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The summary of risks below is intended to provide an overview of the risks we face and should not be considered a substitute for the more fulsome risk factors discussed immediately following this summary.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69" w:lineRule="exact"/>
        <w:rPr>
          <w:sz w:val="20"/>
          <w:szCs w:val="20"/>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quarterly fluctuations in operating results.</w:t>
      </w:r>
    </w:p>
    <w:p>
      <w:pPr>
        <w:spacing w:after="0" w:line="183" w:lineRule="exact"/>
        <w:rPr>
          <w:rFonts w:ascii="Times New Roman" w:cs="Times New Roman" w:eastAsia="Times New Roman" w:hAnsi="Times New Roman"/>
          <w:sz w:val="18"/>
          <w:szCs w:val="18"/>
          <w:color w:val="auto"/>
        </w:rPr>
      </w:pPr>
    </w:p>
    <w:p>
      <w:pPr>
        <w:ind w:left="900" w:hanging="26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Efforts to attract new clients may be unsuccessful.</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We may be unable to expand our direct and channel sales capabilities, grow our marketing reach and increase sales productivity.</w:t>
      </w:r>
    </w:p>
    <w:p>
      <w:pPr>
        <w:spacing w:after="0" w:line="194" w:lineRule="exact"/>
        <w:rPr>
          <w:rFonts w:ascii="Times New Roman" w:cs="Times New Roman" w:eastAsia="Times New Roman" w:hAnsi="Times New Roman"/>
          <w:sz w:val="17"/>
          <w:szCs w:val="17"/>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our revenue mix to vary over time, which could affect our gross profit, gross margin and results of operations.</w:t>
      </w:r>
    </w:p>
    <w:p>
      <w:pPr>
        <w:spacing w:after="0" w:line="183" w:lineRule="exact"/>
        <w:rPr>
          <w:rFonts w:ascii="Times New Roman" w:cs="Times New Roman" w:eastAsia="Times New Roman" w:hAnsi="Times New Roman"/>
          <w:sz w:val="18"/>
          <w:szCs w:val="18"/>
          <w:color w:val="auto"/>
        </w:rPr>
      </w:pPr>
    </w:p>
    <w:p>
      <w:pPr>
        <w:ind w:left="900" w:right="860" w:hanging="26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and operating results are subject to seasonality and cyclicality.</w:t>
      </w:r>
    </w:p>
    <w:p>
      <w:pPr>
        <w:spacing w:after="0" w:line="183"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are exposed to fluctuations in foreign currency exchange rates that could materially and adversely affect our cash flows and results of operations.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196" w:lineRule="exact"/>
        <w:rPr>
          <w:rFonts w:ascii="Times New Roman" w:cs="Times New Roman" w:eastAsia="Times New Roman" w:hAnsi="Times New Roman"/>
          <w:sz w:val="18"/>
          <w:szCs w:val="18"/>
          <w:color w:val="auto"/>
        </w:rPr>
      </w:pPr>
    </w:p>
    <w:p>
      <w:pPr>
        <w:ind w:left="900" w:right="900" w:hanging="26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markets are highly competitive.</w:t>
      </w:r>
    </w:p>
    <w:p>
      <w:pPr>
        <w:spacing w:after="0" w:line="183" w:lineRule="exact"/>
        <w:rPr>
          <w:rFonts w:ascii="Times New Roman" w:cs="Times New Roman" w:eastAsia="Times New Roman" w:hAnsi="Times New Roman"/>
          <w:sz w:val="18"/>
          <w:szCs w:val="18"/>
          <w:color w:val="auto"/>
        </w:rPr>
      </w:pPr>
    </w:p>
    <w:p>
      <w:pPr>
        <w:ind w:left="900" w:right="580" w:hanging="26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26" w:lineRule="exact"/>
        <w:rPr>
          <w:rFonts w:ascii="Times New Roman" w:cs="Times New Roman" w:eastAsia="Times New Roman" w:hAnsi="Times New Roman"/>
          <w:sz w:val="18"/>
          <w:szCs w:val="18"/>
          <w:color w:val="auto"/>
        </w:rPr>
      </w:pPr>
    </w:p>
    <w:p>
      <w:pPr>
        <w:ind w:left="900" w:right="300" w:hanging="26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education business may be adversely affected by decreases in enrollment or tuition, increased limitations on issuances of visas to international students or increased operating expenses for our clients.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healthcare industry is rapidly evolving.</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left="900" w:hanging="26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enter or expand into new verticals or sub-verticals, including our relatively new B2B payment vertical.</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There could be consolidation in the payment processing or enablement industry.</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adversely impacted by worldwide global economic and political instability.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69" w:lineRule="exact"/>
        <w:rPr>
          <w:sz w:val="20"/>
          <w:szCs w:val="20"/>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196" w:lineRule="exact"/>
        <w:rPr>
          <w:rFonts w:ascii="Times New Roman" w:cs="Times New Roman" w:eastAsia="Times New Roman" w:hAnsi="Times New Roman"/>
          <w:sz w:val="18"/>
          <w:szCs w:val="18"/>
          <w:color w:val="auto"/>
        </w:rPr>
      </w:pPr>
    </w:p>
    <w:p>
      <w:pPr>
        <w:ind w:left="900" w:hanging="263"/>
        <w:spacing w:after="0" w:line="270"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Volatility in the banking and financial services sectors may impact our bank partnerships and relationships, which could adversely affect our operations and liquidity.</w:t>
      </w:r>
    </w:p>
    <w:p>
      <w:pPr>
        <w:spacing w:after="0" w:line="113" w:lineRule="exact"/>
        <w:rPr>
          <w:rFonts w:ascii="Times New Roman" w:cs="Times New Roman" w:eastAsia="Times New Roman" w:hAnsi="Times New Roman"/>
          <w:sz w:val="18"/>
          <w:szCs w:val="18"/>
          <w:color w:val="auto"/>
        </w:rPr>
      </w:pPr>
    </w:p>
    <w:p>
      <w:pPr>
        <w:ind w:left="900" w:right="80" w:hanging="263"/>
        <w:spacing w:after="0" w:line="270"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management of our operating funds and those of our clients may be reliant on a limited number of our banking partners and other financial institutions.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183"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payment card networks fees or rules could harm our business.</w:t>
      </w:r>
    </w:p>
    <w:p>
      <w:pPr>
        <w:spacing w:after="0" w:line="196" w:lineRule="exact"/>
        <w:rPr>
          <w:rFonts w:ascii="Times New Roman" w:cs="Times New Roman" w:eastAsia="Times New Roman" w:hAnsi="Times New Roman"/>
          <w:sz w:val="18"/>
          <w:szCs w:val="18"/>
          <w:color w:val="auto"/>
        </w:rPr>
      </w:pPr>
    </w:p>
    <w:p>
      <w:pPr>
        <w:ind w:left="900" w:right="500" w:hanging="263"/>
        <w:spacing w:after="0" w:line="270"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members of our management team or are unable to attract and retain executives and employees we need to support our operations and growth, our business may be harmed.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169" w:lineRule="exact"/>
        <w:rPr>
          <w:sz w:val="20"/>
          <w:szCs w:val="20"/>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Payments and other financial services-related regulations and oversight are material to our business.</w:t>
      </w:r>
    </w:p>
    <w:p>
      <w:pPr>
        <w:spacing w:after="0" w:line="196" w:lineRule="exact"/>
        <w:rPr>
          <w:rFonts w:ascii="Times New Roman" w:cs="Times New Roman" w:eastAsia="Times New Roman" w:hAnsi="Times New Roman"/>
          <w:sz w:val="18"/>
          <w:szCs w:val="18"/>
          <w:color w:val="auto"/>
        </w:rPr>
      </w:pPr>
    </w:p>
    <w:p>
      <w:pPr>
        <w:ind w:left="900" w:hanging="263"/>
        <w:spacing w:after="0" w:line="270"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laws and requirements regarding economic and trade sanctions, AML, CFT and those applicable to a MSB.</w:t>
      </w:r>
    </w:p>
    <w:p>
      <w:pPr>
        <w:spacing w:after="0" w:line="113" w:lineRule="exact"/>
        <w:rPr>
          <w:rFonts w:ascii="Times New Roman" w:cs="Times New Roman" w:eastAsia="Times New Roman" w:hAnsi="Times New Roman"/>
          <w:sz w:val="18"/>
          <w:szCs w:val="18"/>
          <w:color w:val="auto"/>
        </w:rPr>
      </w:pPr>
    </w:p>
    <w:p>
      <w:pPr>
        <w:ind w:left="900" w:right="520" w:hanging="263"/>
        <w:spacing w:after="0" w:line="270"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182" w:lineRule="exact"/>
        <w:rPr>
          <w:sz w:val="20"/>
          <w:szCs w:val="20"/>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develop and maintain proper effective internal control over financial reporting.</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incur increased costs as a public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69" w:lineRule="exact"/>
        <w:rPr>
          <w:sz w:val="20"/>
          <w:szCs w:val="20"/>
          <w:color w:val="auto"/>
        </w:rPr>
      </w:pPr>
    </w:p>
    <w:p>
      <w:pPr>
        <w:ind w:left="900" w:right="40" w:hanging="263"/>
        <w:spacing w:after="0" w:line="270"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Securities and industry analysts may not publish or publish inaccurate or unfavorable research about our business.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8"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8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were incorporated in 2009 and although we have generated net income in prior periods, we incurred a net loss in the year ended December 31, 2023, have incurred net losses in the past, and may continue to incur net losses in the future. We generated net losses of $8.6 million, $39.3 million and $28.1 million for the years ended December 31, 2023, 2022 and 2021, respectively. In addition, as of December 31, 2023, we had an accumulated deficit of $173.8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usage-based fee revenue. Changes in our revenue mix from quarter to quarter, including those derived from cross-border or domestic currency transactions, will impact our margins, and we may not be able to grow our revenue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 and other regional considerations may affect our operating results.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50" w:lineRule="exact"/>
        <w:rPr>
          <w:sz w:val="20"/>
          <w:szCs w:val="20"/>
          <w:color w:val="auto"/>
        </w:rPr>
      </w:pPr>
    </w:p>
    <w:p>
      <w:pPr>
        <w:jc w:val="both"/>
        <w:ind w:right="280" w:firstLine="509"/>
        <w:spacing w:after="0" w:line="246"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financial results from any prior quarterly or annual periods should not be relied upon as an indication of our future revenue or growth in revenue, gross profit or volume of payments processed.</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184" w:lineRule="exact"/>
        <w:rPr>
          <w:sz w:val="20"/>
          <w:szCs w:val="20"/>
          <w:color w:val="auto"/>
        </w:rPr>
      </w:pPr>
    </w:p>
    <w:p>
      <w:pPr>
        <w:ind w:left="900" w:right="240" w:hanging="263"/>
        <w:spacing w:after="0" w:line="270"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sales, marketing, relationship management and client support, including an expansion of our sales organization, and new client support and payer retention initiatives;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83" w:lineRule="exact"/>
        <w:rPr>
          <w:rFonts w:ascii="Times New Roman" w:cs="Times New Roman" w:eastAsia="Times New Roman" w:hAnsi="Times New Roman"/>
          <w:sz w:val="18"/>
          <w:szCs w:val="18"/>
          <w:color w:val="auto"/>
        </w:rPr>
      </w:pPr>
    </w:p>
    <w:p>
      <w:pPr>
        <w:ind w:left="900" w:right="240" w:hanging="263"/>
        <w:spacing w:after="0" w:line="270"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expanding into more international markets;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new clients and increasing the number of our clients’ customers that use our solutions;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or strategic investments;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compliance and risk management;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general administration, including increased insurance, legal and accounting expenses associated with being a public company.</w:t>
      </w:r>
    </w:p>
    <w:p>
      <w:pPr>
        <w:spacing w:after="0" w:line="183"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46"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and significantly evolving industry and, as a result, our past results may not be indicative of future operating performance.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jc w:val="both"/>
        <w:ind w:right="80" w:firstLine="509"/>
        <w:spacing w:after="0" w:line="252" w:lineRule="auto"/>
        <w:rPr>
          <w:sz w:val="20"/>
          <w:szCs w:val="20"/>
          <w:color w:val="auto"/>
        </w:rPr>
      </w:pPr>
      <w:r>
        <w:rPr>
          <w:rFonts w:ascii="Arial" w:cs="Arial" w:eastAsia="Arial" w:hAnsi="Arial"/>
          <w:sz w:val="18"/>
          <w:szCs w:val="18"/>
          <w:color w:val="auto"/>
        </w:rPr>
        <w:t>We have a short history operating at our current scale in a rapidly and significantly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71" w:lineRule="exact"/>
        <w:rPr>
          <w:sz w:val="20"/>
          <w:szCs w:val="20"/>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cost-effectively acquire new clients and retain existing clients;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maintain and increase our market share;</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avoid pricing pressure on our solutions which would compress our margins;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market our solutions;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enhance our existing solutions and develop new solutions;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increase awareness of our brand and maintain our reputation;</w:t>
      </w:r>
    </w:p>
    <w:p>
      <w:pPr>
        <w:spacing w:after="0" w:line="115" w:lineRule="exact"/>
        <w:rPr>
          <w:rFonts w:ascii="Times New Roman" w:cs="Times New Roman" w:eastAsia="Times New Roman" w:hAnsi="Times New Roman"/>
          <w:sz w:val="18"/>
          <w:szCs w:val="18"/>
          <w:color w:val="auto"/>
        </w:rPr>
      </w:pPr>
    </w:p>
    <w:p>
      <w:pPr>
        <w:ind w:left="1020" w:right="160" w:hanging="504"/>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develop new technologies, adapt to technology changes and evolving industry standards and to incorporate new technologies, such as artificial intelligence, into our solutions;</w:t>
      </w:r>
    </w:p>
    <w:p>
      <w:pPr>
        <w:spacing w:after="0" w:line="113" w:lineRule="exact"/>
        <w:rPr>
          <w:rFonts w:ascii="Times New Roman" w:cs="Times New Roman" w:eastAsia="Times New Roman" w:hAnsi="Times New Roman"/>
          <w:sz w:val="18"/>
          <w:szCs w:val="18"/>
          <w:color w:val="auto"/>
        </w:rPr>
      </w:pPr>
    </w:p>
    <w:p>
      <w:pPr>
        <w:ind w:left="1020" w:right="80" w:hanging="504"/>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offer seamless experience for our clients and their customers, including all user facing attributes ranging from the user interface to client and customer support;</w:t>
      </w:r>
    </w:p>
    <w:p>
      <w:pPr>
        <w:spacing w:after="0" w:line="11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respond to microeconomic and macroeconomic changes;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decision to exit certain markets, or our inability to process payments from certain jurisdiction we had previously served;</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compete effectively;</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avoid interruptions in our business from information technology (IT) downtime, cybersecurity breaches, or labor stoppages;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manage our growth;</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identify and manage risks, including foreign currency exchange risk;</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hire, integrate, and retain talented people at all levels of our organization;</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maintain the quality of our technology infrastructure;</w:t>
      </w:r>
    </w:p>
    <w:p>
      <w:pPr>
        <w:spacing w:after="0" w:line="115" w:lineRule="exact"/>
        <w:rPr>
          <w:rFonts w:ascii="Times New Roman" w:cs="Times New Roman" w:eastAsia="Times New Roman" w:hAnsi="Times New Roman"/>
          <w:sz w:val="18"/>
          <w:szCs w:val="18"/>
          <w:color w:val="auto"/>
        </w:rPr>
      </w:pPr>
    </w:p>
    <w:p>
      <w:pPr>
        <w:ind w:left="1020" w:right="300" w:hanging="504"/>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multiple, conflicting and changing governmental laws and regulations, including with respect to employment, tax, competition, workplace and ESG matters;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w:t>
      </w:r>
    </w:p>
    <w:p>
      <w:pPr>
        <w:spacing w:after="0" w:line="183" w:lineRule="exact"/>
        <w:rPr>
          <w:rFonts w:ascii="Times New Roman" w:cs="Times New Roman" w:eastAsia="Times New Roman" w:hAnsi="Times New Roman"/>
          <w:sz w:val="18"/>
          <w:szCs w:val="18"/>
          <w:color w:val="auto"/>
        </w:rPr>
      </w:pPr>
    </w:p>
    <w:p>
      <w:pPr>
        <w:ind w:left="1020" w:right="220" w:hanging="504"/>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113"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2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11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p>
    <w:p>
      <w:pPr>
        <w:spacing w:after="0" w:line="14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spacing w:after="0" w:line="15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In addition, certain of our clients are subject to requirements to issue requests for proposals (RFPs) to open up competition for their ongoing business notwithstanding their satisfaction with our solutions. In order to retain their business, we may be required to accept terms or pricing conditions less favorable to us than would be the case with automatic renewal of an existing contract.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spacing w:after="0" w:line="143"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76"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 expectations of investors or securities analysts or below any guidance we may provide to the market, the price of our common stock could decline substantially.</w:t>
      </w:r>
    </w:p>
    <w:p>
      <w:pPr>
        <w:spacing w:after="0" w:line="149"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p>
    <w:p>
      <w:pPr>
        <w:spacing w:after="0" w:line="130" w:lineRule="exact"/>
        <w:rPr>
          <w:sz w:val="20"/>
          <w:szCs w:val="20"/>
          <w:color w:val="auto"/>
        </w:rPr>
      </w:pPr>
    </w:p>
    <w:p>
      <w:pPr>
        <w:ind w:left="5520" w:right="3420" w:hanging="5004"/>
        <w:spacing w:after="0" w:line="411" w:lineRule="auto"/>
        <w:tabs>
          <w:tab w:leader="none" w:pos="1022"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demand for our solutions and the number, volume and timing of payments processed;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timing of tuition payments;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acceptance of our current and future solutions;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revenue mix in a particular quarter;</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 slowdown in spending on IT and software by our current and/or prospective clients;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sales cycles and performance of our direct and indirect sales force;</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budgeting and implementation cycles of our current or potential clients;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fluctuations;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rate of renewals of contracts with our clients;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competitive dynamics of our markets;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control and predict costs, including our operating expenses;</w:t>
      </w:r>
    </w:p>
    <w:p>
      <w:pPr>
        <w:spacing w:after="0" w:line="183" w:lineRule="exact"/>
        <w:rPr>
          <w:rFonts w:ascii="Times New Roman" w:cs="Times New Roman" w:eastAsia="Times New Roman" w:hAnsi="Times New Roman"/>
          <w:sz w:val="18"/>
          <w:szCs w:val="18"/>
          <w:color w:val="auto"/>
        </w:rPr>
      </w:pPr>
    </w:p>
    <w:p>
      <w:pPr>
        <w:ind w:left="1020" w:right="860" w:hanging="504"/>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2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seasonality of our business;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manage or integrate any acquisitions, including our acquisitions of WPM, Cohort Go and StudyLink;</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or publicity surrounding any pending or threatened lawsuits;</w:t>
      </w:r>
    </w:p>
    <w:p>
      <w:pPr>
        <w:spacing w:after="0" w:line="196" w:lineRule="exact"/>
        <w:rPr>
          <w:rFonts w:ascii="Times New Roman" w:cs="Times New Roman" w:eastAsia="Times New Roman" w:hAnsi="Times New Roman"/>
          <w:sz w:val="18"/>
          <w:szCs w:val="18"/>
          <w:color w:val="auto"/>
        </w:rPr>
      </w:pPr>
    </w:p>
    <w:p>
      <w:pPr>
        <w:ind w:left="1020" w:right="20" w:hanging="504"/>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and political conditions in our domestic and international markets, including inflation and fluctuations in supply chains, and restrictions on cross-border travel or commerce;</w:t>
      </w:r>
    </w:p>
    <w:p>
      <w:pPr>
        <w:spacing w:after="0" w:line="11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level of scrutiny applied by regulators and investors on our ESG program;</w:t>
      </w:r>
    </w:p>
    <w:p>
      <w:pPr>
        <w:spacing w:after="0" w:line="183" w:lineRule="exact"/>
        <w:rPr>
          <w:rFonts w:ascii="Times New Roman" w:cs="Times New Roman" w:eastAsia="Times New Roman" w:hAnsi="Times New Roman"/>
          <w:sz w:val="18"/>
          <w:szCs w:val="18"/>
          <w:color w:val="auto"/>
        </w:rPr>
      </w:pPr>
    </w:p>
    <w:p>
      <w:pPr>
        <w:ind w:left="1020" w:right="180" w:hanging="504"/>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events, including those resulting from climate change, international or civil conflicts and wars, or other geopolitical events;</w:t>
      </w:r>
    </w:p>
    <w:p>
      <w:pPr>
        <w:spacing w:after="0" w:line="126" w:lineRule="exact"/>
        <w:rPr>
          <w:rFonts w:ascii="Times New Roman" w:cs="Times New Roman" w:eastAsia="Times New Roman" w:hAnsi="Times New Roman"/>
          <w:sz w:val="18"/>
          <w:szCs w:val="18"/>
          <w:color w:val="auto"/>
        </w:rPr>
      </w:pPr>
    </w:p>
    <w:p>
      <w:pPr>
        <w:jc w:val="both"/>
        <w:ind w:left="1020" w:right="320" w:hanging="504"/>
        <w:spacing w:after="0" w:line="252"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U.S. federal government shutdowns, partisan gridlock that results in the inability of Congress to take action or changes to government, which among other things could result in increased limitations on visa issuances and impact educational financial aid payments; and</w:t>
      </w:r>
    </w:p>
    <w:p>
      <w:pPr>
        <w:spacing w:after="0" w:line="12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 and the responses thereto.</w:t>
      </w:r>
    </w:p>
    <w:p>
      <w:pPr>
        <w:spacing w:after="0" w:line="183"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44"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profit, gross margin and results of operations.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60"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9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44"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41" w:lineRule="exact"/>
        <w:rPr>
          <w:sz w:val="20"/>
          <w:szCs w:val="20"/>
          <w:color w:val="auto"/>
        </w:rPr>
      </w:pPr>
    </w:p>
    <w:p>
      <w:pPr>
        <w:ind w:right="1080"/>
        <w:spacing w:after="0" w:line="278"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9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182"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w:t>
      </w:r>
    </w:p>
    <w:p>
      <w:pPr>
        <w:spacing w:after="0" w:line="141" w:lineRule="exact"/>
        <w:rPr>
          <w:sz w:val="20"/>
          <w:szCs w:val="20"/>
          <w:color w:val="auto"/>
        </w:rPr>
      </w:pPr>
    </w:p>
    <w:p>
      <w:pPr>
        <w:ind w:right="780"/>
        <w:spacing w:after="0" w:line="278"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9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for the year ended December 31, 2023, as the U.S. dollar strengthened against several currencies, including the British Pound, relative to the same period in the prior year, these foreign exchange impacts reduced our reported revenue in U.S. dollars by approximately $1.4 million compared to the year ended December 31, 2022 on a constant currency basis.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spacing w:after="0" w:line="153"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39"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As our international operations continue to operate and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44"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adjusted gross profit,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clients or other stakeholders do not perceive our operating metrics to be accurate, or if we discover material inaccuracies with respect to these figures, our reputation may be significantly harmed, and our operating and financial results could be adversely affected.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82"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and maintaining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34"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In addition, our existing banking partners may at any time and from time to time cease serving certain categories of payments due to perceived risk or similar reasons as well as payments originating from, or being paid to, certain high risk jurisdictions. These partners may also impose additional requirements on Flywire, or with respect to their own internal procedures, as a condition of processing such payments in partnership with us. If we cease to be able to process payments from corridors or within certain of our verticals, or we are unable to comply with new requirements or only at considerable expense, our client relationships and ability to grow our revenue could be adversely affected.</w:t>
      </w:r>
    </w:p>
    <w:p>
      <w:pPr>
        <w:spacing w:after="0" w:line="12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Instability and volatility in the banking and financial services sectors, including bank failures, have increased and may in the future increase uncertainty in the global economy and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spacing w:after="0" w:line="158"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69"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69" w:lineRule="exact"/>
        <w:rPr>
          <w:sz w:val="20"/>
          <w:szCs w:val="20"/>
          <w:color w:val="auto"/>
        </w:rPr>
      </w:pPr>
    </w:p>
    <w:p>
      <w:pPr>
        <w:jc w:val="both"/>
        <w:ind w:right="160" w:firstLine="509"/>
        <w:spacing w:after="0" w:line="243"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59" w:lineRule="exact"/>
        <w:rPr>
          <w:sz w:val="20"/>
          <w:szCs w:val="20"/>
          <w:color w:val="auto"/>
        </w:rPr>
      </w:pPr>
    </w:p>
    <w:p>
      <w:pPr>
        <w:jc w:val="both"/>
        <w:ind w:right="180" w:firstLine="509"/>
        <w:spacing w:after="0" w:line="252" w:lineRule="auto"/>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118"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160"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98"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130" w:lineRule="exact"/>
        <w:rPr>
          <w:sz w:val="20"/>
          <w:szCs w:val="20"/>
          <w:color w:val="auto"/>
        </w:rPr>
      </w:pPr>
    </w:p>
    <w:p>
      <w:pPr>
        <w:ind w:left="900" w:right="80" w:hanging="263"/>
        <w:spacing w:after="0" w:line="246"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spacing w:after="0" w:line="148" w:lineRule="exact"/>
        <w:rPr>
          <w:rFonts w:ascii="Times New Roman" w:cs="Times New Roman" w:eastAsia="Times New Roman" w:hAnsi="Times New Roman"/>
          <w:sz w:val="18"/>
          <w:szCs w:val="18"/>
          <w:color w:val="auto"/>
        </w:rPr>
      </w:pPr>
    </w:p>
    <w:p>
      <w:pPr>
        <w:ind w:left="900" w:right="360" w:hanging="263"/>
        <w:spacing w:after="0" w:line="270"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113" w:lineRule="exact"/>
        <w:rPr>
          <w:rFonts w:ascii="Times New Roman" w:cs="Times New Roman" w:eastAsia="Times New Roman" w:hAnsi="Times New Roman"/>
          <w:sz w:val="18"/>
          <w:szCs w:val="18"/>
          <w:color w:val="auto"/>
        </w:rPr>
      </w:pPr>
    </w:p>
    <w:p>
      <w:pPr>
        <w:ind w:left="900" w:right="160" w:hanging="263"/>
        <w:spacing w:after="0" w:line="252"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Changing perceptions about in-person classes. Students may reject the opportunity to attend courses in person, when online or virtual classes are offered as an option, due to growing familiarity and perceived convenience of remote learning or a lower price point for online classes.</w:t>
      </w:r>
    </w:p>
    <w:p>
      <w:pPr>
        <w:spacing w:after="0" w:line="129"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26" w:lineRule="exact"/>
        <w:rPr>
          <w:rFonts w:ascii="Times New Roman" w:cs="Times New Roman" w:eastAsia="Times New Roman" w:hAnsi="Times New Roman"/>
          <w:sz w:val="18"/>
          <w:szCs w:val="18"/>
          <w:color w:val="auto"/>
        </w:rPr>
      </w:pPr>
    </w:p>
    <w:p>
      <w:pPr>
        <w:ind w:left="900" w:right="80" w:hanging="263"/>
        <w:spacing w:after="0" w:line="252"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Declines in international student enrollment. Global conflict and restrictions on immigration or increased limitation on the award of student visas (such as those recently announced in Canada and Australia) can negatively impact the cross-border education industry and schools that rely on foreign student populations, will be negatively affected or may cease operations.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jc w:val="both"/>
        <w:ind w:left="900" w:right="560" w:hanging="263"/>
        <w:spacing w:after="0" w:line="252"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43"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International cross-border transaction revenue represents a significant part of our revenue; international regulations and restrictions that inhibit cross-border travel and relocation of international students, as well as ongoing political friction between China and the U.S. that have slowed the growth of Chinese students studying in the U.S. and may have resulted in changes in Chinese student education destinations, have had and may continue to have an impact on our revenue growth. More recently, the Canadian government announced it will set a cap on international student permit applications for the years 2024 and 2025, motivated in part by housing shortages. This could adversely impact our business, operating results, and financial condition.</w:t>
      </w:r>
    </w:p>
    <w:p>
      <w:pPr>
        <w:spacing w:after="0" w:line="142"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would have an adverse effect on our business, operating results and financial condition.</w:t>
      </w:r>
    </w:p>
    <w:p>
      <w:pPr>
        <w:spacing w:after="0" w:line="138"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 In addition, the decisions we make on allocation of engineering resources, reliance on, integration with or discontinuance of, legacy systems or those acquired in acquisition, or the pace at which we remain technologically current within our internal systems and customer payment platforms, may negatively affect the morale of our engineering teams and the payment experiences our clients wish to feature to their customers. We may lose engineering talent or healthcare clients as a result, which could have a material adverse effect on our business and results of operations.</w:t>
      </w:r>
    </w:p>
    <w:p>
      <w:pPr>
        <w:spacing w:after="0" w:line="14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56"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jc w:val="both"/>
        <w:ind w:right="220"/>
        <w:spacing w:after="0" w:line="241" w:lineRule="auto"/>
        <w:rPr>
          <w:sz w:val="20"/>
          <w:szCs w:val="20"/>
          <w:color w:val="auto"/>
        </w:rPr>
      </w:pPr>
      <w:r>
        <w:rPr>
          <w:rFonts w:ascii="Arial" w:cs="Arial" w:eastAsia="Arial" w:hAnsi="Arial"/>
          <w:sz w:val="18"/>
          <w:szCs w:val="18"/>
          <w:color w:val="auto"/>
        </w:rPr>
        <w:t>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may have an adverse effect on our business, operating results and financial condition.</w:t>
      </w:r>
    </w:p>
    <w:p>
      <w:pPr>
        <w:spacing w:after="0" w:line="155" w:lineRule="exact"/>
        <w:rPr>
          <w:sz w:val="20"/>
          <w:szCs w:val="20"/>
          <w:color w:val="auto"/>
        </w:rPr>
      </w:pPr>
    </w:p>
    <w:p>
      <w:pPr>
        <w:ind w:right="420" w:firstLine="509"/>
        <w:spacing w:after="0" w:line="252" w:lineRule="auto"/>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3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or cease operations, it may become difficult for us to be paid in full in a timely manner, if at all.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18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Events like regional or larger scale conflicts, war or other military conflict, including the conflicts between Russia and Ukraine, and Israel and Hamas, terrorist attacks, mass shooting incidents, natural disasters, such as hurricanes, earthquakes, fires, droughts, floods and volcanic activity, including events resulting from climate change, and travel-related health events, such as the COVID-19 pandemic, have had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and inflation.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have implemented or are considering implementing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from our travel vertical represents less than 10% of our total payment volume. Because we seek to grow the payment volume and the revenue from this vertical in the future, failure to grow our payment volume and resulting revenue from this industry, may have an adverse effect on our business, operating results and financial condition.</w:t>
      </w:r>
    </w:p>
    <w:p>
      <w:pPr>
        <w:spacing w:after="0" w:line="13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With respect to the COVID-19 pandemic specifically, our 2020 financial results related to serving our existing travel clients and growing our client base in the travel sector were negatively impacted. During the years ended December 31, 2021, 2022 and 2023, we witnessed recoveries in our financial results and growth in revenue and payment volumes in our travel payment vertical. While improvements have been noted, sustaining this trend will in part be dependent on future developments that cannot be accurately predicted at this time, including, but not limited to, the emergence of variants and sub-variants, international regulations and restrictions that inhibit cross-border travel, global availability of vaccines and administration of vaccination, the rate of “herd immunity”, and the impact of these and other factors on travel behavior.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If we are unable to enter or expand new client verticals or sub-verticals, including our relatively new B2B payment vertical, or if our solutions for any new vertical fail to achieve market acceptance, our operating results could be adversely affected and we may be required to reconsider our growth strategy.</w:t>
      </w:r>
    </w:p>
    <w:p>
      <w:pPr>
        <w:spacing w:after="0" w:line="13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growth strategy is influenced, in part, on our ability to expand into new client verticals and sub-verticals, including our relatively new B2B payment vertical. The B2B payment vertical represents a relatively new market for us, and we have limited prior experience with the key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The payment volume and resulting revenue from our B2B payment vertical represents,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42"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We may be unable to identify new verticals or sub-verticals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3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Even if we choose to enter new verticals or sub-verticals,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60"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98"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economic and political instability.</w:t>
      </w:r>
    </w:p>
    <w:p>
      <w:pPr>
        <w:spacing w:after="0" w:line="18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As we seek to continue to operate and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reduced corporate profitability, employment pressures in services sectors, volatility in the banking ecosystem or credit, equity and foreign exchange markets, bankruptcies, as well as war, terrorist activity, political or social unrest, civil strife and other geopolitical uncertainty, including the effects of ongoing United States-China and Canada-India diplomatic and trade friction,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 In addition, from time to time we have reduced expenses and needed to</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restructure or reorganize certain portions of our operations in order to align our business with market conditions and our strategies, any of which can result in near term expense and harm to our growth prospects.</w:t>
      </w:r>
    </w:p>
    <w:p>
      <w:pPr>
        <w:spacing w:after="0" w:line="12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For example, on February 24, 2022, Russian military forces invaded Ukraine, and continued conflict and disruption in the region is likely, and on October 7,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On October 8, 2023, Israel formally declared war on Hamas, and thereafter commenced military operations against Hamas in Gaza and the armed conflict is ongoing as of the date of this filing. Although the length, impact and outcome of the ongoing conflicts in Ukraine and Israel are highly unpredictable, these conflicts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spacing w:after="0" w:line="14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are actively monitoring the situations in Ukraine and Israel and assessing any potential impact on our business, but to date have not experienced any material impact. We have no way to predict the progress or outcome of the conflicts in Ukraine and Israel as the conflicts,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these conflicts continue to develop and potentially spread, both in Europe, the Middle East and through the rest of the world, our customers,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these conflicts and any of the abovementioned factors could have a material adverse effect on our business, financial condition and results of operations, particularly to the extent the conflict escalates to involve additional countries, further economic sanctions and wider military conflicts. Any such disruptions could also magnify the impact of other risks described in this Annual Report on Form 10-K.</w:t>
      </w:r>
    </w:p>
    <w:p>
      <w:pPr>
        <w:spacing w:after="0" w:line="139"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In addition, political instability or adverse political developments and new or continued economic deterioration in any of the countries in which we operate could harm our business, results of operations and financial condition.</w:t>
      </w:r>
    </w:p>
    <w:p>
      <w:pPr>
        <w:spacing w:after="0" w:line="12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Inflation and interest rate increases have and may in the future result in decreased demand for our solutions, increases in our operating costs including our labor costs, constrained credit and liquidity, and volatility in financial markets and the banking ecosystem. During 2023, the United States Federal Reserve raised, and may in the future raise, interest rates in response to concerns over inflation risk. There continues to be uncertainty in the changing market and economic conditions, including the possibility of additional measures that could be taken by the Federal Reserve and other government agencies, related to concerns over inflation risk. A sharp rise in interest rates could have an adverse impact on the fair market value of securities we may invest in as part of our portfolio investments, which could adversely affect our financial results. In addition, 2024 is a presidential election year in the U.S., and political conditions may contribute to economic uncertainty or volatility, irrespective of electoral outcomes, which could adversely affect our business, results of operations and financial condition.</w:t>
      </w:r>
    </w:p>
    <w:p>
      <w:pPr>
        <w:spacing w:after="0" w:line="143"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have an office in Tel Aviv, Israel. Conditions in Israel, including the recent attack by Hamas and other terrorist organizations from the Gaza Strip and Israel’s war against them, may affect our operations.</w:t>
      </w:r>
    </w:p>
    <w:p>
      <w:pPr>
        <w:spacing w:after="0" w:line="98" w:lineRule="exact"/>
        <w:rPr>
          <w:sz w:val="20"/>
          <w:szCs w:val="20"/>
          <w:color w:val="auto"/>
        </w:rPr>
      </w:pPr>
    </w:p>
    <w:p>
      <w:pPr>
        <w:jc w:val="both"/>
        <w:ind w:right="80" w:firstLine="509"/>
        <w:spacing w:after="0" w:line="246" w:lineRule="auto"/>
        <w:rPr>
          <w:sz w:val="20"/>
          <w:szCs w:val="20"/>
          <w:color w:val="auto"/>
        </w:rPr>
      </w:pPr>
      <w:r>
        <w:rPr>
          <w:rFonts w:ascii="Arial" w:cs="Arial" w:eastAsia="Arial" w:hAnsi="Arial"/>
          <w:sz w:val="18"/>
          <w:szCs w:val="18"/>
          <w:color w:val="auto"/>
        </w:rPr>
        <w:t>Because we have an office in Tel Aviv, Israel, our business and operations are directly affected by economic, political, geopolitical and military conditions in Israel. Since the establishment of the State of Israel in 1948, a number of armed conflicts have occurred between Israel and its neighboring countries and terrorist organizations active in the region. These conflicts have involved missile strikes, hostile infiltrations and terrorism against civilian targets in various parts of Israel, which have negatively affected business conditions in Israel.</w:t>
      </w:r>
    </w:p>
    <w:p>
      <w:pPr>
        <w:spacing w:after="0" w:line="14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On October 7,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On October 8, 2023, Israel formally declared war on Hamas, and thereafter commenced military operations against Hamas in Gaza and the armed conflict is ongoing as of the date of this filing, and has resulted in extensive deaths, injuries and kidnapping of civilians and soldiers. Moreover, the clash between Israel and Hezbollah in Lebanon, may escalate in the future into a greater regional conflict.</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Although we currently do not expect the ongoing conflict to materially affect our business, financial condition and results of operations, there can be no assurances that further unforeseen events will not have a material adverse effect on our business, financial condition and results of operations in the future.</w:t>
      </w:r>
    </w:p>
    <w:p>
      <w:pPr>
        <w:spacing w:after="0" w:line="144"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The Israel Defense Force (IDF), the national military of Israel, is a conscripted military service, subject to certain exceptions. Since October 7, 2023, the IDF has called up more than 350,000 of its reserve forces to serve.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business, financial condition and results of operations.</w:t>
      </w:r>
    </w:p>
    <w:p>
      <w:pPr>
        <w:spacing w:after="0" w:line="139"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Shelter-in-place and work-from-home measures, government-imposed restrictions on movement and travel and other precautions taken to address the ongoing conflict may temporarily disrupt our employees’ ability to effectively perform their daily tasks.</w:t>
      </w:r>
    </w:p>
    <w:p>
      <w:pPr>
        <w:spacing w:after="0" w:line="112" w:lineRule="exact"/>
        <w:rPr>
          <w:sz w:val="20"/>
          <w:szCs w:val="20"/>
          <w:color w:val="auto"/>
        </w:rPr>
      </w:pPr>
    </w:p>
    <w:p>
      <w:pPr>
        <w:ind w:right="400" w:firstLine="509"/>
        <w:spacing w:after="0" w:line="252" w:lineRule="auto"/>
        <w:rPr>
          <w:sz w:val="20"/>
          <w:szCs w:val="20"/>
          <w:color w:val="auto"/>
        </w:rPr>
      </w:pPr>
      <w:r>
        <w:rPr>
          <w:rFonts w:ascii="Arial" w:cs="Arial" w:eastAsia="Arial" w:hAnsi="Arial"/>
          <w:sz w:val="18"/>
          <w:szCs w:val="18"/>
          <w:color w:val="auto"/>
        </w:rPr>
        <w:t>It is currently not possible to predict the duration or severity of the ongoing conflict or its effects on our business, operations and financial conditions. The ongoing conflict is rapidly evolving and developing, and could disrupt our business and operations, interrupt our sources and availability of supply and hamper our ability to raise additional funds or sell our securities, among others.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3" w:lineRule="exact"/>
        <w:rPr>
          <w:sz w:val="20"/>
          <w:szCs w:val="20"/>
          <w:color w:val="auto"/>
        </w:rPr>
      </w:pPr>
    </w:p>
    <w:p>
      <w:pPr>
        <w:ind w:right="900"/>
        <w:spacing w:after="0" w:line="278"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98"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p>
    <w:p>
      <w:pPr>
        <w:spacing w:after="0" w:line="14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43"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 ended December 31, 2023, we processed over $24.0 billion in payments on our solutions, compared to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$18.1 billion for the year ended December 31, 2022, and approximately $13.2 billion for the year ended December 31, 2021. We have grown</w:t>
      </w:r>
    </w:p>
    <w:p>
      <w:pPr>
        <w:spacing w:after="0" w:line="234" w:lineRule="auto"/>
        <w:rPr>
          <w:sz w:val="20"/>
          <w:szCs w:val="20"/>
          <w:color w:val="auto"/>
        </w:rPr>
      </w:pPr>
      <w:r>
        <w:rPr>
          <w:rFonts w:ascii="Arial" w:cs="Arial" w:eastAsia="Arial" w:hAnsi="Arial"/>
          <w:sz w:val="18"/>
          <w:szCs w:val="18"/>
          <w:color w:val="auto"/>
        </w:rPr>
        <w:t>rapidly and seek to continue to grow, and our business is subject to the risk of financial losses as a result of chargebacks for client-related</w:t>
      </w:r>
    </w:p>
    <w:p>
      <w:pPr>
        <w:spacing w:after="0" w:line="235" w:lineRule="auto"/>
        <w:rPr>
          <w:sz w:val="20"/>
          <w:szCs w:val="20"/>
          <w:color w:val="auto"/>
        </w:rPr>
      </w:pPr>
      <w:r>
        <w:rPr>
          <w:rFonts w:ascii="Arial" w:cs="Arial" w:eastAsia="Arial" w:hAnsi="Arial"/>
          <w:sz w:val="18"/>
          <w:szCs w:val="18"/>
          <w:color w:val="auto"/>
        </w:rPr>
        <w:t>losses, credit losses, operational errors, software defects, service disruption, employee misconduct, security breaches, or other similar</w:t>
      </w:r>
    </w:p>
    <w:p>
      <w:pPr>
        <w:spacing w:after="0" w:line="234" w:lineRule="auto"/>
        <w:rPr>
          <w:sz w:val="20"/>
          <w:szCs w:val="20"/>
          <w:color w:val="auto"/>
        </w:rPr>
      </w:pPr>
      <w:r>
        <w:rPr>
          <w:rFonts w:ascii="Arial" w:cs="Arial" w:eastAsia="Arial" w:hAnsi="Arial"/>
          <w:sz w:val="18"/>
          <w:szCs w:val="18"/>
          <w:color w:val="auto"/>
        </w:rPr>
        <w:t>actions or errors in our solutions. As a provider of accounts receivable and other payment solutions, we enable the transfer of funds to our</w:t>
      </w:r>
    </w:p>
    <w:p>
      <w:pPr>
        <w:spacing w:after="0" w:line="235" w:lineRule="auto"/>
        <w:rPr>
          <w:sz w:val="20"/>
          <w:szCs w:val="20"/>
          <w:color w:val="auto"/>
        </w:rPr>
      </w:pPr>
      <w:r>
        <w:rPr>
          <w:rFonts w:ascii="Arial" w:cs="Arial" w:eastAsia="Arial" w:hAnsi="Arial"/>
          <w:sz w:val="18"/>
          <w:szCs w:val="18"/>
          <w:color w:val="auto"/>
        </w:rPr>
        <w:t>clients from their customers. Software errors in our solutions, including as a result of ordinary course updates to our software and systems,</w:t>
      </w:r>
    </w:p>
    <w:p>
      <w:pPr>
        <w:spacing w:after="0" w:line="234" w:lineRule="auto"/>
        <w:rPr>
          <w:sz w:val="20"/>
          <w:szCs w:val="20"/>
          <w:color w:val="auto"/>
        </w:rPr>
      </w:pPr>
      <w:r>
        <w:rPr>
          <w:rFonts w:ascii="Arial" w:cs="Arial" w:eastAsia="Arial" w:hAnsi="Arial"/>
          <w:sz w:val="18"/>
          <w:szCs w:val="18"/>
          <w:color w:val="auto"/>
        </w:rPr>
        <w:t>and operational errors by our FlyMates and business partners may also expose us to losses. In our business model, subject to certain</w:t>
      </w:r>
    </w:p>
    <w:p>
      <w:pPr>
        <w:spacing w:after="0" w:line="235" w:lineRule="auto"/>
        <w:rPr>
          <w:sz w:val="20"/>
          <w:szCs w:val="20"/>
          <w:color w:val="auto"/>
        </w:rPr>
      </w:pPr>
      <w:r>
        <w:rPr>
          <w:rFonts w:ascii="Arial" w:cs="Arial" w:eastAsia="Arial" w:hAnsi="Arial"/>
          <w:sz w:val="18"/>
          <w:szCs w:val="18"/>
          <w:color w:val="auto"/>
        </w:rPr>
        <w:t>exceptions, we function as a merchant of record in connection with the receipt of payments by our clients’ customers, which subjects us to</w:t>
      </w:r>
    </w:p>
    <w:p>
      <w:pPr>
        <w:spacing w:after="0" w:line="234" w:lineRule="auto"/>
        <w:rPr>
          <w:sz w:val="20"/>
          <w:szCs w:val="20"/>
          <w:color w:val="auto"/>
        </w:rPr>
      </w:pPr>
      <w:r>
        <w:rPr>
          <w:rFonts w:ascii="Arial" w:cs="Arial" w:eastAsia="Arial" w:hAnsi="Arial"/>
          <w:sz w:val="18"/>
          <w:szCs w:val="18"/>
          <w:color w:val="auto"/>
        </w:rPr>
        <w:t>chargeback risk in the event a client’s customer cancels or otherwise does not receive the services for which such customer paid. Although</w:t>
      </w:r>
    </w:p>
    <w:p>
      <w:pPr>
        <w:spacing w:after="0" w:line="235" w:lineRule="auto"/>
        <w:rPr>
          <w:sz w:val="20"/>
          <w:szCs w:val="20"/>
          <w:color w:val="auto"/>
        </w:rPr>
      </w:pPr>
      <w:r>
        <w:rPr>
          <w:rFonts w:ascii="Arial" w:cs="Arial" w:eastAsia="Arial" w:hAnsi="Arial"/>
          <w:sz w:val="18"/>
          <w:szCs w:val="18"/>
          <w:color w:val="auto"/>
        </w:rPr>
        <w:t>our client contracts allow us to pass such chargeback risk to our client, if a client has gone out of business, we are unable to collect on the</w:t>
      </w:r>
    </w:p>
    <w:p>
      <w:pPr>
        <w:spacing w:after="0"/>
        <w:rPr>
          <w:sz w:val="20"/>
          <w:szCs w:val="20"/>
          <w:color w:val="auto"/>
        </w:rPr>
      </w:pPr>
      <w:r>
        <w:rPr>
          <w:rFonts w:ascii="Arial" w:cs="Arial" w:eastAsia="Arial" w:hAnsi="Arial"/>
          <w:sz w:val="18"/>
          <w:szCs w:val="18"/>
          <w:color w:val="auto"/>
        </w:rPr>
        <w:t>chargeback and will bear the economic loss, which can negatively impact our business.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jc w:val="both"/>
        <w:ind w:right="620" w:firstLine="509"/>
        <w:spacing w:after="0" w:line="246"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149" w:lineRule="exact"/>
        <w:rPr>
          <w:sz w:val="20"/>
          <w:szCs w:val="20"/>
          <w:color w:val="auto"/>
        </w:rPr>
      </w:pPr>
    </w:p>
    <w:p>
      <w:pPr>
        <w:ind w:left="900" w:hanging="26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lost or delayed market acceptance and acquisition of new clients;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legal claims against us;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enforcement action; or</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diversion of our resources, including through increased service expenses or financial concessions, and increased insurance costs.</w:t>
      </w:r>
    </w:p>
    <w:p>
      <w:pPr>
        <w:spacing w:after="0" w:line="195"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46"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Our management of our operating funds and client funds may be reliant on a limited number of our banking partners and other financial institutions.</w:t>
      </w:r>
    </w:p>
    <w:p>
      <w:pPr>
        <w:spacing w:after="0" w:line="98"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our own funds or if client funds were in any way impacted, we could be adversely impacted, including by experiencing reputational damage and claims for restitution, potentially interfering with our existing client relationships or making us less attractive to potential new clients.</w:t>
      </w:r>
    </w:p>
    <w:p>
      <w:pPr>
        <w:spacing w:after="0" w:line="147"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b w:val="1"/>
          <w:bCs w:val="1"/>
          <w:i w:val="1"/>
          <w:iCs w:val="1"/>
          <w:color w:val="auto"/>
        </w:rPr>
        <w:t>Volatility in the banking and financial services ecosystems may impact our bank partnerships and relationships, which could adversely affect our operations and liquidity.</w:t>
      </w:r>
    </w:p>
    <w:p>
      <w:pPr>
        <w:spacing w:after="0" w:line="112"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Instability and volatility in the banking and financial services ecosystems, including limited liquidity, defaults, non-performance or other adverse developments that affect the banking ecosystem, or concerns or rumors about any such events or other similar risks, has and may in the future increase uncertainty in the global economy and the risk of a recession. Volatility in the banking and financial services sectors may impact our bank partnerships and relationships, which could adversely affect our operations and liquidity.</w:t>
      </w:r>
    </w:p>
    <w:p>
      <w:pPr>
        <w:spacing w:after="0" w:line="136"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cash equivalents include money market funds, which are AAA-rated and comprised of liquid, high-quality debt securities issued by the U.S. government. Our access to our cash and cash equivalents and client funds could be significantly impacted in volatile markets given our concentration in government money market funds or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regulatory or other claims or litigation, which may be costly to address.</w:t>
      </w:r>
    </w:p>
    <w:p>
      <w:pPr>
        <w:spacing w:after="0" w:line="145"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5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1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42"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due to regulatory restrictions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4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1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5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NACHA, which manages the governance of the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PCI DSS and network requirements. The loss, destruction or unauthorized modification or disclosure of merchant or cardholder data by us or our contracted third parties could result in significant fines, sanctions, claims, litigation and proceedings or actions against us by the payment networks, governmental entities, clients, client customers or others and damage our reputation.</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Relevant U.S. federal privacy laws include the FERPA, the Gramm-Leach-Bliley Act (GLBA), and HIPAA.</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and could materially adversely affect our reputation and business.</w:t>
      </w:r>
    </w:p>
    <w:p>
      <w:pPr>
        <w:spacing w:after="0" w:line="156"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4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42"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still not currently aware of any impact that the SolarWinds supply chain attack had on our business, the scope of the attack is still undetermined. Therefore, there is residual risk that we could experience a security breach arising from the SolarWinds supply chain attack.</w:t>
      </w:r>
    </w:p>
    <w:p>
      <w:pPr>
        <w:spacing w:after="0" w:line="14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 and our reputation may be harmed. Additional risks will emerge to the extent we incorporate artificial intelligence in our solutions. Artificial intelligence algorithms or automated processing of data may be flawed, and datasets may be insufficient or may use third party artificial intelligence with unclear intellectual property rights or interests. Inappropriate or controversial data practices by us or others could subject us to lawsuits, regulatory investigations, legal and financial liability, or reputational harm. Additionally, our use of artificial intelligence may create additional cybersecurity risks or increase cybersecurity risks, including risks of security breaches and incidents.</w:t>
      </w:r>
    </w:p>
    <w:p>
      <w:pPr>
        <w:spacing w:after="0" w:line="159"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4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and security vulnerabilities can disrupt our business and harm our competitive position.</w:t>
      </w:r>
    </w:p>
    <w:p>
      <w:pPr>
        <w:spacing w:after="0" w:line="18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wars in the Ukraine and Gaza and continued political uncertainty involving Russia and Ukraine, and Israel and Hamas, respectively, and potentially other regions of Europe and the Middle East, there is an increased likelihood that escalation of tensions could result in cyberattacks that could either directly or indirectly impact our operations. Because of this, we face additional cybersecurity challenges, including threats to our own IT infrastructure or those of our clients, our customers’ clients,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3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settlement amounts and disputes with insurance carriers concerning coverage. In addition, sufficient insurance coverage may become increasingly expensive to maintain as incidents increase globally.</w:t>
      </w:r>
    </w:p>
    <w:p>
      <w:pPr>
        <w:spacing w:after="0" w:line="12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customers, FlyMates or other third parties, which could expose us to material financial losses and liability and otherwise harm our business.</w:t>
      </w:r>
    </w:p>
    <w:p>
      <w:pPr>
        <w:spacing w:after="0" w:line="98"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 parties.</w:t>
      </w:r>
    </w:p>
    <w:p>
      <w:pPr>
        <w:spacing w:after="0" w:line="14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spacing w:after="0" w:line="15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Our current business, the changing and uncertain economic, geopolitical and regulatory environment, and our anticipated domestic and international growth will continue to place significant demands on our risk management and compliance efforts. As our business grows and becomes more complex, we will need to continue developing and improving and investing in our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4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If we fail to adapt and respond effectively to rapidly and significantly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1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Rapid and significant technological changes, evolving industry standards, changing regulations and business needs continue to confront the verticals in which we operate, including developments in digital banking, open banking, mobile financial apps, as well as developments in cryptocurrencies and in tokenization (e.g., replacing sensitive data such as payment card information) with symbols (tokens) to keep the data safe), blockchain, and artificial intelligence, including machine learning. The success of our business will depend, in part, on our ability to adapt and respond effectively to these changes through methods which include launching new solutions and incorporating new technologies, such as generative artificial intelligence, into our solutions.</w:t>
      </w:r>
    </w:p>
    <w:p>
      <w:pPr>
        <w:spacing w:after="0" w:line="159"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Spain, Romania, the United States, Israel and Australia), which can create logistical challenges. If we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spacing w:after="0" w:line="158" w:lineRule="exact"/>
        <w:rPr>
          <w:sz w:val="20"/>
          <w:szCs w:val="20"/>
          <w:color w:val="auto"/>
        </w:rPr>
      </w:pPr>
    </w:p>
    <w:p>
      <w:pPr>
        <w:ind w:right="740"/>
        <w:spacing w:after="0" w:line="278" w:lineRule="auto"/>
        <w:rPr>
          <w:sz w:val="20"/>
          <w:szCs w:val="20"/>
          <w:color w:val="auto"/>
        </w:rPr>
      </w:pPr>
      <w:r>
        <w:rPr>
          <w:rFonts w:ascii="Arial" w:cs="Arial" w:eastAsia="Arial" w:hAnsi="Arial"/>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9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18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4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1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jc w:val="both"/>
        <w:ind w:right="520" w:firstLine="509"/>
        <w:spacing w:after="0" w:line="252" w:lineRule="auto"/>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4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42"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7"/>
          <w:szCs w:val="17"/>
          <w:color w:val="auto"/>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15"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If we fail to maintain, protect and enhance our brand, our ability to expand our client base will be impaired and our business, operating results, and financial condition may suffer.</w:t>
      </w:r>
    </w:p>
    <w:p>
      <w:pPr>
        <w:spacing w:after="0" w:line="11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believe that further developing, maintaining, protecting and enhancing our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or if we incur excessive expenses in this effort, our business could suffer.</w:t>
      </w:r>
    </w:p>
    <w:p>
      <w:pPr>
        <w:spacing w:after="0" w:line="144" w:lineRule="exact"/>
        <w:rPr>
          <w:sz w:val="20"/>
          <w:szCs w:val="20"/>
          <w:color w:val="auto"/>
        </w:rPr>
      </w:pPr>
    </w:p>
    <w:p>
      <w:pPr>
        <w:ind w:right="500" w:firstLine="509"/>
        <w:spacing w:after="0" w:line="243" w:lineRule="auto"/>
        <w:rPr>
          <w:sz w:val="20"/>
          <w:szCs w:val="20"/>
          <w:color w:val="auto"/>
        </w:rPr>
      </w:pPr>
      <w:r>
        <w:rPr>
          <w:rFonts w:ascii="Arial" w:cs="Arial" w:eastAsia="Arial" w:hAnsi="Arial"/>
          <w:sz w:val="18"/>
          <w:szCs w:val="18"/>
          <w:color w:val="auto"/>
        </w:rPr>
        <w:t>The introduction and promotion of new solutions, as well as the promotion of existing solutions, may be partly dependent on our visibility on third-party advertising platforms, such as Google, LinkedIn, Facebook, or X. Changes in the way these platforms operate or changes in their advertising prices, data use practices or other terms could make the maintenance and promotion of our products and services and our brands more expensive or more difficult. If we are unable to market and promote our brands on third-party platforms effectively, our ability to acquire new clients would be materially harmed.</w:t>
      </w:r>
    </w:p>
    <w:p>
      <w:pPr>
        <w:spacing w:after="0" w:line="139"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Harm to our brand can arise from many sources, including failure by us or our partners and service providers to satisfy expectations of service and quality; inadequate protection or misuse of sensitive information; fraud committed by third parties using our solutions; compliance failures and claims; litigation, regulatory and other claims; errors caused by us or our partners; and misconduct by our partners, service providers, or other counterparties. In addition, negative statements about us can cause and have caused a decline in the market price of our common stock, divert our management’s attention and resources, and could cause other adverse impacts to our business. Partners with whom we maintain relationships could engage in behavior or use their platforms to communicate directly with our clients and their customers in a manner that reflects poorly on our brand and such behavior or communications may adversely affect us. Further, negative publicity or commentary regarding the partners who are, or are perceived to be, affiliated with us may also damage our reputation, even if the negative publicity or commentary is not directly related to us. Any negative publicity about the industries we operate in or our company, the quality and reliability of our solutions, our risk management processes, changes to our products and services, our ability to effectively manage and resolve customer complaints, our privacy, data protection, and information security practices, litigation, regulatory activity, policy positions, and the experience of our customers with us, our products or services could adversely affect our reputation and the confidence in and use of our solutions. If we do not successfully maintain, protect or enhance our brands, our business could be materially and adversely affected.</w:t>
      </w:r>
    </w:p>
    <w:p>
      <w:pPr>
        <w:spacing w:after="0" w:line="152"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98"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In August 2023, we announced that Michael Ellis, our Chief Financial Officer, would be transitioning from such position in 2024, and we recently announced the appointment of Cosmin Pitigoi as our new Chief Financial Officer to join in March 2024. This or other changes in our senior management may be disruptive to our business, and, if we are unable to manage an orderly transition, our business may be adversely affected.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63"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9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182"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69" w:lineRule="exact"/>
        <w:rPr>
          <w:sz w:val="20"/>
          <w:szCs w:val="20"/>
          <w:color w:val="auto"/>
        </w:rPr>
      </w:pPr>
    </w:p>
    <w:p>
      <w:pPr>
        <w:ind w:right="320" w:firstLine="509"/>
        <w:spacing w:after="0" w:line="301" w:lineRule="auto"/>
        <w:rPr>
          <w:sz w:val="20"/>
          <w:szCs w:val="20"/>
          <w:color w:val="auto"/>
        </w:rPr>
      </w:pPr>
      <w:r>
        <w:rPr>
          <w:rFonts w:ascii="Arial" w:cs="Arial" w:eastAsia="Arial" w:hAnsi="Arial"/>
          <w:sz w:val="17"/>
          <w:szCs w:val="17"/>
          <w:color w:val="auto"/>
        </w:rPr>
        <w:t>We devote significant resources to establish relationships with new clients and deepen relationships with existing clients. The sales cycles of our solutions tend to vary depending on the client industry sector which may make forecasting more complex and uncertain.</w:t>
      </w:r>
    </w:p>
    <w:p>
      <w:pPr>
        <w:spacing w:after="0" w:line="10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increased inflationary conditions, recession concerns and the escalation of hostilities between Russia and Ukraine, and Israel and Hamas),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business conducted with these clients. If we fail to realize an expected sale from a large end-client in a particular quarter or at all, our business, operating results, and financial condition could be materially and adversely affected.</w:t>
      </w:r>
    </w:p>
    <w:p>
      <w:pPr>
        <w:spacing w:after="0" w:line="126"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spacing w:after="0" w:line="141"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98"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or maintain profitability. Any increased or unexpected costs or unanticipated delays, including delays caused by factors outside of our control, could cause our operating results to suffer.</w:t>
      </w:r>
    </w:p>
    <w:p>
      <w:pPr>
        <w:spacing w:after="0" w:line="160"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9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41" w:lineRule="exact"/>
        <w:rPr>
          <w:sz w:val="20"/>
          <w:szCs w:val="20"/>
          <w:color w:val="auto"/>
        </w:rPr>
      </w:pPr>
    </w:p>
    <w:p>
      <w:pPr>
        <w:ind w:right="240" w:firstLine="509"/>
        <w:spacing w:after="0" w:line="246" w:lineRule="auto"/>
        <w:rPr>
          <w:sz w:val="20"/>
          <w:szCs w:val="20"/>
          <w:color w:val="auto"/>
        </w:rPr>
      </w:pPr>
      <w:r>
        <w:rPr>
          <w:rFonts w:ascii="Arial" w:cs="Arial" w:eastAsia="Arial" w:hAnsi="Arial"/>
          <w:sz w:val="18"/>
          <w:szCs w:val="18"/>
          <w:color w:val="auto"/>
        </w:rPr>
        <w:t>In addition, as we continue to operate and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spacing w:after="0" w:line="151"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98"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18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acquisitions we undertake or have recently completed, including the acquisitions of StudyLink in November 2023 and Cohort Go in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July 2022, will likely be accompanied by business risks which may include, among other things:</w:t>
      </w:r>
    </w:p>
    <w:p>
      <w:pPr>
        <w:spacing w:after="0" w:line="153" w:lineRule="exact"/>
        <w:rPr>
          <w:sz w:val="20"/>
          <w:szCs w:val="20"/>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the acquisition on our financial results, strategic position or reputation;</w:t>
      </w:r>
    </w:p>
    <w:p>
      <w:pPr>
        <w:spacing w:after="0" w:line="196" w:lineRule="exact"/>
        <w:rPr>
          <w:rFonts w:ascii="Times New Roman" w:cs="Times New Roman" w:eastAsia="Times New Roman" w:hAnsi="Times New Roman"/>
          <w:sz w:val="18"/>
          <w:szCs w:val="18"/>
          <w:color w:val="auto"/>
        </w:rPr>
      </w:pPr>
    </w:p>
    <w:p>
      <w:pPr>
        <w:ind w:left="900" w:right="14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113" w:lineRule="exact"/>
        <w:rPr>
          <w:rFonts w:ascii="Times New Roman" w:cs="Times New Roman" w:eastAsia="Times New Roman" w:hAnsi="Times New Roman"/>
          <w:sz w:val="18"/>
          <w:szCs w:val="18"/>
          <w:color w:val="auto"/>
        </w:rPr>
      </w:pPr>
    </w:p>
    <w:p>
      <w:pPr>
        <w:ind w:left="900" w:right="102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196" w:lineRule="exact"/>
        <w:rPr>
          <w:rFonts w:ascii="Times New Roman" w:cs="Times New Roman" w:eastAsia="Times New Roman" w:hAnsi="Times New Roman"/>
          <w:sz w:val="18"/>
          <w:szCs w:val="18"/>
          <w:color w:val="auto"/>
        </w:rPr>
      </w:pPr>
    </w:p>
    <w:p>
      <w:pPr>
        <w:ind w:left="900" w:right="46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13" w:lineRule="exact"/>
        <w:rPr>
          <w:rFonts w:ascii="Times New Roman" w:cs="Times New Roman" w:eastAsia="Times New Roman" w:hAnsi="Times New Roman"/>
          <w:sz w:val="18"/>
          <w:szCs w:val="18"/>
          <w:color w:val="auto"/>
        </w:rPr>
      </w:pPr>
    </w:p>
    <w:p>
      <w:pPr>
        <w:ind w:left="900" w:right="20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lack of experience in new markets, new geographies, new business culture, products or technologies or an initial dependence on unfamiliar distribution partners;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impairment of relationships with our clients, clients' customers, partners or suppliers or those of the acquired business;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loss of key employees of the acquired business.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84"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could harm our business.</w:t>
      </w:r>
    </w:p>
    <w:p>
      <w:pPr>
        <w:spacing w:after="0" w:line="16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an escalation of the conflicts between Russia and Ukraine, and Israel and Hamas, respectively,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recovery plans, and more rigorous testing of such plans, which may be costly and time-consuming to implement, and may divert our resources from other business priorities.</w:t>
      </w:r>
    </w:p>
    <w:p>
      <w:pPr>
        <w:spacing w:after="0" w:line="12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42"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42"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We use public cloud hosting with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may experience financial losses due to a number of factors, including:</w:t>
      </w:r>
    </w:p>
    <w:p>
      <w:pPr>
        <w:spacing w:after="0" w:line="103" w:lineRule="exact"/>
        <w:rPr>
          <w:sz w:val="20"/>
          <w:szCs w:val="20"/>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supply chain impacts, including shortages of goods, raw materials, increased prices or delays in shipment;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to the availability and reliability of our network due to changes to normal operations;</w:t>
      </w:r>
    </w:p>
    <w:p>
      <w:pPr>
        <w:spacing w:after="0" w:line="115" w:lineRule="exact"/>
        <w:rPr>
          <w:rFonts w:ascii="Times New Roman" w:cs="Times New Roman" w:eastAsia="Times New Roman" w:hAnsi="Times New Roman"/>
          <w:sz w:val="18"/>
          <w:szCs w:val="18"/>
          <w:color w:val="auto"/>
        </w:rPr>
      </w:pPr>
    </w:p>
    <w:p>
      <w:pPr>
        <w:ind w:left="1020" w:right="40" w:hanging="504"/>
        <w:spacing w:after="0" w:line="300" w:lineRule="auto"/>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increased cyber and payment fraud risk, as cybercriminals attempt DDoS related attacks, phishing scams and other disruptive actions, given the shift to online banking, e-commerce and other online activity, as well as more FlyMates working remotely; and</w:t>
      </w:r>
    </w:p>
    <w:p>
      <w:pPr>
        <w:spacing w:after="0" w:line="22" w:lineRule="exact"/>
        <w:rPr>
          <w:rFonts w:ascii="Times New Roman" w:cs="Times New Roman" w:eastAsia="Times New Roman" w:hAnsi="Times New Roman"/>
          <w:sz w:val="17"/>
          <w:szCs w:val="17"/>
          <w:color w:val="auto"/>
        </w:rPr>
      </w:pPr>
    </w:p>
    <w:p>
      <w:pPr>
        <w:ind w:left="1020" w:hanging="504"/>
        <w:spacing w:after="0" w:line="274" w:lineRule="auto"/>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w:t>
      </w:r>
    </w:p>
    <w:p>
      <w:pPr>
        <w:spacing w:after="0" w:line="112"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we could experience interruptions in access to our solutions as well as delays and additional expense in arranging new facilities and services.</w:t>
      </w:r>
    </w:p>
    <w:p>
      <w:pPr>
        <w:spacing w:after="0" w:line="196"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39"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86"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i w:val="1"/>
          <w:iCs w:val="1"/>
          <w:color w:val="auto"/>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23" w:lineRule="exact"/>
        <w:rPr>
          <w:sz w:val="20"/>
          <w:szCs w:val="20"/>
          <w:color w:val="auto"/>
        </w:rPr>
      </w:pPr>
    </w:p>
    <w:p>
      <w:pPr>
        <w:ind w:right="160" w:firstLine="509"/>
        <w:spacing w:after="0" w:line="254" w:lineRule="auto"/>
        <w:rPr>
          <w:sz w:val="20"/>
          <w:szCs w:val="20"/>
          <w:color w:val="auto"/>
        </w:rPr>
      </w:pPr>
      <w:r>
        <w:rPr>
          <w:rFonts w:ascii="Arial" w:cs="Arial" w:eastAsia="Arial" w:hAnsi="Arial"/>
          <w:sz w:val="17"/>
          <w:szCs w:val="17"/>
          <w:color w:val="auto"/>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United States-China and Canada -India diplomatic and trade friction, heightened tensions between China and Taiwan and the escalation of the conflicts between Russia and Ukraine, and Israel and Hamas, respectively,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129" w:lineRule="exact"/>
        <w:rPr>
          <w:sz w:val="20"/>
          <w:szCs w:val="20"/>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volatility;</w:t>
      </w:r>
    </w:p>
    <w:p>
      <w:pPr>
        <w:spacing w:after="0" w:line="196" w:lineRule="exact"/>
        <w:rPr>
          <w:rFonts w:ascii="Times New Roman" w:cs="Times New Roman" w:eastAsia="Times New Roman" w:hAnsi="Times New Roman"/>
          <w:sz w:val="18"/>
          <w:szCs w:val="18"/>
          <w:color w:val="auto"/>
        </w:rPr>
      </w:pPr>
    </w:p>
    <w:p>
      <w:pPr>
        <w:ind w:left="900" w:right="24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adverse economic conditions in the United States and globally, including economic slowdown, inflation, recession concerns and the disruption, volatility and tightening of credit and capital markets;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compliance with multiple complex, potentially conflicting and changing governmental laws and regulations;</w:t>
      </w:r>
    </w:p>
    <w:p>
      <w:pPr>
        <w:spacing w:after="0" w:line="183" w:lineRule="exact"/>
        <w:rPr>
          <w:rFonts w:ascii="Times New Roman" w:cs="Times New Roman" w:eastAsia="Times New Roman" w:hAnsi="Times New Roman"/>
          <w:sz w:val="18"/>
          <w:szCs w:val="18"/>
          <w:color w:val="auto"/>
        </w:rPr>
      </w:pPr>
    </w:p>
    <w:p>
      <w:pPr>
        <w:ind w:left="900" w:right="12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183" w:lineRule="exact"/>
        <w:rPr>
          <w:rFonts w:ascii="Times New Roman" w:cs="Times New Roman" w:eastAsia="Times New Roman" w:hAnsi="Times New Roman"/>
          <w:sz w:val="18"/>
          <w:szCs w:val="18"/>
          <w:color w:val="auto"/>
        </w:rPr>
      </w:pPr>
    </w:p>
    <w:p>
      <w:pPr>
        <w:ind w:left="900" w:right="720" w:hanging="263"/>
        <w:spacing w:after="0" w:line="300" w:lineRule="auto"/>
        <w:tabs>
          <w:tab w:leader="none" w:pos="90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90" w:lineRule="exact"/>
        <w:rPr>
          <w:rFonts w:ascii="Times New Roman" w:cs="Times New Roman" w:eastAsia="Times New Roman" w:hAnsi="Times New Roman"/>
          <w:sz w:val="17"/>
          <w:szCs w:val="17"/>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trade barriers and changes in trade regulations;</w:t>
      </w:r>
    </w:p>
    <w:p>
      <w:pPr>
        <w:spacing w:after="0" w:line="196" w:lineRule="exact"/>
        <w:rPr>
          <w:rFonts w:ascii="Times New Roman" w:cs="Times New Roman" w:eastAsia="Times New Roman" w:hAnsi="Times New Roman"/>
          <w:sz w:val="18"/>
          <w:szCs w:val="18"/>
          <w:color w:val="auto"/>
        </w:rPr>
      </w:pPr>
    </w:p>
    <w:p>
      <w:pPr>
        <w:ind w:left="900" w:right="40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sanctions on our ability to offer services in a region, such as sanctions issued by the U.S. and other countries against Russia;</w:t>
      </w:r>
    </w:p>
    <w:p>
      <w:pPr>
        <w:spacing w:after="0" w:line="113" w:lineRule="exact"/>
        <w:rPr>
          <w:rFonts w:ascii="Times New Roman" w:cs="Times New Roman" w:eastAsia="Times New Roman" w:hAnsi="Times New Roman"/>
          <w:sz w:val="18"/>
          <w:szCs w:val="18"/>
          <w:color w:val="auto"/>
        </w:rPr>
      </w:pPr>
    </w:p>
    <w:p>
      <w:pPr>
        <w:ind w:left="900" w:right="28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left="900" w:hanging="26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stringent local labor laws and regulations;</w:t>
      </w:r>
    </w:p>
    <w:p>
      <w:pPr>
        <w:spacing w:after="0" w:line="196" w:lineRule="exact"/>
        <w:rPr>
          <w:rFonts w:ascii="Times New Roman" w:cs="Times New Roman" w:eastAsia="Times New Roman" w:hAnsi="Times New Roman"/>
          <w:sz w:val="18"/>
          <w:szCs w:val="18"/>
          <w:color w:val="auto"/>
        </w:rPr>
      </w:pPr>
    </w:p>
    <w:p>
      <w:pPr>
        <w:ind w:left="900" w:right="340" w:hanging="263"/>
        <w:spacing w:after="0" w:line="270"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113" w:lineRule="exact"/>
        <w:rPr>
          <w:rFonts w:ascii="Times New Roman" w:cs="Times New Roman" w:eastAsia="Times New Roman" w:hAnsi="Times New Roman"/>
          <w:sz w:val="18"/>
          <w:szCs w:val="18"/>
          <w:color w:val="auto"/>
        </w:rPr>
      </w:pPr>
    </w:p>
    <w:p>
      <w:pPr>
        <w:ind w:left="900" w:hanging="263"/>
        <w:spacing w:after="0" w:line="270"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diplomatic friction, political or social unrest, war or other military conflict, including an escalation of the conflict between Russia and Ukraine, and between Israel and Hamas, respectively, economic instability, repression, or human rights issues;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196" w:lineRule="exact"/>
        <w:rPr>
          <w:rFonts w:ascii="Times New Roman" w:cs="Times New Roman" w:eastAsia="Times New Roman" w:hAnsi="Times New Roman"/>
          <w:sz w:val="18"/>
          <w:szCs w:val="18"/>
          <w:color w:val="auto"/>
        </w:rPr>
      </w:pPr>
    </w:p>
    <w:p>
      <w:pPr>
        <w:ind w:left="900" w:right="420" w:hanging="263"/>
        <w:spacing w:after="0" w:line="270"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83" w:lineRule="exact"/>
        <w:rPr>
          <w:rFonts w:ascii="Times New Roman" w:cs="Times New Roman" w:eastAsia="Times New Roman" w:hAnsi="Times New Roman"/>
          <w:sz w:val="18"/>
          <w:szCs w:val="18"/>
          <w:color w:val="auto"/>
        </w:rPr>
      </w:pPr>
    </w:p>
    <w:p>
      <w:pPr>
        <w:ind w:left="900" w:right="40" w:hanging="263"/>
        <w:spacing w:after="0" w:line="270"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antitrust and competition regulations;</w:t>
      </w:r>
    </w:p>
    <w:p>
      <w:pPr>
        <w:spacing w:after="0" w:line="183" w:lineRule="exact"/>
        <w:rPr>
          <w:rFonts w:ascii="Times New Roman" w:cs="Times New Roman" w:eastAsia="Times New Roman" w:hAnsi="Times New Roman"/>
          <w:sz w:val="18"/>
          <w:szCs w:val="18"/>
          <w:color w:val="auto"/>
        </w:rPr>
      </w:pPr>
    </w:p>
    <w:p>
      <w:pPr>
        <w:ind w:left="900" w:right="320" w:hanging="263"/>
        <w:spacing w:after="0" w:line="265" w:lineRule="auto"/>
        <w:tabs>
          <w:tab w:leader="none" w:pos="90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Inflation Reduction Act of 2022, which includes a minimum corporate tax which could result in an additional tax liability in a given year;</w:t>
      </w:r>
    </w:p>
    <w:p>
      <w:pPr>
        <w:spacing w:after="0" w:line="120" w:lineRule="exact"/>
        <w:rPr>
          <w:rFonts w:ascii="Times New Roman" w:cs="Times New Roman" w:eastAsia="Times New Roman" w:hAnsi="Times New Roman"/>
          <w:sz w:val="17"/>
          <w:szCs w:val="17"/>
          <w:color w:val="auto"/>
        </w:rPr>
      </w:pPr>
    </w:p>
    <w:p>
      <w:pPr>
        <w:ind w:left="900" w:right="500" w:hanging="263"/>
        <w:spacing w:after="0" w:line="270"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federal government shutdowns, partisan gridlock that results in the inability of Congress to take action or changes to government policy;</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national or regional differences in macroeconomic growth rates;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difficulties in collecting accounts receivable.</w:t>
      </w:r>
    </w:p>
    <w:p>
      <w:pPr>
        <w:spacing w:after="0" w:line="18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5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or impose regulatory requirements that may require modifications to our business model for our clients' payors located in China.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41"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46"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9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45"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Certain of our subsidiaries are registered with FinCEN. Our subsidiary Flywire Global Corp. has obtained licenses to operate as a money transmitter (or the statutory equivalent) in 42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spacing w:after="0" w:line="15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52"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adoption of new money transmitter or MSB statutes in jurisdictions or changes in regulators’ interpretation of existing state and federal money transmitter or MSB statutes or regulations could subject us to new registration or</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54"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98"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44"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Government agencies may impose new or additional rules on money transmission, which may increase our costs of doing business, including, but not limited to regulations that:</w:t>
      </w:r>
    </w:p>
    <w:p>
      <w:pPr>
        <w:spacing w:after="0" w:line="126" w:lineRule="exact"/>
        <w:rPr>
          <w:sz w:val="20"/>
          <w:szCs w:val="20"/>
          <w:color w:val="auto"/>
        </w:rPr>
      </w:pPr>
    </w:p>
    <w:p>
      <w:pPr>
        <w:ind w:left="900" w:right="280" w:hanging="263"/>
        <w:spacing w:after="0" w:line="270"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client identification and client due diligence requirements;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96" w:lineRule="exact"/>
        <w:rPr>
          <w:rFonts w:ascii="Times New Roman" w:cs="Times New Roman" w:eastAsia="Times New Roman" w:hAnsi="Times New Roman"/>
          <w:sz w:val="18"/>
          <w:szCs w:val="18"/>
          <w:color w:val="auto"/>
        </w:rPr>
      </w:pPr>
    </w:p>
    <w:p>
      <w:pPr>
        <w:ind w:left="900" w:right="800" w:hanging="263"/>
        <w:spacing w:after="0" w:line="270"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impose minimum capital or other financial requirements;</w:t>
      </w:r>
    </w:p>
    <w:p>
      <w:pPr>
        <w:spacing w:after="0" w:line="183" w:lineRule="exact"/>
        <w:rPr>
          <w:rFonts w:ascii="Times New Roman" w:cs="Times New Roman" w:eastAsia="Times New Roman" w:hAnsi="Times New Roman"/>
          <w:sz w:val="18"/>
          <w:szCs w:val="18"/>
          <w:color w:val="auto"/>
        </w:rPr>
      </w:pPr>
    </w:p>
    <w:p>
      <w:pPr>
        <w:ind w:left="900" w:right="420" w:hanging="263"/>
        <w:spacing w:after="0" w:line="252"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142"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183" w:lineRule="exact"/>
        <w:rPr>
          <w:rFonts w:ascii="Times New Roman" w:cs="Times New Roman" w:eastAsia="Times New Roman" w:hAnsi="Times New Roman"/>
          <w:sz w:val="18"/>
          <w:szCs w:val="18"/>
          <w:color w:val="auto"/>
        </w:rPr>
      </w:pPr>
    </w:p>
    <w:p>
      <w:pPr>
        <w:ind w:left="900" w:right="300" w:hanging="263"/>
        <w:spacing w:after="0" w:line="270"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113" w:lineRule="exact"/>
        <w:rPr>
          <w:rFonts w:ascii="Times New Roman" w:cs="Times New Roman" w:eastAsia="Times New Roman" w:hAnsi="Times New Roman"/>
          <w:sz w:val="18"/>
          <w:szCs w:val="18"/>
          <w:color w:val="auto"/>
        </w:rPr>
      </w:pPr>
    </w:p>
    <w:p>
      <w:pPr>
        <w:ind w:left="900" w:right="140" w:hanging="263"/>
        <w:spacing w:after="0" w:line="270"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126" w:lineRule="exact"/>
        <w:rPr>
          <w:rFonts w:ascii="Times New Roman" w:cs="Times New Roman" w:eastAsia="Times New Roman" w:hAnsi="Times New Roman"/>
          <w:sz w:val="18"/>
          <w:szCs w:val="18"/>
          <w:color w:val="auto"/>
        </w:rPr>
      </w:pPr>
    </w:p>
    <w:p>
      <w:pPr>
        <w:ind w:left="900" w:right="540" w:hanging="263"/>
        <w:spacing w:after="0" w:line="270"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15"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AML and CFT that could impair our ability to compete in international markets or subject us to criminal or civil liability if we violate them.</w:t>
      </w:r>
    </w:p>
    <w:p>
      <w:pPr>
        <w:spacing w:after="0" w:line="9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are currently required to comply with U.S. economic and trade sanctions administered by OFAC and we have processes in place to comply with the OFAC regulations as well as similar requirements in the foreign jurisdictions in which we already operate. As part of our compliance efforts, we scan our clients and their customers 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implementing geolocation data-based sanctions screening measures, we identified certain payments which, based on geolocation data, appear to have been initiated from Cuba, Iran, or Syria, in potential violation of applicable sanctions regimes. We have made a voluntary submission to OFAC to report the potential violations. Although the internal investigation completed to date suggests that any loss incurred as a result of this matter would not be material to our business, if OFAC ultimately concludes any violation has occurred in connection with these or other transactions, it could result in penalties, fines, costs, and restrictions on our ability to do business, which could also harm our operating results.</w:t>
      </w:r>
    </w:p>
    <w:p>
      <w:pPr>
        <w:spacing w:after="0" w:line="15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spacing w:after="0" w:line="142"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Our business operations in other parts of the world such as the U.K., Lithuania, Canada, Australia, New Zealand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spacing w:after="0" w:line="15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3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42"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 ordered to pay a $ 1.2 million penalty and, among other things, implement a monitoring and reporting program to demonstrate its ongoing compliance with the CCPA.</w:t>
      </w:r>
    </w:p>
    <w:p>
      <w:pPr>
        <w:spacing w:after="0" w:line="14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Additionally, the California Privacy Rights Act (CPRA), which was passed in November 2020 and became effective on January 1, 2023,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4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Several states in the U.S. have proposed or enacted laws that contain obligations similar to the CCPA and CPRA that have taken effect or will take effect in coming years. The U.S. federal government also is contemplating federal privacy legislation. The effects of recently proposed or enacted legislation potentially are far-reaching. Such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4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5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changes to internal business processes, changes to clients and clients' customer facing solutions, or may otherwise affect or restrict our sales and operations.</w:t>
      </w:r>
    </w:p>
    <w:p>
      <w:pPr>
        <w:spacing w:after="0" w:line="12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then in effect were required to be replaced with the New SCCs by December 27, 2022.</w:t>
      </w:r>
    </w:p>
    <w:p>
      <w:pPr>
        <w:spacing w:after="0" w:line="141"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 transfers. We are in the process of evaluating how we may self-certify as a participating organization with the U.S. Department of Commerce.</w:t>
      </w:r>
    </w:p>
    <w:p>
      <w:pPr>
        <w:spacing w:after="0" w:line="13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 € 20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156"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2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42" w:lineRule="exact"/>
        <w:rPr>
          <w:sz w:val="20"/>
          <w:szCs w:val="20"/>
          <w:color w:val="auto"/>
        </w:rPr>
      </w:pPr>
    </w:p>
    <w:p>
      <w:pPr>
        <w:ind w:right="320" w:firstLine="509"/>
        <w:spacing w:after="0" w:line="266" w:lineRule="auto"/>
        <w:rPr>
          <w:sz w:val="20"/>
          <w:szCs w:val="20"/>
          <w:color w:val="auto"/>
        </w:rPr>
      </w:pPr>
      <w:r>
        <w:rPr>
          <w:rFonts w:ascii="Arial" w:cs="Arial" w:eastAsia="Arial" w:hAnsi="Arial"/>
          <w:sz w:val="17"/>
          <w:szCs w:val="17"/>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3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APPI. We have taken steps to address compliance obligations that apply to us under the Amended APPI, but cannot assure you that such steps will be effective, and we may face the risk of increased costs, liability and loss of business.</w:t>
      </w:r>
    </w:p>
    <w:p>
      <w:pPr>
        <w:spacing w:after="0" w:line="126"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China (home to the most online users in the world) passed its DSL and its PIPL in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enforcement actions against Alibaba Group Holding Ltd and Didi Global Inc. in 2022.</w:t>
      </w:r>
    </w:p>
    <w:p>
      <w:pPr>
        <w:spacing w:after="0" w:line="142"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As a reaction to data security concerns, in 2022, the Australian parliament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spacing w:after="0" w:line="142" w:lineRule="exact"/>
        <w:rPr>
          <w:sz w:val="20"/>
          <w:szCs w:val="20"/>
          <w:color w:val="auto"/>
        </w:rPr>
      </w:pPr>
    </w:p>
    <w:p>
      <w:pPr>
        <w:jc w:val="both"/>
        <w:ind w:right="160" w:firstLine="509"/>
        <w:spacing w:after="0" w:line="252"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spacing w:after="0" w:line="14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3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44"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11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56"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3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February 2022, following Russia’s invasion of Ukraine, the United States and other countries announced sanctions against Russia. The sanctions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spacing w:after="0" w:line="156"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9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45"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 Furthermore, the growing use of generative artificial intelligence presents an increased risk of unintentional and/or unauthorized disclosure or use of our intellectual property rights.</w:t>
      </w:r>
    </w:p>
    <w:p>
      <w:pPr>
        <w:spacing w:after="0" w:line="14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4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44"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144"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9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158"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Indemnity and liability provisions in various agreements potentially expose us to substantial liability for intellectual property infringement, data protection, and other losses.</w:t>
      </w:r>
    </w:p>
    <w:p>
      <w:pPr>
        <w:spacing w:after="0" w:line="9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spacing w:after="0" w:line="144"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112"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42"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For example, the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spacing w:after="0" w:line="13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5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 to offset future taxable income may be subject to certain limitations.</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of December 31, 2023, we had U.S. federal NOL carryforwards of approximately $86.3 million and state NOL carryforwards of approximately $101.4 million. The federal and material state NOL carryforwards will begin to expire in 2032 and 2024,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Future changes in our stock ownership, many of which are outside of our control, could result in an ownership change under Sections 382 or 383 of the Code. Furthermore, our ability to utilize NOLs of companies that we may acquire in the future may be subject to limitations.</w:t>
      </w:r>
    </w:p>
    <w:p>
      <w:pPr>
        <w:spacing w:after="0" w:line="15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During 2022, the Company completed a Section 382 study and as a result of the ownership changes identified, $1.6 million of Flywire’s NOLs and $0.2 million of Simplee’s NOLs will expire unutilized, assuming sufficient taxable income is generated in the future. The Company is in the process of updating its Section 382 study and preliminary indications show there will be no additional limitations in using Federal and State NOL carryforwards.</w:t>
      </w:r>
    </w:p>
    <w:p>
      <w:pPr>
        <w:spacing w:after="0" w:line="136"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Under the Tax Cuts and Jobs Act enacted in 2017 as modified by the Coronavirus Aid, Relief, and Economic Security Act enacted in 2020,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1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58"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4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This assessment includes disclosure of any material weaknesses identified by our management in our internal control over financial reporting and our independent registered public accounting firm will be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spacing w:after="0" w:line="13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required to disclose changes made in our internal control and procedures on a quarterly basis. To comply with the requirements of being a public company, we have undertaken and expect to need to continue to undertake various actions, such as implementing new internal controls and procedures, hiring risk professionals, accounting and internal audit staff, and engaging outside consultants, which will increase our operating expenses.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actively engaged in the ongoing costly and challenging process of performing the evaluation needed to comply with Section</w:t>
      </w:r>
    </w:p>
    <w:p>
      <w:pPr>
        <w:spacing w:after="0" w:line="13" w:lineRule="exact"/>
        <w:rPr>
          <w:sz w:val="20"/>
          <w:szCs w:val="20"/>
          <w:color w:val="auto"/>
        </w:rPr>
      </w:pPr>
    </w:p>
    <w:p>
      <w:pPr>
        <w:ind w:right="100" w:firstLine="8"/>
        <w:spacing w:after="0" w:line="242"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3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Increased scrutiny from investors and others or changes in regulations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spacing w:after="0" w:line="13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Investor advocacy groups, certain institutional investors, investment funds, other market participants, stockholders, and consumer groups have focused increasingly on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environmental compliance, employee health and safety practices, cybersecurity and privacy, human capital management, and workforce equity,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spacing w:after="0" w:line="152"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In addition, increasing governmental interest in, and public awareness of, the impacts and effects of climate change and greater emphasis on sustainability by federal, state, and international governments could lead to further regulatory efforts to address the carbon impact of housing and travel. In particular, the current regulatory landscape regarding climate change (including disclosure requirements and requirements regarding energy and water use and efficiency), both within the United States and in many other locations where we operate worldwide, is evolving at a pace, and is likely to continue to develop in ways, that require our business to adapt. Many U.S. states, either individually or through multi-state regional initiatives, have begun to address greenhouse gas emissions, including disclosure requirements relating thereto, and some U.S. states have also adopted various ESG-related efforts, initiatives and requirements. As a result, governments may enact new laws and regulations and/or view matters or interpret laws and regulations differently than they have in the past, including laws and regulations which are responsive to ESG trends or otherwise seek to reduce the carbon emissions relating to travel and set minimum energy efficiency requirements, which could materially adversely affect our business, results of operations, and financial condition. The legislative landscape continues to be in a state of constant change as well as legal challenge with respect to these laws and regulations, making it difficult to predict with certainty the ultimate impact they will have on our business in the aggregate.</w:t>
      </w:r>
    </w:p>
    <w:p>
      <w:pPr>
        <w:spacing w:after="0" w:line="141"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compliance with our public company responsibilities and corporate governance practices.</w:t>
      </w:r>
    </w:p>
    <w:p>
      <w:pPr>
        <w:spacing w:after="0" w:line="98"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As a public company, we will continue to incur significant legal, accounting, and other expenses as a result of operating as a public company, which increased during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3"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active or liquid market in our common stock may not be sustainable.</w:t>
      </w:r>
    </w:p>
    <w:p>
      <w:pPr>
        <w:spacing w:after="0" w:line="184"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112" w:lineRule="exact"/>
        <w:rPr>
          <w:sz w:val="20"/>
          <w:szCs w:val="20"/>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overall performance of the equity markets;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operating performance and the performance of other similar companies;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roll out of new solutions;</w:t>
      </w:r>
    </w:p>
    <w:p>
      <w:pPr>
        <w:spacing w:after="0" w:line="183" w:lineRule="exact"/>
        <w:rPr>
          <w:rFonts w:ascii="Times New Roman" w:cs="Times New Roman" w:eastAsia="Times New Roman" w:hAnsi="Times New Roman"/>
          <w:sz w:val="18"/>
          <w:szCs w:val="18"/>
          <w:color w:val="auto"/>
        </w:rPr>
      </w:pPr>
    </w:p>
    <w:p>
      <w:pPr>
        <w:ind w:left="1020" w:right="480" w:hanging="504"/>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1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actions with respect to our payment solutions;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our solutions;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recruitment or departure of key personnel;</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economy as a whole and market conditions in our industry;</w:t>
      </w:r>
    </w:p>
    <w:p>
      <w:pPr>
        <w:spacing w:after="0" w:line="183" w:lineRule="exact"/>
        <w:rPr>
          <w:rFonts w:ascii="Times New Roman" w:cs="Times New Roman" w:eastAsia="Times New Roman" w:hAnsi="Times New Roman"/>
          <w:sz w:val="18"/>
          <w:szCs w:val="18"/>
          <w:color w:val="auto"/>
        </w:rPr>
      </w:pPr>
    </w:p>
    <w:p>
      <w:pPr>
        <w:ind w:left="1020" w:right="360" w:hanging="504"/>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or social unrest, war or other military conflict, including an escalation of the conflict between Russia and Ukraine, or between Israel and Hamas, respectively, economic instability, repression, or human rights issues;</w:t>
      </w:r>
    </w:p>
    <w:p>
      <w:pPr>
        <w:spacing w:after="0" w:line="11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that negatively impact international travel, study or commerce;</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payment systems;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effects of ongoing United States-China and Canada-India diplomatic and trade friction;</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expiration of market standoff or contractual lock-up agreements;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our market float; and</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factors discussed in this Annual Report on Form 10-K and our other SEC filings.</w:t>
      </w:r>
    </w:p>
    <w:p>
      <w:pPr>
        <w:spacing w:after="0" w:line="183"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w:t>
      </w:r>
    </w:p>
    <w:p>
      <w:pPr>
        <w:spacing w:after="0" w:line="126"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Concerns over economic recession, interest rate increases and inflation, supply chain delays and disruptions, policy priorities of the U.S. presidential administration and Congress,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spacing w:after="0" w:line="126"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3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11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58"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our cash and cash equivalents in ways that you and other stockholders may not approve.</w:t>
      </w:r>
    </w:p>
    <w:p>
      <w:pPr>
        <w:spacing w:after="0" w:line="16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which could cause our stock price to decline.</w:t>
      </w:r>
    </w:p>
    <w:p>
      <w:pPr>
        <w:spacing w:after="0" w:line="190"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9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41"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could cause the market price of our common stock to decline.</w:t>
      </w:r>
    </w:p>
    <w:p>
      <w:pPr>
        <w:spacing w:after="0" w:line="11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120,695,162 shares of our voting common stock and 1,873,320 shares of our non-voting common stock outstanding as of December 31, 2023.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spacing w:after="0" w:line="142"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spacing w:after="0" w:line="136" w:lineRule="exact"/>
        <w:rPr>
          <w:sz w:val="20"/>
          <w:szCs w:val="20"/>
          <w:color w:val="auto"/>
        </w:rPr>
      </w:pPr>
    </w:p>
    <w:p>
      <w:pPr>
        <w:ind w:right="320" w:firstLine="509"/>
        <w:spacing w:after="0" w:line="301"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05" w:lineRule="exact"/>
        <w:rPr>
          <w:sz w:val="20"/>
          <w:szCs w:val="20"/>
          <w:color w:val="auto"/>
        </w:rPr>
      </w:pPr>
    </w:p>
    <w:p>
      <w:pPr>
        <w:ind w:right="720"/>
        <w:spacing w:after="0" w:line="278"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As of December 31, 2023,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157"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9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46"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1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39" w:lineRule="exact"/>
        <w:rPr>
          <w:sz w:val="20"/>
          <w:szCs w:val="20"/>
          <w:color w:val="auto"/>
        </w:rPr>
      </w:pPr>
    </w:p>
    <w:p>
      <w:pPr>
        <w:ind w:left="900" w:right="700" w:hanging="263"/>
        <w:spacing w:after="0" w:line="270"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13" w:lineRule="exact"/>
        <w:rPr>
          <w:rFonts w:ascii="Times New Roman" w:cs="Times New Roman" w:eastAsia="Times New Roman" w:hAnsi="Times New Roman"/>
          <w:sz w:val="18"/>
          <w:szCs w:val="18"/>
          <w:color w:val="auto"/>
        </w:rPr>
      </w:pPr>
    </w:p>
    <w:p>
      <w:pPr>
        <w:jc w:val="both"/>
        <w:ind w:left="900" w:right="140" w:hanging="263"/>
        <w:spacing w:after="0" w:line="252"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42" w:lineRule="exact"/>
        <w:rPr>
          <w:rFonts w:ascii="Times New Roman" w:cs="Times New Roman" w:eastAsia="Times New Roman" w:hAnsi="Times New Roman"/>
          <w:sz w:val="18"/>
          <w:szCs w:val="18"/>
          <w:color w:val="auto"/>
        </w:rPr>
      </w:pPr>
    </w:p>
    <w:p>
      <w:pPr>
        <w:ind w:left="900" w:right="20" w:hanging="263"/>
        <w:spacing w:after="0" w:line="252"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29" w:lineRule="exact"/>
        <w:rPr>
          <w:rFonts w:ascii="Times New Roman" w:cs="Times New Roman" w:eastAsia="Times New Roman" w:hAnsi="Times New Roman"/>
          <w:sz w:val="18"/>
          <w:szCs w:val="18"/>
          <w:color w:val="auto"/>
        </w:rPr>
      </w:pPr>
    </w:p>
    <w:p>
      <w:pPr>
        <w:ind w:left="900" w:right="40" w:hanging="263"/>
        <w:spacing w:after="0" w:line="270"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3" w:lineRule="exact"/>
        <w:rPr>
          <w:rFonts w:ascii="Times New Roman" w:cs="Times New Roman" w:eastAsia="Times New Roman" w:hAnsi="Times New Roman"/>
          <w:sz w:val="18"/>
          <w:szCs w:val="18"/>
          <w:color w:val="auto"/>
        </w:rPr>
      </w:pPr>
    </w:p>
    <w:p>
      <w:pPr>
        <w:ind w:left="900" w:right="220" w:hanging="263"/>
        <w:spacing w:after="0" w:line="252"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42" w:lineRule="exact"/>
        <w:rPr>
          <w:rFonts w:ascii="Times New Roman" w:cs="Times New Roman" w:eastAsia="Times New Roman" w:hAnsi="Times New Roman"/>
          <w:sz w:val="18"/>
          <w:szCs w:val="18"/>
          <w:color w:val="auto"/>
        </w:rPr>
      </w:pPr>
    </w:p>
    <w:p>
      <w:pPr>
        <w:ind w:left="900" w:right="220" w:hanging="263"/>
        <w:spacing w:after="0" w:line="246"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34" w:lineRule="exact"/>
        <w:rPr>
          <w:rFonts w:ascii="Times New Roman" w:cs="Times New Roman" w:eastAsia="Times New Roman" w:hAnsi="Times New Roman"/>
          <w:sz w:val="18"/>
          <w:szCs w:val="18"/>
          <w:color w:val="auto"/>
        </w:rPr>
      </w:pPr>
    </w:p>
    <w:p>
      <w:pPr>
        <w:ind w:left="900" w:right="220" w:hanging="263"/>
        <w:spacing w:after="0" w:line="252"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4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41"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p>
    <w:p>
      <w:pPr>
        <w:spacing w:after="0" w:line="12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7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Flywire recognizes the critical importance of developing, implementing and maintaining robust cybersecurity measures to safeguard our information systems and protect the confidentiality, integrity, and availability of our data.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and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Managing Material Risks and Integrated Overall Risk Management</w:t>
      </w:r>
    </w:p>
    <w:p>
      <w:pPr>
        <w:spacing w:after="0" w:line="169"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Flywire has strategically integrated cybersecurity risk management into our broader risk management framework to promote a company-wide culture of cybersecurity risk management. This integration ensures that cybersecurity considerations are an integral part of our decision-making processes at every level. Our security and risk management team works closely with our IT department to continuously evaluate and address cybersecurity risks in alignment with our business objectives and operational needs.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 Third-parties on Risk Management</w:t>
      </w:r>
    </w:p>
    <w:p>
      <w:pPr>
        <w:spacing w:after="0" w:line="169" w:lineRule="exact"/>
        <w:rPr>
          <w:sz w:val="20"/>
          <w:szCs w:val="20"/>
          <w:color w:val="auto"/>
        </w:rPr>
      </w:pPr>
    </w:p>
    <w:p>
      <w:pPr>
        <w:ind w:right="40" w:firstLine="509"/>
        <w:spacing w:after="0" w:line="266" w:lineRule="auto"/>
        <w:rPr>
          <w:sz w:val="20"/>
          <w:szCs w:val="20"/>
          <w:color w:val="auto"/>
        </w:rPr>
      </w:pPr>
      <w:r>
        <w:rPr>
          <w:rFonts w:ascii="Arial" w:cs="Arial" w:eastAsia="Arial" w:hAnsi="Arial"/>
          <w:sz w:val="17"/>
          <w:szCs w:val="17"/>
          <w:color w:val="auto"/>
        </w:rPr>
        <w:t>Recognizing the complexity and evolving nature of cybersecurity threats, Flywire engages with a range of external experts, including cybersecurity assessors, consultants and auditors in evaluating and testing our risk management systems. These partnerships enable us to leverage specialized knowledge and insights, ensuring our cybersecurity strategies and processes remain at the forefront of industry best practices. Our collaboration with these third-parties includes regular audits, threat assessments and consultation on security enhancements.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Oversee Third-party Risk</w:t>
      </w:r>
    </w:p>
    <w:p>
      <w:pPr>
        <w:spacing w:after="0" w:line="182"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Flywire implements stringent processes to oversee and manage the risks associated with third-party service providers. We conduct thorough security assessments of all third-party providers before engagement and maintain ongoing monitoring to ensure compliance with our cybersecurity standards. The monitoring includes annual assessments by our Chief Information Security Officer (CISO) and on an ongoing basis by our security and risk management team and our security engineers. This approach is designed to mitigate risks related to data breaches or other security incidents originating from third-parties.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from Cybersecurity Threats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encountered cybersecurity challenges that have materially impaired our operations or financial standing.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169" w:lineRule="exact"/>
        <w:rPr>
          <w:sz w:val="20"/>
          <w:szCs w:val="20"/>
          <w:color w:val="auto"/>
        </w:rPr>
      </w:pPr>
    </w:p>
    <w:p>
      <w:pPr>
        <w:jc w:val="both"/>
        <w:ind w:right="180" w:firstLine="509"/>
        <w:spacing w:after="0" w:line="252" w:lineRule="auto"/>
        <w:rPr>
          <w:sz w:val="20"/>
          <w:szCs w:val="20"/>
          <w:color w:val="auto"/>
        </w:rPr>
      </w:pPr>
      <w:r>
        <w:rPr>
          <w:rFonts w:ascii="Arial" w:cs="Arial" w:eastAsia="Arial" w:hAnsi="Arial"/>
          <w:sz w:val="18"/>
          <w:szCs w:val="18"/>
          <w:color w:val="auto"/>
        </w:rPr>
        <w:t>Our Board of Directors is acutely aware of the critical nature of managing risks associated with cybersecurity threats. Our Board has established robust oversight mechanisms to ensure effective governance in managing risks associated with cybersecurity threats because we recognize the significance of these threats to our operational integrity and stakeholder confidence.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Oversight</w:t>
      </w:r>
    </w:p>
    <w:p>
      <w:pPr>
        <w:spacing w:after="0" w:line="182"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Our Audit Committee is central to the Board’s oversight of cybersecurity risks and bears the primary responsibility for this domain. The Audit Committee is composed of board members with diverse expertise including risk management, technology and finance, which we believe equips them to oversee cybersecurity risks effectively.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Role Managing Risk</w:t>
      </w:r>
    </w:p>
    <w:p>
      <w:pPr>
        <w:spacing w:after="0" w:line="169"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The CISO, General Counsel &amp; Chief Compliance Officer (GC &amp; CCO), Chief Operating Officer (COO) and the Chief Executive Officer (CEO) play a pivotal role in informing the Audit Committee on cybersecurity risks. They provide comprehensive briefings to the Audit Committee on a quarterly basis. These briefings encompass a broad range of topics, including:</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8" w:right="41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Current cybersecurity landscape and emerging threats;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Status of ongoing cybersecurity initiatives and strategies;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Incident reports and learnings from any cybersecurity events;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Risk mitigation efforts and insurance;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regulatory requirements and industry standards.</w:t>
      </w:r>
    </w:p>
    <w:p>
      <w:pPr>
        <w:spacing w:after="0" w:line="183"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In addition to our scheduled meetings, the Audit Committee, CISO, GC &amp; CCO, COO and CEO maintain an ongoing dialogue regarding emerging or potential cybersecurity risks. Together, they receive updates on any significant developments in the cybersecurity domain, ensuring the Board’s oversight is proactive and responsive. The Audit Committee actively participates in strategic decisions related to cybersecurity, offering guidance and approval for major initiatives. This involvement ensures that cybersecurity considerations are integrated into the broader strategic objectives of Flywire. Our Audit Committee conducts an annual review of our cybersecurity posture and the effectiveness of its risk management strategies. This review helps in identifying areas for improvement and ensuring the alignment of cybersecurity efforts with the overall risk management framework.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Personnel</w:t>
      </w:r>
    </w:p>
    <w:p>
      <w:pPr>
        <w:spacing w:after="0" w:line="169"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Primary responsibility for assessing, monitoring and managing our cybersecurity risks rests with the CISO. With over 30 years of experience in the field of cybersecurity, the CISO brings a wealth of expertise to her role. Her background includes extensive experience as an enterprise CISO and is well-recognized within the industry. Her in-depth knowledge and experience are instrumental in developing and executing our cybersecurity strategies. Our CISO oversees our governance programs, tests our compliance with standards, remediates known risks, and leads our employee training program.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 Cybersecurity Incidents</w:t>
      </w:r>
    </w:p>
    <w:p>
      <w:pPr>
        <w:spacing w:after="0" w:line="182"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The CISO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 The CISO implements and oversees processes for the regular monitoring of our information systems. This includes the deployment of advanced security measures and regular system audits to identify potential vulnerabilities. In the event of a cybersecurity incident, the CISO is equipped with a well-defined incident response plan. This plan includes immediate actions to mitigate the impact and long-term strategies for remediation and prevention of future incidents and is subject to periodic testing for effectiveness of response and remediation.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to Board of Directors</w:t>
      </w:r>
    </w:p>
    <w:p>
      <w:pPr>
        <w:spacing w:after="0" w:line="169" w:lineRule="exact"/>
        <w:rPr>
          <w:sz w:val="20"/>
          <w:szCs w:val="20"/>
          <w:color w:val="auto"/>
        </w:rPr>
      </w:pPr>
    </w:p>
    <w:p>
      <w:pPr>
        <w:ind w:right="340" w:firstLine="509"/>
        <w:spacing w:after="0" w:line="246" w:lineRule="auto"/>
        <w:rPr>
          <w:sz w:val="20"/>
          <w:szCs w:val="20"/>
          <w:color w:val="auto"/>
        </w:rPr>
      </w:pPr>
      <w:r>
        <w:rPr>
          <w:rFonts w:ascii="Arial" w:cs="Arial" w:eastAsia="Arial" w:hAnsi="Arial"/>
          <w:sz w:val="18"/>
          <w:szCs w:val="18"/>
          <w:color w:val="auto"/>
        </w:rPr>
        <w:t>Our CISO, in her capacity, regularly informs our Chief Financial Officer (CFO), GC &amp; CCO, COO and CEO of all aspects related to cybersecurity risks and incidents. This ensures that the highest levels of management are kept abreast of the cybersecurity posture and potential risks facing Flywire. Furthermore, our CISO reports to the Board of Directors at a minimum twice a year, ensuring that they have comprehensive oversight and can provide guidance on significant cybersecurity matters, and strategic risk management decisions.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1"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color w:val="auto"/>
        </w:rPr>
        <w:t>Our corporate headquarters are located in Boston, Massachusetts, where we occupy facilities totaling approximately 10,946 square feet under a lease that expires in June 2027. We use these facilities for administration, finance, legal, compliance, human resources, global payments, IT, sales and marketing, engineering, and customer success.</w:t>
      </w:r>
    </w:p>
    <w:p>
      <w:pPr>
        <w:spacing w:after="0" w:line="130"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We maintain other leased locations in the United States and throughout the world. We intend to procure additional space as we add FlyMates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18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spacing w:after="0" w:line="15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the course of implementing geolocation data-based sanctions screening measures, we identified certain payments which, based on geolocation data, appear to have been initiated from Cuba, Iran, or Syria, in potential violation of applicable sanctions regimes. Although Flywire continues to evaluate whether these or other transactions constitute potential violations of OFAC sanctions (including whether certain of these payments may have been authorized by general licenses or license exemptions under the relevant sanctions regulations), in August 2023, Flywire made a voluntary submission to OFAC to report the potential violations. Based upon the results of the internal investigation completed to date, we do not believe that the amount of any loss incurred as a result of this matter would be material to its business, financial condition,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Our voting common stock trades on the Nasdaq Global Select Market under the symbol “FLYW.” Our non-voting common stock is not listed on any stock exchange nor traded on any public market.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84" w:lineRule="exact"/>
        <w:rPr>
          <w:sz w:val="20"/>
          <w:szCs w:val="20"/>
          <w:color w:val="auto"/>
        </w:rPr>
      </w:pPr>
    </w:p>
    <w:p>
      <w:pPr>
        <w:ind w:right="300" w:firstLine="509"/>
        <w:spacing w:after="0" w:line="252" w:lineRule="auto"/>
        <w:rPr>
          <w:sz w:val="20"/>
          <w:szCs w:val="20"/>
          <w:color w:val="auto"/>
        </w:rPr>
      </w:pPr>
      <w:r>
        <w:rPr>
          <w:rFonts w:ascii="Arial" w:cs="Arial" w:eastAsia="Arial" w:hAnsi="Arial"/>
          <w:sz w:val="18"/>
          <w:szCs w:val="18"/>
          <w:color w:val="auto"/>
        </w:rPr>
        <w:t>As of February 23, 2024, there were approximately 36 holders of record of our voting common stock. This number does not include beneficial owners whose shares are held by nominees in street name. As of February 23, 2024, there was 1 holder of record of our non-voting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have never declared nor paid any cash dividends on our capital stock. We currently intend to retain all available funds and any future earnings for use in the operation of our business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 In addition, the terms of our revolving credit syndication loan restrict our ability to pay dividends.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1"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for purposes of Section 18 of the Exchange Act,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39"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following graph depicts the total cumulative stockholder return on our common stock from May 26, 2021, the first day of trading of our common stock on the Nasdaq Global Select Market, through December 31, 2023, relative to the performance of the S&amp;P 500 Index and S&amp;P 500 IT Index. The graph assumes an initial investment of $ 100.00 at the close of trading on May 26, 2021 and that all dividends paid by companies included in these indices have been reinvested.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108585</wp:posOffset>
            </wp:positionV>
            <wp:extent cx="4529455" cy="2543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29455" cy="2543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jc w:val="center"/>
        <w:ind w:right="6119"/>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84" w:lineRule="exact"/>
        <w:rPr>
          <w:sz w:val="20"/>
          <w:szCs w:val="20"/>
          <w:color w:val="auto"/>
        </w:rPr>
      </w:pPr>
    </w:p>
    <w:p>
      <w:pPr>
        <w:jc w:val="center"/>
        <w:ind w:right="8639"/>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ind w:right="6919"/>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82" w:lineRule="exact"/>
        <w:rPr>
          <w:sz w:val="20"/>
          <w:szCs w:val="20"/>
          <w:color w:val="auto"/>
        </w:rPr>
      </w:pPr>
    </w:p>
    <w:p>
      <w:pPr>
        <w:jc w:val="center"/>
        <w:ind w:right="8639"/>
        <w:spacing w:after="0"/>
        <w:rPr>
          <w:sz w:val="20"/>
          <w:szCs w:val="20"/>
          <w:color w:val="auto"/>
        </w:rPr>
      </w:pPr>
      <w:r>
        <w:rPr>
          <w:rFonts w:ascii="Arial" w:cs="Arial" w:eastAsia="Arial" w:hAnsi="Arial"/>
          <w:sz w:val="18"/>
          <w:szCs w:val="18"/>
          <w:color w:val="auto"/>
        </w:rPr>
        <w:t>None.</w:t>
      </w:r>
    </w:p>
    <w:p>
      <w:pPr>
        <w:spacing w:after="0" w:line="184" w:lineRule="exact"/>
        <w:rPr>
          <w:sz w:val="20"/>
          <w:szCs w:val="20"/>
          <w:color w:val="auto"/>
        </w:rPr>
      </w:pPr>
    </w:p>
    <w:p>
      <w:pPr>
        <w:jc w:val="center"/>
        <w:ind w:right="8579"/>
        <w:spacing w:after="0"/>
        <w:rPr>
          <w:sz w:val="20"/>
          <w:szCs w:val="20"/>
          <w:color w:val="auto"/>
        </w:rPr>
      </w:pPr>
      <w:r>
        <w:rPr>
          <w:rFonts w:ascii="Arial" w:cs="Arial" w:eastAsia="Arial" w:hAnsi="Arial"/>
          <w:sz w:val="18"/>
          <w:szCs w:val="18"/>
          <w:b w:val="1"/>
          <w:bCs w:val="1"/>
          <w:color w:val="auto"/>
        </w:rPr>
        <w:t>Item 6. [Reserved]</w:t>
      </w:r>
    </w:p>
    <w:p>
      <w:pPr>
        <w:spacing w:after="0" w:line="1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8" w:right="1440"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6" w:lineRule="exact"/>
        <w:rPr>
          <w:sz w:val="20"/>
          <w:szCs w:val="20"/>
          <w:color w:val="auto"/>
        </w:rPr>
      </w:pPr>
    </w:p>
    <w:p>
      <w:pPr>
        <w:ind w:right="100" w:firstLine="509"/>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appearing elsewhere in this Annual Report on Form 10-K. Some of the information contained in this Annual Report on Form 10-K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55"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Flywire Advantage</w:t>
      </w:r>
      <w:r>
        <w:rPr>
          <w:rFonts w:ascii="Arial" w:cs="Arial" w:eastAsia="Arial" w:hAnsi="Arial"/>
          <w:sz w:val="17"/>
          <w:szCs w:val="17"/>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7"/>
          <w:szCs w:val="17"/>
          <w:i w:val="1"/>
          <w:iCs w:val="1"/>
          <w:color w:val="auto"/>
        </w:rPr>
        <w:t>Flywire Advantage</w:t>
      </w:r>
      <w:r>
        <w:rPr>
          <w:rFonts w:ascii="Arial" w:cs="Arial" w:eastAsia="Arial" w:hAnsi="Arial"/>
          <w:sz w:val="17"/>
          <w:szCs w:val="17"/>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28"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8" w:right="41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635750" cy="43154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35750" cy="431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03" w:lineRule="exact"/>
        <w:rPr>
          <w:sz w:val="20"/>
          <w:szCs w:val="20"/>
          <w:color w:val="auto"/>
        </w:rPr>
      </w:pPr>
    </w:p>
    <w:p>
      <w:pPr>
        <w:ind w:left="1020" w:right="200" w:hanging="504"/>
        <w:spacing w:after="0" w:line="241"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33% period-over-period from $18.1 billion during the year ended December 31, 2022 to $24.0 billion during the year ended December 31, 2023. We grew our total payment volume by approximately</w:t>
      </w:r>
    </w:p>
    <w:p>
      <w:pPr>
        <w:ind w:left="1020" w:right="340"/>
        <w:spacing w:after="0" w:line="250" w:lineRule="auto"/>
        <w:rPr>
          <w:rFonts w:ascii="Times New Roman" w:cs="Times New Roman" w:eastAsia="Times New Roman" w:hAnsi="Times New Roman"/>
          <w:sz w:val="18"/>
          <w:szCs w:val="18"/>
          <w:color w:val="auto"/>
        </w:rPr>
      </w:pPr>
      <w:r>
        <w:rPr>
          <w:rFonts w:ascii="Arial" w:cs="Arial" w:eastAsia="Arial" w:hAnsi="Arial"/>
          <w:sz w:val="18"/>
          <w:szCs w:val="18"/>
          <w:color w:val="auto"/>
        </w:rPr>
        <w:t>37% period-over-period from $13.2 billion during the year ended December 31, 2021 to $18.1 billion during the year ended December 31, 2022.</w:t>
      </w:r>
    </w:p>
    <w:p>
      <w:pPr>
        <w:spacing w:after="0" w:line="63" w:lineRule="exact"/>
        <w:rPr>
          <w:rFonts w:ascii="Times New Roman" w:cs="Times New Roman" w:eastAsia="Times New Roman" w:hAnsi="Times New Roman"/>
          <w:sz w:val="18"/>
          <w:szCs w:val="18"/>
          <w:color w:val="auto"/>
        </w:rPr>
      </w:pPr>
    </w:p>
    <w:p>
      <w:pPr>
        <w:jc w:val="both"/>
        <w:ind w:left="1020" w:hanging="504"/>
        <w:spacing w:after="0" w:line="252"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to add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over 240 countries and territories and more than 140 currencies.</w:t>
      </w:r>
    </w:p>
    <w:p>
      <w:pPr>
        <w:spacing w:after="0" w:line="61" w:lineRule="exact"/>
        <w:rPr>
          <w:rFonts w:ascii="Times New Roman" w:cs="Times New Roman" w:eastAsia="Times New Roman" w:hAnsi="Times New Roman"/>
          <w:sz w:val="18"/>
          <w:szCs w:val="18"/>
          <w:color w:val="auto"/>
        </w:rPr>
      </w:pPr>
    </w:p>
    <w:p>
      <w:pPr>
        <w:ind w:left="1020" w:right="200" w:hanging="504"/>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Enjoyable and personalized user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NPS of 62 in fiscal year 2022 demonstrates a strong affinity among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for our platform.</w:t>
      </w:r>
    </w:p>
    <w:p>
      <w:pPr>
        <w:spacing w:after="0" w:line="45" w:lineRule="exact"/>
        <w:rPr>
          <w:rFonts w:ascii="Times New Roman" w:cs="Times New Roman" w:eastAsia="Times New Roman" w:hAnsi="Times New Roman"/>
          <w:sz w:val="18"/>
          <w:szCs w:val="18"/>
          <w:color w:val="auto"/>
        </w:rPr>
      </w:pPr>
    </w:p>
    <w:p>
      <w:pPr>
        <w:ind w:left="1020" w:hanging="504"/>
        <w:spacing w:after="0" w:line="239"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2023, our annual net dollar-based retention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125%. For the year ended December 31, 2022, our annual net dollar-based retention rate was approximately 124%. For the year ended December 31, 2021, our annual net dollar-based retention rate was approximately 140%.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57"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As of December 31, 2023, we serve over 3,800 clients around the world. In education, we serve more than 2,800 institutions. In healthcare, we power more than 90 healthcare systems, including four of the top 10 healthcare systems in</w:t>
      </w:r>
    </w:p>
    <w:p>
      <w:pPr>
        <w:spacing w:after="0" w:line="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8" w:right="47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United States ranked by hospital size as of December 31, 2023. In our newer payment verticals of travel and B2B payments, we have a growing portfolio of more than 900 clients as of December 31, 2023.</w:t>
      </w:r>
    </w:p>
    <w:p>
      <w:pPr>
        <w:spacing w:after="0" w:line="126" w:lineRule="exact"/>
        <w:rPr>
          <w:sz w:val="20"/>
          <w:szCs w:val="20"/>
          <w:color w:val="auto"/>
        </w:rPr>
      </w:pPr>
    </w:p>
    <w:p>
      <w:pPr>
        <w:ind w:right="100" w:firstLine="509"/>
        <w:spacing w:after="0" w:line="266" w:lineRule="auto"/>
        <w:rPr>
          <w:sz w:val="20"/>
          <w:szCs w:val="20"/>
          <w:color w:val="auto"/>
        </w:rPr>
      </w:pPr>
      <w:r>
        <w:rPr>
          <w:rFonts w:ascii="Arial" w:cs="Arial" w:eastAsia="Arial" w:hAnsi="Arial"/>
          <w:sz w:val="17"/>
          <w:szCs w:val="17"/>
          <w:color w:val="auto"/>
        </w:rPr>
        <w:t>Our success in building our client base around the world and expanding utilization by our clients’ customers has allowed us to achieve significant scale. We enabled over $24.0 billion and approximately $18.1 billion in total payment volume during the years ended December 31, 2023 and 2022, respectively. We generated revenue of $403.1 million, $289.4 million and $201.1 million for the years ended December 31, 2023, 2022 and 2021, respectively, and incurred net losses of $8.6 million, $39.3 million, and $28.1 million for those same years.</w:t>
      </w:r>
    </w:p>
    <w:p>
      <w:pPr>
        <w:spacing w:after="0" w:line="11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believe that the growth of our business and our operating results will be dependent upon many factors, including our ability to add new clients, expand the usage of our solutions by our existing clients and their customers, integrate the businesses and technology platforms that we acquire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39"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IT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fluctuations in exchange rates. If we are unable to successfully address these challenges, our business, operating results, and prospects could be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Follow-On Offering</w:t>
      </w:r>
    </w:p>
    <w:p>
      <w:pPr>
        <w:spacing w:after="0" w:line="171" w:lineRule="exact"/>
        <w:rPr>
          <w:sz w:val="20"/>
          <w:szCs w:val="20"/>
          <w:color w:val="auto"/>
        </w:rPr>
      </w:pPr>
    </w:p>
    <w:p>
      <w:pPr>
        <w:ind w:right="240" w:firstLine="509"/>
        <w:spacing w:after="0" w:line="246" w:lineRule="auto"/>
        <w:rPr>
          <w:sz w:val="20"/>
          <w:szCs w:val="20"/>
          <w:color w:val="auto"/>
        </w:rPr>
      </w:pPr>
      <w:r>
        <w:rPr>
          <w:rFonts w:ascii="Arial" w:cs="Arial" w:eastAsia="Arial" w:hAnsi="Arial"/>
          <w:sz w:val="18"/>
          <w:szCs w:val="18"/>
          <w:color w:val="auto"/>
        </w:rPr>
        <w:t>On August 9, 2023, we entered into an underwriting agreement (Underwriting Agreement) with Goldman Sachs &amp; Co. LLC, as representative of the several underwriters (Underwriters), in connection with the offer and sale of 8,000,000 shares of common stock, at a price to the public of $32.00 per share (the Primary Offering). In addition, pursuant to the terms of the Underwriting Agreement, we granted the Underwriters an option to purchase up to 1,200,000 additional shares of Common Stock (Underwriters’ Option).</w:t>
      </w:r>
    </w:p>
    <w:p>
      <w:pPr>
        <w:spacing w:after="0" w:line="136" w:lineRule="exact"/>
        <w:rPr>
          <w:sz w:val="20"/>
          <w:szCs w:val="20"/>
          <w:color w:val="auto"/>
        </w:rPr>
      </w:pPr>
    </w:p>
    <w:p>
      <w:pPr>
        <w:jc w:val="both"/>
        <w:ind w:right="300" w:firstLine="509"/>
        <w:spacing w:after="0" w:line="246" w:lineRule="auto"/>
        <w:rPr>
          <w:sz w:val="20"/>
          <w:szCs w:val="20"/>
          <w:color w:val="auto"/>
        </w:rPr>
      </w:pPr>
      <w:r>
        <w:rPr>
          <w:rFonts w:ascii="Arial" w:cs="Arial" w:eastAsia="Arial" w:hAnsi="Arial"/>
          <w:sz w:val="18"/>
          <w:szCs w:val="18"/>
          <w:color w:val="auto"/>
        </w:rPr>
        <w:t>On September 12, 2023, the Underwriters exercised the Underwriters’ Option in part and purchased an additional 500,000 shares common stock, in each instance at a price to the public of $32.00 per share. We received $260.1 million in net proceeds from the Primary Offering and the Underwriters’ Option, after deducting underwriting discounts and commissions of $10.9 million and other offering costs of $1.1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(IPO)</w:t>
      </w:r>
    </w:p>
    <w:p>
      <w:pPr>
        <w:spacing w:after="0" w:line="171"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On May 28, 2021, we completed our IPO, in which we issued and sold 12,006,000 shares of common stock at a public offering price of $24.00 per share, which included 1,566,000 shares of common stock issued pursuant to the exercise in full of the underwriters' option to purchase additional shares. We received $263.8 million in net proceeds from the IPO, after deducting underwriting discounts and commissions of $19.4 million and other offering costs of $4.9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w:t>
      </w:r>
    </w:p>
    <w:p>
      <w:pPr>
        <w:spacing w:after="0" w:line="18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In November 2023, we acquired all of the issued and outstanding shares of StudyLink for an estimated total aggregate purchase price of approximately $35.5 million, consisting of approximately $32.8 million in cash consideration, net of cash acquired and up to approximately $2.7 million in contingent consideration. Purchase consideration is subject to certain adjustments as specified in the share sale agreement, including a net working capital adjustment. The contingent consideration represents additional payments that we may be required to make in the future dependent on the successful achievement of revenue, volume, cross-selling and engineering implementation milestones, a portion of which can be paid in the form of cash or shares of common stock, at our option, and is subject to exchange rate fluctuation adjustment between the U.S. Dollar and Australian Dollar. Additional payments in the form of shares of common stock will be made based on the continuing employment of a key employee; accordingly, the fair value of $2.4 million,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approximately 84,000 shares of common stock, have been excluded from the purchase consideration. StudyLink is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was intended to accelerate our success in the Australian higher education market and enhance our value proposition to payers, universities and agents in the higher education ecosystem. StudyLink contributed $1.4 million in platform revenue during the year ended December 31, 2023.</w:t>
      </w:r>
    </w:p>
    <w:p>
      <w:pPr>
        <w:spacing w:after="0" w:line="155"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In July 2022, we acquired all of the issued and outstanding shares of Cohort Go for an estimated aggregate purchase price of $ 23.1 million, which consisted of $17.1 million in cash consideration, net of cash acquired, $4.3 million in shares of common stock and up to $1.7 million in contingent consideration assessed at the acquisition date. Subsequent to the acquisition date, at each reporting date, the contingent consideration was remeasured and changes in the fair value resulting from a change in the underlying inputs were recognized in general and administrative expense in the consolidated statements of operations and comprehensive loss. Contingent consideration represented additional payments that Flywire was required to make which was dependent upon Cohort Go's achievement of specific post-acquisition milestones and was subject to exchange rate fluctuation adjustment between the U.S. Dollar and Australian Dollar. During the year ended December 31, 2023 and 2022, we paid $1.7 million and $0.5 million, respectively, in contingent consideration based on Cohort Go's successful and timely achievement of contracted milestones. No additional contingent consideration is due or payable with respect to the Cohort Go acquisition. Cohort Go is an Australian-based education payments provider that simplifies the student recruitment process by bringing together students, agents and essential student services such as health insurance into one platform. The acquisition of Cohort Go accelerated the growth of Flywire's agent related revenue and contributed to our global expansion. Cohort Go contributed $16.6 million in transaction revenue and $10.4 million in platform revenue during the year ended December 31, 2023 and $6.4 million in transaction revenue and $3.3 million in platform revenue during the year ended December 31, 2022.</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December 2021, we acquired all of the issued and outstanding shares of WPM for an estimated aggregate purchase price of $59.6</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million, which consisted of $56.1 million in cash consideration, net of cash acquired and up to $3.5 million in estimated fair value of contingent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consideration. Contingent consideration was potentially payable at various intervals through March 2024 in the form of cash or up to</w:t>
      </w:r>
    </w:p>
    <w:p>
      <w:pPr>
        <w:spacing w:after="0" w:line="234" w:lineRule="auto"/>
        <w:rPr>
          <w:sz w:val="20"/>
          <w:szCs w:val="20"/>
          <w:color w:val="auto"/>
        </w:rPr>
      </w:pPr>
      <w:r>
        <w:rPr>
          <w:rFonts w:ascii="Arial" w:cs="Arial" w:eastAsia="Arial" w:hAnsi="Arial"/>
          <w:sz w:val="18"/>
          <w:szCs w:val="18"/>
          <w:color w:val="auto"/>
        </w:rPr>
        <w:t>approximately 225,000 shares of common stock, at our option, and was dependent upon our achievement of specified minimum payment</w:t>
      </w:r>
    </w:p>
    <w:p>
      <w:pPr>
        <w:spacing w:after="0" w:line="235" w:lineRule="auto"/>
        <w:rPr>
          <w:sz w:val="20"/>
          <w:szCs w:val="20"/>
          <w:color w:val="auto"/>
        </w:rPr>
      </w:pPr>
      <w:r>
        <w:rPr>
          <w:rFonts w:ascii="Arial" w:cs="Arial" w:eastAsia="Arial" w:hAnsi="Arial"/>
          <w:sz w:val="18"/>
          <w:szCs w:val="18"/>
          <w:color w:val="auto"/>
        </w:rPr>
        <w:t>volume targets and integration targets. As of December 31, 2023, no contingent consideration is due or payable with respect to the WPM</w:t>
      </w:r>
    </w:p>
    <w:p>
      <w:pPr>
        <w:spacing w:after="0" w:line="234" w:lineRule="auto"/>
        <w:rPr>
          <w:sz w:val="20"/>
          <w:szCs w:val="20"/>
          <w:color w:val="auto"/>
        </w:rPr>
      </w:pPr>
      <w:r>
        <w:rPr>
          <w:rFonts w:ascii="Arial" w:cs="Arial" w:eastAsia="Arial" w:hAnsi="Arial"/>
          <w:sz w:val="18"/>
          <w:szCs w:val="18"/>
          <w:color w:val="auto"/>
        </w:rPr>
        <w:t>acquisition. During the year ended December 31, 2022, we paid $0.4 million in contingent consideration related to the completion of</w:t>
      </w:r>
    </w:p>
    <w:p>
      <w:pPr>
        <w:spacing w:after="0" w:line="235" w:lineRule="auto"/>
        <w:rPr>
          <w:sz w:val="20"/>
          <w:szCs w:val="20"/>
          <w:color w:val="auto"/>
        </w:rPr>
      </w:pPr>
      <w:r>
        <w:rPr>
          <w:rFonts w:ascii="Arial" w:cs="Arial" w:eastAsia="Arial" w:hAnsi="Arial"/>
          <w:sz w:val="18"/>
          <w:szCs w:val="18"/>
          <w:color w:val="auto"/>
        </w:rPr>
        <w:t>integration targets. There was no contingent consideration paid during the year ended December 31, 2021. Certain amounts were also tied to</w:t>
      </w:r>
    </w:p>
    <w:p>
      <w:pPr>
        <w:spacing w:after="0" w:line="234" w:lineRule="auto"/>
        <w:rPr>
          <w:sz w:val="20"/>
          <w:szCs w:val="20"/>
          <w:color w:val="auto"/>
        </w:rPr>
      </w:pPr>
      <w:r>
        <w:rPr>
          <w:rFonts w:ascii="Arial" w:cs="Arial" w:eastAsia="Arial" w:hAnsi="Arial"/>
          <w:sz w:val="18"/>
          <w:szCs w:val="18"/>
          <w:color w:val="auto"/>
        </w:rPr>
        <w:t>continued employment of key employees. During the year ended December 31, 2023, we expensed $0.7 million in personnel costs</w:t>
      </w:r>
    </w:p>
    <w:p>
      <w:pPr>
        <w:spacing w:after="0" w:line="235" w:lineRule="auto"/>
        <w:rPr>
          <w:sz w:val="20"/>
          <w:szCs w:val="20"/>
          <w:color w:val="auto"/>
        </w:rPr>
      </w:pPr>
      <w:r>
        <w:rPr>
          <w:rFonts w:ascii="Arial" w:cs="Arial" w:eastAsia="Arial" w:hAnsi="Arial"/>
          <w:sz w:val="18"/>
          <w:szCs w:val="18"/>
          <w:color w:val="auto"/>
        </w:rPr>
        <w:t>associated with retention of key employees. These personnel costs have been paid through shares of Flywire common stock issued in</w:t>
      </w:r>
    </w:p>
    <w:p>
      <w:pPr>
        <w:spacing w:after="0" w:line="234" w:lineRule="auto"/>
        <w:rPr>
          <w:sz w:val="20"/>
          <w:szCs w:val="20"/>
          <w:color w:val="auto"/>
        </w:rPr>
      </w:pPr>
      <w:r>
        <w:rPr>
          <w:rFonts w:ascii="Arial" w:cs="Arial" w:eastAsia="Arial" w:hAnsi="Arial"/>
          <w:sz w:val="18"/>
          <w:szCs w:val="18"/>
          <w:color w:val="auto"/>
        </w:rPr>
        <w:t>January 2023, July 2023 and January 2024. During the year ended December 31, 2022 and 2021, we expensed $0.9 million and less than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$0.1 million, respectively, in personnel costs associated with the retention of key employees. WPM is a leading software provider that enables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seamless and secure payment experiences for universities and colleges across the U.K. The acquisition of WPM was intended to build on</w:t>
      </w:r>
    </w:p>
    <w:p>
      <w:pPr>
        <w:spacing w:after="0" w:line="234" w:lineRule="auto"/>
        <w:rPr>
          <w:sz w:val="20"/>
          <w:szCs w:val="20"/>
          <w:color w:val="auto"/>
        </w:rPr>
      </w:pPr>
      <w:r>
        <w:rPr>
          <w:rFonts w:ascii="Arial" w:cs="Arial" w:eastAsia="Arial" w:hAnsi="Arial"/>
          <w:sz w:val="18"/>
          <w:szCs w:val="18"/>
          <w:color w:val="auto"/>
        </w:rPr>
        <w:t>our existing education payments business and is expected to further accelerate our market share in the U.K. education sector. WPM</w:t>
      </w:r>
    </w:p>
    <w:p>
      <w:pPr>
        <w:spacing w:after="0" w:line="235" w:lineRule="auto"/>
        <w:rPr>
          <w:sz w:val="20"/>
          <w:szCs w:val="20"/>
          <w:color w:val="auto"/>
        </w:rPr>
      </w:pPr>
      <w:r>
        <w:rPr>
          <w:rFonts w:ascii="Arial" w:cs="Arial" w:eastAsia="Arial" w:hAnsi="Arial"/>
          <w:sz w:val="18"/>
          <w:szCs w:val="18"/>
          <w:color w:val="auto"/>
        </w:rPr>
        <w:t>contributed $6.3 million, $6.4 million and $0.3 million in platform revenue during the years ended December 31, 2023, 2022 and 2021,</w:t>
      </w:r>
    </w:p>
    <w:p>
      <w:pPr>
        <w:spacing w:after="0"/>
        <w:rPr>
          <w:sz w:val="20"/>
          <w:szCs w:val="20"/>
          <w:color w:val="auto"/>
        </w:rPr>
      </w:pPr>
      <w:r>
        <w:rPr>
          <w:rFonts w:ascii="Arial" w:cs="Arial" w:eastAsia="Arial" w:hAnsi="Arial"/>
          <w:sz w:val="18"/>
          <w:szCs w:val="18"/>
          <w:color w:val="auto"/>
        </w:rPr>
        <w:t>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7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is earned from payment processing services provided to our clients. The fee earned on each transaction consists</w:t>
      </w:r>
      <w:r>
        <w:rPr>
          <w:rFonts w:ascii="Arial" w:cs="Arial" w:eastAsia="Arial" w:hAnsi="Arial"/>
          <w:sz w:val="18"/>
          <w:szCs w:val="18"/>
          <w:i w:val="1"/>
          <w:iCs w:val="1"/>
          <w:color w:val="auto"/>
        </w:rPr>
        <w:t xml:space="preserve"> </w:t>
      </w:r>
      <w:r>
        <w:rPr>
          <w:rFonts w:ascii="Arial" w:cs="Arial" w:eastAsia="Arial" w:hAnsi="Arial"/>
          <w:sz w:val="18"/>
          <w:szCs w:val="18"/>
          <w:color w:val="auto"/>
        </w:rPr>
        <w:t>of a rate applied to the total payment value of the transaction, which can vary based on the payment method currency pair conversion and the geographic region in which our client and the clients’ customer resides. We also earn revenue from marketing fees from credit card service providers for marketing arrangements in which we perform certain marketing activities which we consider to be ancillary to the solutions we provide to our clients.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Platform and usage-based fee revenue </w:t>
      </w:r>
      <w:r>
        <w:rPr>
          <w:rFonts w:ascii="Arial" w:cs="Arial" w:eastAsia="Arial" w:hAnsi="Arial"/>
          <w:sz w:val="18"/>
          <w:szCs w:val="18"/>
          <w:color w:val="auto"/>
        </w:rPr>
        <w:t>includes (i) fees earned for the utilization of our payment platform to optimize cash collections,</w:t>
      </w:r>
    </w:p>
    <w:p>
      <w:pPr>
        <w:spacing w:after="0" w:line="13" w:lineRule="exact"/>
        <w:rPr>
          <w:sz w:val="20"/>
          <w:szCs w:val="20"/>
          <w:color w:val="auto"/>
        </w:rPr>
      </w:pPr>
    </w:p>
    <w:p>
      <w:pPr>
        <w:ind w:right="140" w:firstLine="8"/>
        <w:spacing w:after="0" w:line="250" w:lineRule="auto"/>
        <w:tabs>
          <w:tab w:leader="none" w:pos="2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collected on payment plans established by our clients on our payment platform, (iii) subscription fees and (iv) fees related to printing and mailing services which we consider to be ancillary to the solutions we provide to our clients.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84"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To supplement our consolidated financial statements, which are prepared in accordance with generally accepted accounting principles in the United States (GAAP), we use certain non-GAAP financials measures. The following table sets forth our key operating metrics and non-GAAP measures for the periods presented. All dollar amounts are rounded to the nearest million. As a result, certain amounts may not recalculate using the rounded amounts provided.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For the Year Ended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Payment Volume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24,032.8</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18,078.5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13,201.3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403.1</w:t>
            </w:r>
          </w:p>
        </w:tc>
        <w:tc>
          <w:tcPr>
            <w:tcW w:w="2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289.4</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381.5</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247.4</w:t>
            </w:r>
          </w:p>
        </w:tc>
        <w:tc>
          <w:tcPr>
            <w:tcW w:w="2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174.9</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Gross Profit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61.4 %</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60.4 %</w:t>
            </w:r>
          </w:p>
        </w:tc>
        <w:tc>
          <w:tcPr>
            <w:tcW w:w="3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62.3 %</w:t>
            </w:r>
          </w:p>
        </w:tc>
      </w:tr>
      <w:tr>
        <w:trPr>
          <w:trHeight w:val="22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Adjusted Gross Margin</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66.6 %</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68.1 %</w:t>
            </w:r>
          </w:p>
        </w:tc>
        <w:tc>
          <w:tcPr>
            <w:tcW w:w="3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71.6 %</w:t>
            </w:r>
          </w:p>
        </w:tc>
      </w:tr>
      <w:tr>
        <w:trPr>
          <w:trHeight w:val="22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(8.6 )</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(39.3 )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(28.1 )</w:t>
            </w:r>
          </w:p>
        </w:tc>
        <w:tc>
          <w:tcPr>
            <w:tcW w:w="60" w:type="dxa"/>
            <w:vAlign w:val="bottom"/>
          </w:tcPr>
          <w:p>
            <w:pPr>
              <w:spacing w:after="0"/>
              <w:rPr>
                <w:sz w:val="19"/>
                <w:szCs w:val="19"/>
                <w:color w:val="auto"/>
              </w:rPr>
            </w:pPr>
          </w:p>
        </w:tc>
      </w:tr>
      <w:tr>
        <w:trPr>
          <w:trHeight w:val="229"/>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 ended December 31, 2023, transaction revenue and platform and usage-based fee revenue represented 81.8%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18.2% of our revenue, respectively. For the year ended December 31, 2023, transaction revenue and platform and usage-based fee revenue</w:t>
      </w:r>
    </w:p>
    <w:p>
      <w:pPr>
        <w:spacing w:after="0"/>
        <w:rPr>
          <w:sz w:val="20"/>
          <w:szCs w:val="20"/>
          <w:color w:val="auto"/>
        </w:rPr>
      </w:pPr>
      <w:r>
        <w:rPr>
          <w:rFonts w:ascii="Arial" w:cs="Arial" w:eastAsia="Arial" w:hAnsi="Arial"/>
          <w:sz w:val="18"/>
          <w:szCs w:val="18"/>
          <w:color w:val="auto"/>
        </w:rPr>
        <w:t>represented 85.8% and 14.2% of our total revenue less ancillary services, respectively.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 ended December 31, 2022, transaction revenue and platform and usage-based fee revenue represented 77.5%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22.5% of our revenue, respectively. For the year ended December 31, 2022, transaction revenue and platform and usage-based fee revenue</w:t>
      </w:r>
    </w:p>
    <w:p>
      <w:pPr>
        <w:spacing w:after="0"/>
        <w:rPr>
          <w:sz w:val="20"/>
          <w:szCs w:val="20"/>
          <w:color w:val="auto"/>
        </w:rPr>
      </w:pPr>
      <w:r>
        <w:rPr>
          <w:rFonts w:ascii="Arial" w:cs="Arial" w:eastAsia="Arial" w:hAnsi="Arial"/>
          <w:sz w:val="18"/>
          <w:szCs w:val="18"/>
          <w:color w:val="auto"/>
        </w:rPr>
        <w:t>represented 83.2% and 16.8% of our total revenue less ancillary services, respectively.</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 ended December 31, 2021, transaction revenue and platform and usage-based fee revenue represented 73.6%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26.4% of our revenue, respectively. For the year ended December 31, 2021, transaction revenue and platform and usage-based fee revenue</w:t>
      </w:r>
    </w:p>
    <w:p>
      <w:pPr>
        <w:spacing w:after="0"/>
        <w:rPr>
          <w:sz w:val="20"/>
          <w:szCs w:val="20"/>
          <w:color w:val="auto"/>
        </w:rPr>
      </w:pPr>
      <w:r>
        <w:rPr>
          <w:rFonts w:ascii="Arial" w:cs="Arial" w:eastAsia="Arial" w:hAnsi="Arial"/>
          <w:sz w:val="18"/>
          <w:szCs w:val="18"/>
          <w:color w:val="auto"/>
        </w:rPr>
        <w:t>represented 80.7% and 19.3% of our total revenue less ancillary services, respectively.</w:t>
      </w:r>
    </w:p>
    <w:p>
      <w:pPr>
        <w:spacing w:after="0" w:line="153"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For the year ended December 31, 2023, our total payment volume was over $24.0 billion, consisting of $17.7 billion of total payment volume from transactions included in transaction revenue and $6.3 billion of total payment volume from transactions included in platform and usage-based fee revenue.</w:t>
      </w:r>
    </w:p>
    <w:p>
      <w:pPr>
        <w:spacing w:after="0" w:line="144" w:lineRule="exact"/>
        <w:rPr>
          <w:sz w:val="20"/>
          <w:szCs w:val="20"/>
          <w:color w:val="auto"/>
        </w:rPr>
      </w:pPr>
    </w:p>
    <w:p>
      <w:pPr>
        <w:ind w:right="280" w:firstLine="509"/>
        <w:spacing w:after="0" w:line="252" w:lineRule="auto"/>
        <w:rPr>
          <w:sz w:val="20"/>
          <w:szCs w:val="20"/>
          <w:color w:val="auto"/>
        </w:rPr>
      </w:pPr>
      <w:r>
        <w:rPr>
          <w:rFonts w:ascii="Arial" w:cs="Arial" w:eastAsia="Arial" w:hAnsi="Arial"/>
          <w:sz w:val="18"/>
          <w:szCs w:val="18"/>
          <w:color w:val="auto"/>
        </w:rPr>
        <w:t>For the year ended December 31, 2022, our total payment volume was approximately $18.1 billion, consisting of $12.1 billion of total payment volume from transactions included in transaction revenue and $6.0 billion of total payment volume from transactions included in platform and usage-based fee revenue.</w:t>
      </w:r>
    </w:p>
    <w:p>
      <w:pPr>
        <w:spacing w:after="0" w:line="130" w:lineRule="exact"/>
        <w:rPr>
          <w:sz w:val="20"/>
          <w:szCs w:val="20"/>
          <w:color w:val="auto"/>
        </w:rPr>
      </w:pPr>
    </w:p>
    <w:p>
      <w:pPr>
        <w:jc w:val="both"/>
        <w:ind w:right="380" w:firstLine="509"/>
        <w:spacing w:after="0" w:line="252" w:lineRule="auto"/>
        <w:rPr>
          <w:sz w:val="20"/>
          <w:szCs w:val="20"/>
          <w:color w:val="auto"/>
        </w:rPr>
      </w:pPr>
      <w:r>
        <w:rPr>
          <w:rFonts w:ascii="Arial" w:cs="Arial" w:eastAsia="Arial" w:hAnsi="Arial"/>
          <w:sz w:val="18"/>
          <w:szCs w:val="18"/>
          <w:color w:val="auto"/>
        </w:rPr>
        <w:t>For the year ended December 31, 2021, our total payment volume was approximately $13.2 billion, consisting of $8.4 billion of total payment volume from transactions included in transaction revenue and $4.8 billion of total payment volume from transactions included in platform and usage-based fee revenue.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18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p>
    <w:p>
      <w:pPr>
        <w:spacing w:after="0" w:line="141"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Revenue Less Ancillary Services, Revenue Less Ancillary Services at Constant Currency, Adjusted Gross Profit, Adjusted Gross Margin and Adjusted EBITDA</w:t>
      </w:r>
    </w:p>
    <w:p>
      <w:pPr>
        <w:spacing w:after="0" w:line="98"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We use non -GAAP financial measures to supplement financial information presented on a GAAP basis. We believe that excluding certain items from our GAAP results allows management to better understand our consolidated financial</w:t>
      </w:r>
    </w:p>
    <w:p>
      <w:pPr>
        <w:spacing w:after="0" w:line="4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56"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130" w:lineRule="exact"/>
        <w:rPr>
          <w:sz w:val="20"/>
          <w:szCs w:val="20"/>
          <w:color w:val="auto"/>
        </w:rPr>
      </w:pPr>
    </w:p>
    <w:p>
      <w:pPr>
        <w:ind w:left="900" w:right="220" w:hanging="263"/>
        <w:spacing w:after="0" w:line="246" w:lineRule="auto"/>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color w:val="auto"/>
        </w:rPr>
        <w:t>- Revenue Less Ancillary Services represents our consolidated revenue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GAAP less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134" w:lineRule="exact"/>
        <w:rPr>
          <w:rFonts w:ascii="Times New Roman" w:cs="Times New Roman" w:eastAsia="Times New Roman" w:hAnsi="Times New Roman"/>
          <w:sz w:val="18"/>
          <w:szCs w:val="18"/>
          <w:color w:val="auto"/>
        </w:rPr>
      </w:pPr>
    </w:p>
    <w:p>
      <w:pPr>
        <w:ind w:left="900" w:right="60" w:hanging="263"/>
        <w:spacing w:after="0" w:line="243" w:lineRule="auto"/>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Less Ancillary Services at Constant Currency </w:t>
      </w:r>
      <w:r>
        <w:rPr>
          <w:rFonts w:ascii="Arial" w:cs="Arial" w:eastAsia="Arial" w:hAnsi="Arial"/>
          <w:sz w:val="18"/>
          <w:szCs w:val="18"/>
          <w:color w:val="auto"/>
        </w:rPr>
        <w:t>- Revenue Less Ancillary Services at Constant Currency represents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Less Ancillary Services adjusted to show presentation on a constant currency basis. The constant currency information presented is calculated by translating current period results using prior period weighted average foreign currency exchange rates. We analyze Revenue Less Ancillary Services on a constant currency basis to provide a comparable framework for assessing how the business performed excluding the effect of foreign currency fluctuations.</w:t>
      </w:r>
    </w:p>
    <w:p>
      <w:pPr>
        <w:spacing w:after="0" w:line="151" w:lineRule="exact"/>
        <w:rPr>
          <w:rFonts w:ascii="Times New Roman" w:cs="Times New Roman" w:eastAsia="Times New Roman" w:hAnsi="Times New Roman"/>
          <w:sz w:val="18"/>
          <w:szCs w:val="18"/>
          <w:color w:val="auto"/>
        </w:rPr>
      </w:pPr>
    </w:p>
    <w:p>
      <w:pPr>
        <w:ind w:left="900" w:right="140" w:hanging="263"/>
        <w:spacing w:after="0" w:line="243" w:lineRule="auto"/>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Gross Profit </w:t>
      </w:r>
      <w:r>
        <w:rPr>
          <w:rFonts w:ascii="Arial" w:cs="Arial" w:eastAsia="Arial" w:hAnsi="Arial"/>
          <w:sz w:val="18"/>
          <w:szCs w:val="18"/>
          <w:color w:val="auto"/>
        </w:rPr>
        <w:t>- Adjusted Gross Profit represents Revenue Less Ancillary Services, less cost of revenue adjusted to (i)</w:t>
      </w:r>
      <w:r>
        <w:rPr>
          <w:rFonts w:ascii="Arial" w:cs="Arial" w:eastAsia="Arial" w:hAnsi="Arial"/>
          <w:sz w:val="18"/>
          <w:szCs w:val="18"/>
          <w:i w:val="1"/>
          <w:iCs w:val="1"/>
          <w:color w:val="auto"/>
        </w:rPr>
        <w:t xml:space="preserve"> </w:t>
      </w:r>
      <w:r>
        <w:rPr>
          <w:rFonts w:ascii="Arial" w:cs="Arial" w:eastAsia="Arial" w:hAnsi="Arial"/>
          <w:sz w:val="18"/>
          <w:szCs w:val="18"/>
          <w:color w:val="auto"/>
        </w:rPr>
        <w:t>exclude pass-through cost for printing services, (ii) offset marketing fees against costs incurred and (iii) exclude depreciation and amortization, including accelerated amortization on the impairment of customer set-up costs tied to technology integration, if applicable. Management believes this presentation supplements the GAAP presentation of gross profit with a useful measure of the gross profit of our payment-related services, which are the primary services we provide to our clients.</w:t>
      </w:r>
    </w:p>
    <w:p>
      <w:pPr>
        <w:spacing w:after="0" w:line="137" w:lineRule="exact"/>
        <w:rPr>
          <w:rFonts w:ascii="Times New Roman" w:cs="Times New Roman" w:eastAsia="Times New Roman" w:hAnsi="Times New Roman"/>
          <w:sz w:val="18"/>
          <w:szCs w:val="18"/>
          <w:color w:val="auto"/>
        </w:rPr>
      </w:pPr>
    </w:p>
    <w:p>
      <w:pPr>
        <w:ind w:left="900" w:right="180" w:hanging="263"/>
        <w:spacing w:after="0"/>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Gross Margin - </w:t>
      </w:r>
      <w:r>
        <w:rPr>
          <w:rFonts w:ascii="Arial" w:cs="Arial" w:eastAsia="Arial" w:hAnsi="Arial"/>
          <w:sz w:val="18"/>
          <w:szCs w:val="18"/>
          <w:color w:val="auto"/>
        </w:rPr>
        <w:t>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believes this presentation supplements the GAAP presentation of gross margin with a useful measure of the gross margin of our payment-related services, which are the primary services we provide to our clients. Beginning with the year ended December 31, 2022, we have excluded depreciation and amortization from the calculation of our adjusted gross profit, which we believe enhances the understanding of our operating performance and enables more meaningful period to period comparisons. Our adjusted gross profit and adjusted gross margin for the year ended December 31, 2021 were recast to conform to the updated methodology and are reflected herein for comparison purposes.</w:t>
      </w:r>
    </w:p>
    <w:p>
      <w:pPr>
        <w:spacing w:after="0" w:line="141" w:lineRule="exact"/>
        <w:rPr>
          <w:rFonts w:ascii="Times New Roman" w:cs="Times New Roman" w:eastAsia="Times New Roman" w:hAnsi="Times New Roman"/>
          <w:sz w:val="18"/>
          <w:szCs w:val="18"/>
          <w:color w:val="auto"/>
        </w:rPr>
      </w:pPr>
    </w:p>
    <w:p>
      <w:pPr>
        <w:ind w:left="900" w:right="120" w:hanging="263"/>
        <w:spacing w:after="0"/>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EBITDA - </w:t>
      </w:r>
      <w:r>
        <w:rPr>
          <w:rFonts w:ascii="Arial" w:cs="Arial" w:eastAsia="Arial" w:hAnsi="Arial"/>
          <w:sz w:val="18"/>
          <w:szCs w:val="18"/>
          <w:color w:val="auto"/>
        </w:rPr>
        <w:t>Adjusted EBITDA represents EBITDA further adjusted by excluding (i) stock-based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payroll taxes, (ii) the impact from the change in fair value measurement for contingent consideration associated with acquisitions, (iii) the impact from the change in fair value measurement of our preferred stock warrants prior to our IPO, (iv) gain (loss) from the remeasurement of foreign currency, (v) indirect taxes related to intercompany activity, (vi) acquisition related transaction costs and (vii)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1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Revenue Less Ancillary Services at Constant Currency, Adjusted Gross Profit,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82"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The tables below provide reconciliations of Revenue Less Ancillary Services, Revenue Less Ancillary Services at Constant Currency, Adjusted Gross Profit, Adjusted Gross Margin and Adjusted EBITDA to the most comparable GAAP figure on a consolidated basis for the periods presented. All dollar amounts are rounded to the nearest million. As a result, certain amounts may not recalculate using the rounded amounts provided.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Less Ancillary Services, Adjusted Gross Profit and Adjusted Gross Margin: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360" w:type="dxa"/>
            <w:vAlign w:val="bottom"/>
            <w:gridSpan w:val="7"/>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403.1</w:t>
            </w:r>
          </w:p>
        </w:tc>
        <w:tc>
          <w:tcPr>
            <w:tcW w:w="180" w:type="dxa"/>
            <w:vAlign w:val="bottom"/>
            <w:shd w:val="clear" w:color="auto" w:fill="CFF0FC"/>
          </w:tcPr>
          <w:p>
            <w:pPr>
              <w:spacing w:after="0"/>
              <w:rPr>
                <w:sz w:val="19"/>
                <w:szCs w:val="19"/>
                <w:color w:val="auto"/>
              </w:rPr>
            </w:pPr>
          </w:p>
        </w:tc>
        <w:tc>
          <w:tcPr>
            <w:tcW w:w="22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289.4</w:t>
            </w:r>
          </w:p>
        </w:tc>
        <w:tc>
          <w:tcPr>
            <w:tcW w:w="160" w:type="dxa"/>
            <w:vAlign w:val="bottom"/>
            <w:shd w:val="clear" w:color="auto" w:fill="CFF0FC"/>
          </w:tcPr>
          <w:p>
            <w:pPr>
              <w:spacing w:after="0"/>
              <w:rPr>
                <w:sz w:val="19"/>
                <w:szCs w:val="19"/>
                <w:color w:val="auto"/>
              </w:rPr>
            </w:pPr>
          </w:p>
        </w:tc>
        <w:tc>
          <w:tcPr>
            <w:tcW w:w="2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Adjusted to exclude gross up for:</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(19.4 )</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(20.4 )</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80"/>
              <w:spacing w:after="0"/>
              <w:rPr>
                <w:sz w:val="20"/>
                <w:szCs w:val="20"/>
                <w:color w:val="auto"/>
              </w:rPr>
            </w:pPr>
            <w:r>
              <w:rPr>
                <w:rFonts w:ascii="Arial" w:cs="Arial" w:eastAsia="Arial" w:hAnsi="Arial"/>
                <w:sz w:val="18"/>
                <w:szCs w:val="18"/>
                <w:color w:val="auto"/>
              </w:rPr>
              <w:t>Marketing fees</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8"/>
                <w:szCs w:val="18"/>
                <w:color w:val="auto"/>
              </w:rPr>
              <w:t>(2.2 )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1200" w:type="dxa"/>
            <w:vAlign w:val="bottom"/>
            <w:tcBorders>
              <w:bottom w:val="single" w:sz="8" w:color="CFF0FC"/>
            </w:tcBorders>
            <w:gridSpan w:val="6"/>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381.5</w:t>
            </w:r>
          </w:p>
        </w:tc>
        <w:tc>
          <w:tcPr>
            <w:tcW w:w="1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gridSpan w:val="2"/>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gridSpan w:val="2"/>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color w:val="auto"/>
              </w:rPr>
              <w:t>Payment processing services costs</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147.3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4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Hosting and amortization costs within technology and development</w:t>
            </w:r>
          </w:p>
        </w:tc>
        <w:tc>
          <w:tcPr>
            <w:tcW w:w="9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4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expenses</w:t>
            </w:r>
          </w:p>
        </w:tc>
        <w:tc>
          <w:tcPr>
            <w:tcW w:w="9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3"/>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2"/>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155.7</w:t>
            </w:r>
          </w:p>
        </w:tc>
        <w:tc>
          <w:tcPr>
            <w:tcW w:w="180" w:type="dxa"/>
            <w:vAlign w:val="bottom"/>
          </w:tcPr>
          <w:p>
            <w:pPr>
              <w:spacing w:after="0"/>
              <w:rPr>
                <w:sz w:val="19"/>
                <w:szCs w:val="19"/>
                <w:color w:val="auto"/>
              </w:rPr>
            </w:pP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114.5</w:t>
            </w:r>
          </w:p>
        </w:tc>
        <w:tc>
          <w:tcPr>
            <w:tcW w:w="160" w:type="dxa"/>
            <w:vAlign w:val="bottom"/>
          </w:tcPr>
          <w:p>
            <w:pPr>
              <w:spacing w:after="0"/>
              <w:rPr>
                <w:sz w:val="19"/>
                <w:szCs w:val="19"/>
                <w:color w:val="auto"/>
              </w:rPr>
            </w:pPr>
          </w:p>
        </w:tc>
        <w:tc>
          <w:tcPr>
            <w:tcW w:w="2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to:</w:t>
            </w: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80"/>
              <w:spacing w:after="0"/>
              <w:rPr>
                <w:sz w:val="20"/>
                <w:szCs w:val="20"/>
                <w:color w:val="auto"/>
              </w:rPr>
            </w:pPr>
            <w:r>
              <w:rPr>
                <w:rFonts w:ascii="Arial" w:cs="Arial" w:eastAsia="Arial" w:hAnsi="Arial"/>
                <w:sz w:val="18"/>
                <w:szCs w:val="18"/>
                <w:color w:val="auto"/>
              </w:rPr>
              <w:t>Exclude printing and mailing costs</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8"/>
                <w:szCs w:val="18"/>
                <w:color w:val="auto"/>
              </w:rPr>
              <w:t>(19.4 )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(20.4 )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Offset marketing fees against related costs</w:t>
            </w: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(2.2 )</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(1.9 )</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80"/>
              <w:spacing w:after="0"/>
              <w:rPr>
                <w:sz w:val="20"/>
                <w:szCs w:val="20"/>
                <w:color w:val="auto"/>
              </w:rPr>
            </w:pPr>
            <w:r>
              <w:rPr>
                <w:rFonts w:ascii="Arial" w:cs="Arial" w:eastAsia="Arial" w:hAnsi="Arial"/>
                <w:sz w:val="18"/>
                <w:szCs w:val="18"/>
                <w:color w:val="auto"/>
              </w:rPr>
              <w:t>Exclude depreciation and amortization</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8"/>
                <w:szCs w:val="18"/>
                <w:color w:val="auto"/>
              </w:rPr>
              <w:t>(6.7 )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(7.0 )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Cost of Revenue</w:t>
            </w:r>
          </w:p>
        </w:tc>
        <w:tc>
          <w:tcPr>
            <w:tcW w:w="1200" w:type="dxa"/>
            <w:vAlign w:val="bottom"/>
            <w:gridSpan w:val="6"/>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127.4</w:t>
            </w:r>
          </w:p>
        </w:tc>
        <w:tc>
          <w:tcPr>
            <w:tcW w:w="1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247.4</w:t>
            </w:r>
          </w:p>
        </w:tc>
        <w:tc>
          <w:tcPr>
            <w:tcW w:w="180" w:type="dxa"/>
            <w:vAlign w:val="bottom"/>
          </w:tcPr>
          <w:p>
            <w:pPr>
              <w:spacing w:after="0"/>
              <w:rPr>
                <w:sz w:val="19"/>
                <w:szCs w:val="19"/>
                <w:color w:val="auto"/>
              </w:rPr>
            </w:pP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174.9</w:t>
            </w:r>
          </w:p>
        </w:tc>
        <w:tc>
          <w:tcPr>
            <w:tcW w:w="160" w:type="dxa"/>
            <w:vAlign w:val="bottom"/>
          </w:tcPr>
          <w:p>
            <w:pPr>
              <w:spacing w:after="0"/>
              <w:rPr>
                <w:sz w:val="19"/>
                <w:szCs w:val="19"/>
                <w:color w:val="auto"/>
              </w:rPr>
            </w:pPr>
          </w:p>
        </w:tc>
        <w:tc>
          <w:tcPr>
            <w:tcW w:w="2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61.4 %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60.4 %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62.3 %</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Adjusted Gross Profit</w:t>
            </w: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254.1</w:t>
            </w:r>
          </w:p>
        </w:tc>
        <w:tc>
          <w:tcPr>
            <w:tcW w:w="180" w:type="dxa"/>
            <w:vAlign w:val="bottom"/>
          </w:tcPr>
          <w:p>
            <w:pPr>
              <w:spacing w:after="0"/>
              <w:rPr>
                <w:sz w:val="18"/>
                <w:szCs w:val="18"/>
                <w:color w:val="auto"/>
              </w:rPr>
            </w:pP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18"/>
                <w:szCs w:val="18"/>
                <w:color w:val="auto"/>
              </w:rPr>
            </w:pPr>
          </w:p>
        </w:tc>
        <w:tc>
          <w:tcPr>
            <w:tcW w:w="2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Adjusted Gross Margin</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66.6 %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68.1 %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71.6 %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Platform and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5"/>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Transaction</w:t>
            </w:r>
          </w:p>
        </w:tc>
        <w:tc>
          <w:tcPr>
            <w:tcW w:w="260" w:type="dxa"/>
            <w:vAlign w:val="bottom"/>
            <w:gridSpan w:val="3"/>
          </w:tcPr>
          <w:p>
            <w:pPr>
              <w:spacing w:after="0"/>
              <w:rPr>
                <w:sz w:val="16"/>
                <w:szCs w:val="16"/>
                <w:color w:val="auto"/>
              </w:rPr>
            </w:pPr>
          </w:p>
        </w:tc>
        <w:tc>
          <w:tcPr>
            <w:tcW w:w="13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Usage-Based Fee</w:t>
            </w:r>
          </w:p>
        </w:tc>
        <w:tc>
          <w:tcPr>
            <w:tcW w:w="260" w:type="dxa"/>
            <w:vAlign w:val="bottom"/>
            <w:gridSpan w:val="2"/>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360" w:type="dxa"/>
            <w:vAlign w:val="bottom"/>
            <w:gridSpan w:val="7"/>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Adjusted to exclude gross up for:</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(19.4 )</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80"/>
              <w:spacing w:after="0"/>
              <w:rPr>
                <w:sz w:val="20"/>
                <w:szCs w:val="20"/>
                <w:color w:val="auto"/>
              </w:rPr>
            </w:pPr>
            <w:r>
              <w:rPr>
                <w:rFonts w:ascii="Arial" w:cs="Arial" w:eastAsia="Arial" w:hAnsi="Arial"/>
                <w:sz w:val="18"/>
                <w:szCs w:val="18"/>
                <w:color w:val="auto"/>
              </w:rPr>
              <w:t>Marketing fees</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(2.2 )</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1140" w:type="dxa"/>
            <w:vAlign w:val="bottom"/>
            <w:tcBorders>
              <w:bottom w:val="single" w:sz="8" w:color="CFF0FC"/>
            </w:tcBorders>
            <w:gridSpan w:val="4"/>
            <w:shd w:val="clear" w:color="auto" w:fill="CFF0FC"/>
          </w:tcPr>
          <w:p>
            <w:pPr>
              <w:spacing w:after="0"/>
              <w:rPr>
                <w:sz w:val="22"/>
                <w:szCs w:val="22"/>
                <w:color w:val="auto"/>
              </w:rPr>
            </w:pPr>
          </w:p>
        </w:tc>
        <w:tc>
          <w:tcPr>
            <w:tcW w:w="220" w:type="dxa"/>
            <w:vAlign w:val="bottom"/>
            <w:tcBorders>
              <w:top w:val="single" w:sz="8" w:color="auto"/>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327.5</w:t>
            </w:r>
          </w:p>
        </w:tc>
        <w:tc>
          <w:tcPr>
            <w:tcW w:w="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gridSpan w:val="3"/>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gridSpan w:val="3"/>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8"/>
                <w:szCs w:val="18"/>
                <w:color w:val="auto"/>
              </w:rPr>
              <w:t>81.8 %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18.2 %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Percentage of Revenue Less Ancillary Services</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8"/>
                <w:szCs w:val="18"/>
                <w:color w:val="auto"/>
              </w:rPr>
              <w:t>85.8 %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14.2 %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382"/>
        </w:trPr>
        <w:tc>
          <w:tcPr>
            <w:tcW w:w="5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Platform and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5"/>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Transaction</w:t>
            </w:r>
          </w:p>
        </w:tc>
        <w:tc>
          <w:tcPr>
            <w:tcW w:w="20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Usage-Based Fee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360" w:type="dxa"/>
            <w:vAlign w:val="bottom"/>
            <w:gridSpan w:val="7"/>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FF0FC"/>
          </w:tcPr>
          <w:p>
            <w:pPr>
              <w:spacing w:after="0"/>
              <w:rPr>
                <w:sz w:val="19"/>
                <w:szCs w:val="19"/>
                <w:color w:val="auto"/>
              </w:rPr>
            </w:pPr>
          </w:p>
        </w:tc>
        <w:tc>
          <w:tcPr>
            <w:tcW w:w="2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Adjusted to exclude gross up for:</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(20.4 )</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80"/>
              <w:spacing w:after="0"/>
              <w:rPr>
                <w:sz w:val="20"/>
                <w:szCs w:val="20"/>
                <w:color w:val="auto"/>
              </w:rPr>
            </w:pPr>
            <w:r>
              <w:rPr>
                <w:rFonts w:ascii="Arial" w:cs="Arial" w:eastAsia="Arial" w:hAnsi="Arial"/>
                <w:sz w:val="18"/>
                <w:szCs w:val="18"/>
                <w:color w:val="auto"/>
              </w:rPr>
              <w:t>Marketing fees</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(1.9 )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1160" w:type="dxa"/>
            <w:vAlign w:val="bottom"/>
            <w:tcBorders>
              <w:bottom w:val="single" w:sz="8" w:color="CFF0FC"/>
            </w:tcBorders>
            <w:gridSpan w:val="5"/>
            <w:shd w:val="clear" w:color="auto" w:fill="CFF0FC"/>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222.3</w:t>
            </w:r>
          </w:p>
        </w:tc>
        <w:tc>
          <w:tcPr>
            <w:tcW w:w="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44.8</w:t>
            </w:r>
          </w:p>
        </w:tc>
        <w:tc>
          <w:tcPr>
            <w:tcW w:w="1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77.5 %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22.5 %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Percentage of Revenue Less Ancillary Services</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83.2 %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16.8 %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543"/>
        </w:trPr>
        <w:tc>
          <w:tcPr>
            <w:tcW w:w="5440" w:type="dxa"/>
            <w:vAlign w:val="bottom"/>
          </w:tcPr>
          <w:p>
            <w:pPr>
              <w:spacing w:after="0"/>
              <w:rPr>
                <w:sz w:val="24"/>
                <w:szCs w:val="24"/>
                <w:color w:val="auto"/>
              </w:rPr>
            </w:pPr>
          </w:p>
        </w:tc>
        <w:tc>
          <w:tcPr>
            <w:tcW w:w="980" w:type="dxa"/>
            <w:vAlign w:val="bottom"/>
          </w:tcPr>
          <w:p>
            <w:pPr>
              <w:jc w:val="right"/>
              <w:ind w:right="61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-5659120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-5641975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-5659120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-5641975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-5659120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-5641975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-5222240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-5222240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-5222240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-4160520</wp:posOffset>
            </wp:positionV>
            <wp:extent cx="713232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-3843655</wp:posOffset>
            </wp:positionV>
            <wp:extent cx="713232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-2397125</wp:posOffset>
            </wp:positionV>
            <wp:extent cx="713232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-2567940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-2550795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-2567940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-2550795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-2567940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-2550795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-975360</wp:posOffset>
            </wp:positionV>
            <wp:extent cx="713232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-1146810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-1129665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-1146810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-1129665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-1146810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rPr>
              <w:t>Platform and</w:t>
            </w:r>
          </w:p>
        </w:tc>
        <w:tc>
          <w:tcPr>
            <w:tcW w:w="180" w:type="dxa"/>
            <w:vAlign w:val="bottom"/>
          </w:tcPr>
          <w:p>
            <w:pPr>
              <w:spacing w:after="0"/>
              <w:rPr>
                <w:sz w:val="14"/>
                <w:szCs w:val="14"/>
                <w:color w:val="auto"/>
              </w:rPr>
            </w:pPr>
          </w:p>
        </w:tc>
        <w:tc>
          <w:tcPr>
            <w:tcW w:w="14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5"/>
        </w:trPr>
        <w:tc>
          <w:tcPr>
            <w:tcW w:w="6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Transaction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Usage-Based Fee</w:t>
            </w:r>
          </w:p>
        </w:tc>
        <w:tc>
          <w:tcPr>
            <w:tcW w:w="220" w:type="dxa"/>
            <w:vAlign w:val="bottom"/>
            <w:gridSpan w:val="2"/>
          </w:tcPr>
          <w:p>
            <w:pPr>
              <w:spacing w:after="0"/>
              <w:rPr>
                <w:sz w:val="16"/>
                <w:szCs w:val="16"/>
                <w:color w:val="auto"/>
              </w:rPr>
            </w:pPr>
          </w:p>
        </w:tc>
        <w:tc>
          <w:tcPr>
            <w:tcW w:w="150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Adjusted to exclude gross up for: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2"/>
              </w:rPr>
              <w:t>(18.2 )</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tcPr>
          <w:p>
            <w:pPr>
              <w:ind w:left="280"/>
              <w:spacing w:after="0"/>
              <w:rPr>
                <w:sz w:val="20"/>
                <w:szCs w:val="20"/>
                <w:color w:val="auto"/>
              </w:rPr>
            </w:pPr>
            <w:r>
              <w:rPr>
                <w:rFonts w:ascii="Arial" w:cs="Arial" w:eastAsia="Arial" w:hAnsi="Arial"/>
                <w:sz w:val="18"/>
                <w:szCs w:val="18"/>
                <w:color w:val="auto"/>
              </w:rPr>
              <w:t>Marketing fees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1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Percentage of Revenue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73.6 %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26.4 %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Percentage of Revenue Less Ancillary Services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80.7 %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19.3 %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395"/>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Revenue Less Ancillary Services at Constant Currency:</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185"/>
        </w:trPr>
        <w:tc>
          <w:tcPr>
            <w:tcW w:w="6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82"/>
        </w:trPr>
        <w:tc>
          <w:tcPr>
            <w:tcW w:w="626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3"/>
              </w:rPr>
              <w:t>403.1</w:t>
            </w:r>
          </w:p>
        </w:tc>
        <w:tc>
          <w:tcPr>
            <w:tcW w:w="580" w:type="dxa"/>
            <w:vAlign w:val="bottom"/>
            <w:gridSpan w:val="2"/>
          </w:tcPr>
          <w:p>
            <w:pPr>
              <w:jc w:val="center"/>
              <w:ind w:left="1"/>
              <w:spacing w:after="0"/>
              <w:rPr>
                <w:sz w:val="20"/>
                <w:szCs w:val="20"/>
                <w:color w:val="auto"/>
              </w:rPr>
            </w:pPr>
            <w:r>
              <w:rPr>
                <w:rFonts w:ascii="Arial" w:cs="Arial" w:eastAsia="Arial" w:hAnsi="Arial"/>
                <w:sz w:val="18"/>
                <w:szCs w:val="18"/>
                <w:color w:val="auto"/>
                <w:w w:val="99"/>
              </w:rPr>
              <w:t>$</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289.4</w:t>
            </w:r>
          </w:p>
        </w:tc>
        <w:tc>
          <w:tcPr>
            <w:tcW w:w="2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Ancillary services</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4"/>
          </w:tcPr>
          <w:p>
            <w:pPr>
              <w:jc w:val="right"/>
              <w:ind w:right="101"/>
              <w:spacing w:after="0"/>
              <w:rPr>
                <w:sz w:val="20"/>
                <w:szCs w:val="20"/>
                <w:color w:val="auto"/>
              </w:rPr>
            </w:pPr>
            <w:r>
              <w:rPr>
                <w:rFonts w:ascii="Arial" w:cs="Arial" w:eastAsia="Arial" w:hAnsi="Arial"/>
                <w:sz w:val="18"/>
                <w:szCs w:val="18"/>
                <w:color w:val="auto"/>
                <w:w w:val="99"/>
              </w:rPr>
              <w:t>(21.6 )</w:t>
            </w: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w w:val="96"/>
              </w:rPr>
              <w:t>(22.3 )</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 Less Ancillary Services</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3"/>
              </w:rPr>
              <w:t>381.5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267.1</w:t>
            </w:r>
          </w:p>
        </w:tc>
        <w:tc>
          <w:tcPr>
            <w:tcW w:w="2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42.8 %</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ind w:left="20"/>
              <w:spacing w:after="0"/>
              <w:rPr>
                <w:sz w:val="20"/>
                <w:szCs w:val="20"/>
                <w:color w:val="auto"/>
              </w:rPr>
            </w:pPr>
            <w:r>
              <w:rPr>
                <w:rFonts w:ascii="Arial" w:cs="Arial" w:eastAsia="Arial" w:hAnsi="Arial"/>
                <w:sz w:val="18"/>
                <w:szCs w:val="18"/>
                <w:color w:val="auto"/>
              </w:rPr>
              <w:t>Effects of foreign currency rate fluctuations</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Revenue Less Ancillary Services at constant currency</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3"/>
              </w:rPr>
              <w:t>382.9</w:t>
            </w:r>
          </w:p>
        </w:tc>
        <w:tc>
          <w:tcPr>
            <w:tcW w:w="580" w:type="dxa"/>
            <w:vAlign w:val="bottom"/>
            <w:gridSpan w:val="2"/>
          </w:tcPr>
          <w:p>
            <w:pPr>
              <w:jc w:val="center"/>
              <w:ind w:left="1"/>
              <w:spacing w:after="0"/>
              <w:rPr>
                <w:sz w:val="20"/>
                <w:szCs w:val="20"/>
                <w:color w:val="auto"/>
              </w:rPr>
            </w:pPr>
            <w:r>
              <w:rPr>
                <w:rFonts w:ascii="Arial" w:cs="Arial" w:eastAsia="Arial" w:hAnsi="Arial"/>
                <w:sz w:val="18"/>
                <w:szCs w:val="18"/>
                <w:color w:val="auto"/>
                <w:w w:val="99"/>
              </w:rPr>
              <w:t>$</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267.1</w:t>
            </w:r>
          </w:p>
        </w:tc>
        <w:tc>
          <w:tcPr>
            <w:tcW w:w="2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43.4 %</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EBITDA and Adjusted EBITDA:</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2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7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580" w:type="dxa"/>
            <w:vAlign w:val="bottom"/>
            <w:gridSpan w:val="4"/>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6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(8.6 )   $</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(39.3 )</w:t>
            </w:r>
          </w:p>
        </w:tc>
        <w:tc>
          <w:tcPr>
            <w:tcW w:w="44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4"/>
            <w:shd w:val="clear" w:color="auto" w:fill="CFF0FC"/>
          </w:tcPr>
          <w:p>
            <w:pPr>
              <w:jc w:val="right"/>
              <w:ind w:right="124"/>
              <w:spacing w:after="0"/>
              <w:rPr>
                <w:sz w:val="20"/>
                <w:szCs w:val="20"/>
                <w:color w:val="auto"/>
              </w:rPr>
            </w:pPr>
            <w:r>
              <w:rPr>
                <w:rFonts w:ascii="Arial" w:cs="Arial" w:eastAsia="Arial" w:hAnsi="Arial"/>
                <w:sz w:val="18"/>
                <w:szCs w:val="18"/>
                <w:color w:val="auto"/>
              </w:rPr>
              <w:t>(13.3 )</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(3.2 )</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jc w:val="right"/>
              <w:ind w:right="124"/>
              <w:spacing w:after="0"/>
              <w:rPr>
                <w:sz w:val="20"/>
                <w:szCs w:val="20"/>
                <w:color w:val="auto"/>
              </w:rPr>
            </w:pPr>
            <w:r>
              <w:rPr>
                <w:rFonts w:ascii="Arial" w:cs="Arial" w:eastAsia="Arial" w:hAnsi="Arial"/>
                <w:sz w:val="18"/>
                <w:szCs w:val="18"/>
                <w:color w:val="auto"/>
              </w:rPr>
              <w:t>(0.9 )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(25.2 )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 and related taxes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(2.8 )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Change in fair value of preferred stock warrant liability</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Gain (loss) from remeasurement of foreign currency</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jc w:val="right"/>
              <w:ind w:right="124"/>
              <w:spacing w:after="0"/>
              <w:rPr>
                <w:sz w:val="20"/>
                <w:szCs w:val="20"/>
                <w:color w:val="auto"/>
              </w:rPr>
            </w:pPr>
            <w:r>
              <w:rPr>
                <w:rFonts w:ascii="Arial" w:cs="Arial" w:eastAsia="Arial" w:hAnsi="Arial"/>
                <w:sz w:val="18"/>
                <w:szCs w:val="18"/>
                <w:color w:val="auto"/>
              </w:rPr>
              <w:t>(4.2 )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Indirect taxes related to intercompany activity</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 xml:space="preserve">Acquisition related transaction costs </w:t>
            </w:r>
            <w:r>
              <w:rPr>
                <w:rFonts w:ascii="Arial" w:cs="Arial" w:eastAsia="Arial" w:hAnsi="Arial"/>
                <w:sz w:val="24"/>
                <w:szCs w:val="24"/>
                <w:color w:val="auto"/>
                <w:vertAlign w:val="superscript"/>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Borders>
              <w:bottom w:val="single" w:sz="8" w:color="CFF0FC"/>
            </w:tcBorders>
            <w:gridSpan w:val="2"/>
            <w:shd w:val="clear" w:color="auto" w:fill="CFF0FC"/>
          </w:tcPr>
          <w:p>
            <w:pPr>
              <w:ind w:left="20"/>
              <w:spacing w:after="0" w:line="229" w:lineRule="exact"/>
              <w:rPr>
                <w:sz w:val="20"/>
                <w:szCs w:val="20"/>
                <w:color w:val="auto"/>
              </w:rPr>
            </w:pPr>
            <w:r>
              <w:rPr>
                <w:rFonts w:ascii="Arial" w:cs="Arial" w:eastAsia="Arial" w:hAnsi="Arial"/>
                <w:sz w:val="18"/>
                <w:szCs w:val="18"/>
                <w:color w:val="auto"/>
              </w:rPr>
              <w:t xml:space="preserve">Acquisition related employee retention costs </w:t>
            </w:r>
            <w:r>
              <w:rPr>
                <w:rFonts w:ascii="Arial" w:cs="Arial" w:eastAsia="Arial" w:hAnsi="Arial"/>
                <w:sz w:val="24"/>
                <w:szCs w:val="24"/>
                <w:color w:val="auto"/>
                <w:vertAlign w:val="superscript"/>
              </w:rPr>
              <w:t>(2)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580" w:type="dxa"/>
            <w:vAlign w:val="bottom"/>
            <w:gridSpan w:val="4"/>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44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6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-4605655</wp:posOffset>
            </wp:positionV>
            <wp:extent cx="7132320" cy="145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-4777105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-4759960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-4777105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-4759960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-4777105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-4759960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-3741420</wp:posOffset>
            </wp:positionV>
            <wp:extent cx="7132320" cy="145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-3415665</wp:posOffset>
            </wp:positionV>
            <wp:extent cx="713232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-3064510</wp:posOffset>
            </wp:positionV>
            <wp:extent cx="713232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-1454785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-1454785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-1454785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-281940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-281940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ind w:left="520" w:hanging="377"/>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Acquisition related transaction costs consisted of legal and advisory fees incurred in connection with the StudyLink, Cohort Go and WPM acquisitions.</w:t>
      </w:r>
    </w:p>
    <w:p>
      <w:pPr>
        <w:spacing w:after="0" w:line="14" w:lineRule="exact"/>
        <w:rPr>
          <w:rFonts w:ascii="Arial" w:cs="Arial" w:eastAsia="Arial" w:hAnsi="Arial"/>
          <w:sz w:val="14"/>
          <w:szCs w:val="14"/>
          <w:color w:val="auto"/>
        </w:rPr>
      </w:pPr>
    </w:p>
    <w:p>
      <w:pPr>
        <w:ind w:left="520" w:right="620" w:hanging="377"/>
        <w:spacing w:after="0" w:line="263" w:lineRule="auto"/>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Acquisition related employee retention costs consisted of costs incurred to retain and compensate StudyLink, WPM and Simplee's employees in connection with integration of the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8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39"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w:t>
      </w:r>
    </w:p>
    <w:p>
      <w:pPr>
        <w:sectPr>
          <w:pgSz w:w="11900" w:h="16838" w:orient="portrait"/>
          <w:cols w:equalWidth="0" w:num="1">
            <w:col w:w="11300"/>
          </w:cols>
          <w:pgMar w:left="320" w:top="768" w:right="279" w:bottom="1440" w:gutter="0" w:footer="0" w:header="0"/>
        </w:sectPr>
      </w:pPr>
    </w:p>
    <w:p>
      <w:pPr>
        <w:spacing w:after="0" w:line="4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usage of our platform also depends on our ability to successfully introduce new solutions, such as our solutions to support payments by international education consultants and our B2B solutions.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6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182"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36"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82"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total payment volume and payment mix.</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69"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inflation or fluctuations in foreign exchange rates, could affect the amounts of volumes processed on our platform, thus resulting in fluctuations to our revenue streams.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Israel and Hamas</w:t>
      </w:r>
    </w:p>
    <w:p>
      <w:pPr>
        <w:spacing w:after="0" w:line="169"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We have an office in Tel Aviv, Israel, which is one of our software development and product centers. As of the date of this filing, the conflict between Israel and Hamas has not had a material impact on our revenue, results of operations or financial position. We are engaged in active workforce management and efforts to preserve the health and safety of our Israeli FlyMates. However, since the Tel Aviv office is a healthcare engineering hub, we may experience customer service issues if there is a major problem as a result of the conflict and we are not able to service its platform on a timely basis. Further, the conflict may create a global challenge in outsourcing or hiring engineering talent.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Russia and Ukraine</w:t>
      </w:r>
    </w:p>
    <w:p>
      <w:pPr>
        <w:spacing w:after="0" w:line="182"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We do not have any operations, or long-lived assets, in Ukraine or Russia. We are actively monitoring the situation in Ukraine and assessing its impact on our business, but as of the issuance date of these consolidated financial statements, the current conflict between Russia and Ukraine has not had a material impact on our revenue, results of operations or financial position. Ukraine is a major engineering hub and we may from time to time utilize technology resources from Ukraine on a contracted basis. The conflict may create a global challenge in outsourcing or hiring engineering talent. However, we have no way to predict the progress or outcome of the conflict or its impacts in Ukraine, Russia or Belarus as the conflict, and any resulting government reactions, are rapidly developing and beyond our control.</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extent and duration of the military action, sanctions and resulting market disruptions could be significant and could potentially have a substantial impact on the global economy and our business for an unknown period of time.</w:t>
      </w:r>
    </w:p>
    <w:p>
      <w:pPr>
        <w:spacing w:after="0" w:line="12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Ukraine is a major engineering hub and the conflict may create a global challenge in outsourcing or hiring engineering talent. In addition, we have put in place and continue to actively manage a program to comply with government sanctions imposed on Russian persons and financial institutions. Also, providers of payment and accounts receivable software have frequently been targeted by cyber threats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We continue to invest in systems, software and personnel to protect against these enhanced threats, but any failure to protect against such attacks, could result in unauthorized access to or leakage of, sensitive data, or compromise our ability to provide our solutions in a timely manner, which could harm our ability to conduct business or delay our financial reporting. Such failures could adversely affect our operating results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Inflation did not have a material effect on our cash flows and results of operations during the year ended December 31,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169"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We have a wide range of clients across our education, healthcare, travel and B2B verticals. Volumes and revenue from clients in education, our largest vertical, rely on international enrollments and student school preferences, which can fluctuate over time.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82"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initiated a series of refinements to our technology and personalization engine to optimize our clients’ ability to offer payment plans and communicate effectively and digitally with their customers.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as the lack of affordability drives the need for more financial flexibility.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69"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response to COVID-19 developments, we implemented measures to focus on the safety of our FlyMates and support of our clients, while at the same time seeking to mitigate the impact on our financial position and operations. We have implemented remote working capabilities for our entire organization and to date, there has been minimal disruption to our operations. As vaccination rates increased and the pandemic abated, we reopened our offices to the extent local requirements allowed, although FlyMates continue to have the flexibility to work remotely. With the recent outbreak of hostilities in Gaza, we have also engaged in active workforce planning to help Israeli FlyMates support the business without interruption and implement safety measures for FlyMates in Israel.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platform and usage-based fees as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Revenue</w:t>
      </w:r>
    </w:p>
    <w:p>
      <w:pPr>
        <w:spacing w:after="0" w:line="182" w:lineRule="exact"/>
        <w:rPr>
          <w:sz w:val="20"/>
          <w:szCs w:val="20"/>
          <w:color w:val="auto"/>
        </w:rPr>
      </w:pPr>
    </w:p>
    <w:p>
      <w:pPr>
        <w:ind w:right="360" w:firstLine="509"/>
        <w:spacing w:after="0" w:line="243" w:lineRule="auto"/>
        <w:rPr>
          <w:sz w:val="20"/>
          <w:szCs w:val="20"/>
          <w:color w:val="auto"/>
        </w:rPr>
      </w:pPr>
      <w:r>
        <w:rPr>
          <w:rFonts w:ascii="Arial" w:cs="Arial" w:eastAsia="Arial" w:hAnsi="Arial"/>
          <w:sz w:val="18"/>
          <w:szCs w:val="18"/>
          <w:color w:val="auto"/>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 Our revenue mix fluctuates and as more revenue is derived from credit cards our adjusted gross margin goes down.</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and Usage-Based Fee Revenue</w:t>
      </w:r>
    </w:p>
    <w:p>
      <w:pPr>
        <w:spacing w:after="0" w:line="16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spacing w:after="0" w:line="139" w:lineRule="exact"/>
        <w:rPr>
          <w:sz w:val="20"/>
          <w:szCs w:val="20"/>
          <w:color w:val="auto"/>
        </w:rPr>
      </w:pPr>
    </w:p>
    <w:p>
      <w:pPr>
        <w:ind w:right="440" w:firstLine="509"/>
        <w:spacing w:after="0" w:line="252" w:lineRule="auto"/>
        <w:rPr>
          <w:sz w:val="20"/>
          <w:szCs w:val="20"/>
          <w:color w:val="auto"/>
        </w:rPr>
      </w:pPr>
      <w:r>
        <w:rPr>
          <w:rFonts w:ascii="Arial" w:cs="Arial" w:eastAsia="Arial" w:hAnsi="Arial"/>
          <w:sz w:val="18"/>
          <w:szCs w:val="18"/>
          <w:color w:val="auto"/>
        </w:rPr>
        <w:t>Our insurance offering provides students a platform which enables them to compare, select and purchase the mandated health insurance coverage needed. We earn a commission from insurance providers when a student purchases an insurance policy as well as consideration from the student in the form of a markup on the foreign exchange rate.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69"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82"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4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82" w:lineRule="exact"/>
        <w:rPr>
          <w:sz w:val="20"/>
          <w:szCs w:val="20"/>
          <w:color w:val="auto"/>
        </w:rPr>
      </w:pPr>
    </w:p>
    <w:p>
      <w:pPr>
        <w:ind w:right="100" w:firstLine="509"/>
        <w:spacing w:after="0" w:line="274" w:lineRule="auto"/>
        <w:rPr>
          <w:sz w:val="20"/>
          <w:szCs w:val="20"/>
          <w:color w:val="auto"/>
        </w:rPr>
      </w:pPr>
      <w:r>
        <w:rPr>
          <w:rFonts w:ascii="Arial" w:cs="Arial" w:eastAsia="Arial" w:hAnsi="Arial"/>
          <w:sz w:val="17"/>
          <w:szCs w:val="17"/>
          <w:color w:val="auto"/>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spacing w:after="0" w:line="113"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Interest expense consists of interest previously incurred on our Loan and Security Agreement (LSA) and revolving credit syndication loan (Revolving Credit Facility). Interest expense also includes amortization of debt issuance cost and debt discount from our previous LSA. During 2018, we borrowed $25.0 million under the LSA. In July 2021, we refinanced the LSA by entering into a $ 50.0 million Revolving Credit Facility. During the year ended December 31, 2022, we repaid the $25.9 million outstanding under the Revolving Credit Facility, and did not draw against the Revolving Credit Facility during the year ended December 31, 2023. As a result, we continue to have access to a total commitment of $50.0 million under the Revolving Credit Facility.</w:t>
      </w:r>
    </w:p>
    <w:p>
      <w:pPr>
        <w:spacing w:after="0" w:line="155"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On June 23, 2023, we executed the First Amendment to the Revolving Credit Facility to transition determination of the rate of interest from the LIBOR benchmark rate to the SOFR benchmark rate effective June 30, 2023.</w:t>
      </w:r>
    </w:p>
    <w:p>
      <w:pPr>
        <w:spacing w:after="0" w:line="1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accordance with the First Amendment, the Revolving Credit Facility has an adjustable rate of interest based on the type of loan requested, either at a rate based on the Alternate Base Rate (ABR) plus an applicable rate or Adjusted Term SOFR plus an applicable rate. The ABR rate is based on the greatest of (a) the Prime Rate, (b) the Federal Funds Effective Rate plus 1/2 of 1%, or (c) the Adjusted Term SOFR for a one-month interest period, plus 1%. The Adjusted Term SOFR is based on (x) the Term SOFR, plus (y) the applicable spread adjustment ranging from 0.11448% to 0.71513% depending on the length of the SOFR interest period, multiplied by (z) the Statutory Reserve Rate. The applicable rate is based upon our liquidity as of the most recent consolidated financial information and ranges from 0.75% to 2.25%.</w:t>
      </w:r>
    </w:p>
    <w:p>
      <w:pPr>
        <w:spacing w:after="0" w:line="14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Prior to the First Amendment, the Revolving Credit Facility had an adjustable rate of interest based on the type of loan requested, either at a rate based on the ABR plus an applicable rate or LIBOR plus an applicable rate. The ABR rate was based on the greatest of (a) the Prime Rate, (b) the Federal Funds Effective Rate plus 1/2 of 1%, or (c) the Adjusted LIBOR for a one-month interest period, plus 1%. The adjusted LIBOR was based on (x) the LIBOR for such interest period, multiplied by (y) the Statutory Reserve Rate. The applicable rate was based upon our liquidity as of the most recent consolidated financial information and ranged from 0.75% to 2.25%.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Preferred Stock Warrant Liability</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connection with our financing arrangements, we issued warrants to purchase convertible preferred stock to a lender. The warrants to purchase preferred stock provided for net share settlement under which the maximum number of shares that could be issued represented the total amount of shares under the warrant agreements. These warrants were classified as liabilities on our consolidated balance sheets as these were free standing instruments that may have required us to transfer an asset upon exercise. The warrant liability associated with these warrants was recorded at fair value on the issuance date of the warrants and was marked to market each reporting period based on changes in the warrants’ fair value calculated using the Black-Scholes model. Following our IPO, all preferred stock warrants were either fully exercised or converted to warrants to purchase common stock and no longer require liability classification. As a result, we no longer recognize the change in fair value of preferred stock warrant liability in our consolidated statements of operations and comprehensive loss.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cash held in interest bearing operating accounts, including money market funds.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Remeasurement of Foreign Currency</w:t>
      </w:r>
    </w:p>
    <w:p>
      <w:pPr>
        <w:spacing w:after="0" w:line="169" w:lineRule="exact"/>
        <w:rPr>
          <w:sz w:val="20"/>
          <w:szCs w:val="20"/>
          <w:color w:val="auto"/>
        </w:rPr>
      </w:pPr>
    </w:p>
    <w:p>
      <w:pPr>
        <w:ind w:right="860" w:firstLine="509"/>
        <w:spacing w:after="0" w:line="271" w:lineRule="auto"/>
        <w:rPr>
          <w:sz w:val="20"/>
          <w:szCs w:val="20"/>
          <w:color w:val="auto"/>
        </w:rPr>
      </w:pPr>
      <w:r>
        <w:rPr>
          <w:rFonts w:ascii="Arial" w:cs="Arial" w:eastAsia="Arial" w:hAnsi="Arial"/>
          <w:sz w:val="18"/>
          <w:szCs w:val="18"/>
          <w:color w:val="auto"/>
        </w:rPr>
        <w:t>Gain (loss) from remeasurement of foreign currency consists of gains and losses from the remeasurement of foreign currency transactions into its functional currency.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w:t>
      </w:r>
    </w:p>
    <w:p>
      <w:pPr>
        <w:spacing w:after="0" w:line="169" w:lineRule="exact"/>
        <w:rPr>
          <w:sz w:val="20"/>
          <w:szCs w:val="20"/>
          <w:color w:val="auto"/>
        </w:rPr>
      </w:pPr>
    </w:p>
    <w:p>
      <w:pPr>
        <w:jc w:val="both"/>
        <w:ind w:right="220" w:firstLine="509"/>
        <w:spacing w:after="0" w:line="252" w:lineRule="auto"/>
        <w:rPr>
          <w:sz w:val="20"/>
          <w:szCs w:val="20"/>
          <w:color w:val="auto"/>
        </w:rPr>
      </w:pPr>
      <w:r>
        <w:rPr>
          <w:rFonts w:ascii="Arial" w:cs="Arial" w:eastAsia="Arial" w:hAnsi="Arial"/>
          <w:sz w:val="18"/>
          <w:szCs w:val="18"/>
          <w:color w:val="auto"/>
        </w:rPr>
        <w:t>Provision for income taxes consists primarily of foreign and state income taxes. We have historically generated NOL carryforwards for U.S. Federal and state tax purposes as we expand the scale of our business activities. Changes in the U.S. and foreign tax law may impact our overall provision for income taxes in the future.</w:t>
      </w:r>
    </w:p>
    <w:p>
      <w:pPr>
        <w:spacing w:after="0" w:line="130" w:lineRule="exact"/>
        <w:rPr>
          <w:sz w:val="20"/>
          <w:szCs w:val="20"/>
          <w:color w:val="auto"/>
        </w:rPr>
      </w:pPr>
    </w:p>
    <w:p>
      <w:pPr>
        <w:ind w:right="440" w:firstLine="509"/>
        <w:spacing w:after="0" w:line="252" w:lineRule="auto"/>
        <w:rPr>
          <w:sz w:val="20"/>
          <w:szCs w:val="20"/>
          <w:color w:val="auto"/>
        </w:rPr>
      </w:pPr>
      <w:r>
        <w:rPr>
          <w:rFonts w:ascii="Arial" w:cs="Arial" w:eastAsia="Arial" w:hAnsi="Arial"/>
          <w:sz w:val="18"/>
          <w:szCs w:val="18"/>
          <w:color w:val="auto"/>
        </w:rPr>
        <w:t>We have a valuation allowance on our net U.S. deferred tax assets, including federal and state NOLs and our net U.K. deferred tax assets, including NOL's. We expect to maintain these valuation allowances until it becomes more likely than not that the benefit of our deferred tax assets are realized through future taxable income generated in these jurisdictions.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years ended December 31, 2023 and 2022</w:t>
      </w:r>
    </w:p>
    <w:p>
      <w:pPr>
        <w:spacing w:after="0" w:line="169"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All dollar amounts in the tables below are rounded to the nearest million. As a result, certain amounts may not recalculate using the rounded amounts provided.</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403.1</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289.4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113.7</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Payment processing services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Technology and development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Total costs and operating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105.0</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(21.5 )</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(30.2 )</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(0.4 )</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(66.7 )%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315.6 %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Gain (loss) from remeasurement of foreign currency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(9.2 )</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(145.7 )%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(7.1 )</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(342.3 )%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(4.4 )</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(37.4 )</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(88.2 )%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110.0 %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(8.6 )</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(39.3 )</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(78.1 )%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(1.5 )</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(313.3 )%</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(5.3 )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(40.9 )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35.6</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(87.0 )%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-2362835</wp:posOffset>
            </wp:positionV>
            <wp:extent cx="7132320" cy="145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-2071370</wp:posOffset>
            </wp:positionV>
            <wp:extent cx="7132320"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-1780540</wp:posOffset>
            </wp:positionV>
            <wp:extent cx="7132320"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-1489075</wp:posOffset>
            </wp:positionV>
            <wp:extent cx="7132320" cy="145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-1198245</wp:posOffset>
            </wp:positionV>
            <wp:extent cx="7132320" cy="145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45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360" w:firstLine="509"/>
        <w:spacing w:after="0" w:line="252" w:lineRule="auto"/>
        <w:rPr>
          <w:sz w:val="20"/>
          <w:szCs w:val="20"/>
          <w:color w:val="auto"/>
        </w:rPr>
      </w:pPr>
      <w:r>
        <w:rPr>
          <w:rFonts w:ascii="Arial" w:cs="Arial" w:eastAsia="Arial" w:hAnsi="Arial"/>
          <w:sz w:val="18"/>
          <w:szCs w:val="18"/>
          <w:color w:val="auto"/>
        </w:rPr>
        <w:t>Revenue was $403.1 million for the year ended December 31, 2023, compared to $289.4 million for the year ended December 31, 2022, an increase of $113.7 million or 39.3%. Revenue is comprised of transaction revenue and platform and usage-based fee revenue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Transaction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329.7</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105.5</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47.1 %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Platform and usage-based fee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ind w:left="28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403.1</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289.4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p>
      <w:pPr>
        <w:spacing w:after="0" w:line="30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Transaction revenue was $329.7 million for the year ended December 31, 2023, compared to $224.2 million for the year ended December 31, 2022, an increase of $105.5 million or 47.1%. The increase in transaction revenue was primarily driven by growth in transaction payment volumes, from both our existing clients and new clients added during the year ended December 31, 2023. We experienced strong growth in payment volume across all regions and verticals during the period. Total payment volume increased approximately 33% during the year ended December 31, 2023 to over $24.0 billion. Our marketing services revenue increased as a result of our payments partners using more of our marketing services during the year ended December 31, 2023, compared to the year ended December 31, 2022.</w:t>
      </w:r>
    </w:p>
    <w:p>
      <w:pPr>
        <w:spacing w:after="0" w:line="156"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Platform and usage-based fee revenue was $73.4 million for the year ended December 31, 2023, compared to $65.2 million for the year ended December 31, 2022, an increase of $8.2 million or 12.6%. The increase in platform and usage-based fee revenue was attributable to increased usage by our clients and new clients signed during the year ended December 31, 2023, compared to the year ended December 31,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69"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Payment processing services costs were $147.3 million for the year ended December 31, 2023, compared to $ 107.9 million for the year ended December 31, 2022, an increase of $39.4 million or 36.5%. The increase in payment processing services costs is correlated with the increase in total payment volume of approximately 33% over the same period as well as increased use of credit cards, which have higher processing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8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Technology and development expenses were $ 62.0 million for the year ended December 31, 2023, compared to $50.3 million for the year ended December 31, 2022, an increase of $11.7 million or 23.3%. The increase in technology and development cost was primarily driven by an increase in personnel costs and stock-based compensation expense. Personnel costs were $38.5 million for the year ended December 31, 2023, compared to $32.1 million for the year ended December 31, 2022, an increase of $6.4 million or 19.9%. The increase in personnel costs was primarily driven by an increase in headcount within our technology and development teams. Stock-based compensation expense was $9.3 million for the year ended December 31, 2023, compared to $4.9 million for the year ended December 31, 2022, an increase of $4.4 million or 89.8%. The increase in stock-based compensation is attributable to equity grants awarded to existing and new FlyMates.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Selling and marketing expenses were $107.6 million for the year ended December 31, 2023, compared to $78.5 million for the year ended December 31, 2022, an increase of $29.1 million or 37.1%. The increase in selling and marketing expenses was primarily driven by an increase in personnel costs, professional fees, stock-based compensation, marketing costs, and amortization expense. Personnel costs were $57.0 million for the year ended December 31, 2023, compared to $44.5 million for the year ended December 31, 2022, an increase of $12.5 million or 28.1%. The increase in personnel costs was primarily driven by an increase in headcount within our selling and marketing teams and commissions earned on sales during the period. Professional fees were $18.5 million for the year ended December 31, 2023, compared to $10.2 million for the year ended December 31, 2022, an increase of $8.3 million or 81.4%. The increase in professional fees was due to increases in third party commissions. Stock-based compensation was $12.0 million for the year ended December 31, 2023, compared to $7.9 million for the year ended December 31, 2022, an increase of $4.1 million or 51.9%. The increase in stock-based compensation is attributable to equity grants awarded to existing and new FlyMates. Marketing costs were $7.1 million for the year ended December 31, 2023, compared to $5.8 million for the year ended December 31, 2022, an increase of $1.3 million or 22.4%. The increase in marketing costs was due to increased marketing initiatives and hosted events. Amortization of intangible assets were $5.1 million during the year ended December 31, 2023, compared to $3.9 million for the year ended December 31, 2022, an increase of $ 1.2 million or 30.8%. The increase in amortization expense was due to acquired customer relationships related to the Cohort Go acquisition.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General and administrative expenses were $107.6 million for the year ended December 31, 2023, compared to $82.9 million for the year ended December 31, 2022, an increase of $24.7 million or 29.8%. The increase in general and administrative expenses was primarily driven by an increase in personnel costs, stock-based compensation, professional fees, change in the fair value of contingent consideration, and software and hosting expenses. Personnel costs were $42.4 million for the year ended December 31, 2023, compared to $33.6 million for the year ended December 31, 2022, an increase of $8.8 million or 26.2%. The increase in personnel costs was primarily driven by an increase in headcount.</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Stock-based compensation was $22.5 million for the year ended December 31, 2023, compared to $17.5 million for the year ended December 31, 2022, an increase of $5.0 million or 28.6%. The increase in stock-based compensation is attributable to equity grants awarded to existing and new FlyMates. Professional fees were $14.8 million for the year ended December 31, 2023, compared to $11.1 million for the year ended December 31, 2022, an increase of $3.7 million or 33.3%. The increase in professional fees was due to increased legal, consulting and audit fees. Change in the fair value of contingent consideration related to acquisitions was $0.4 million for the year ended December 31, 2023, compared to $(2.8) million for the year ended December 31, 2022, an increase of $3.2 million or 114.3%. The increase in the fair value of contingent consideration was due to an increase in the fair value of contingent consideration related Cohort Go which was paid in the first quarter of 2023. Software and hosting expenses were $8.3 million for the year ended December 31, 2023, compared to $5.6 million for the year ended December 31, 2022, an increase of $2.7 million or 48.2%. The increase in software and hosting expenses was primarily related to increased hosting fees based on payment volumes growth and additional software needs based on headcount growth.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2"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Interest expense was $0.4 million for the year ended December 31, 2023, compared to $ 1.2 million for the year ended December 31, 2022, a decrease of 0.8 million or 66.7%. During July 2021, we entered into a Revolving Credit Facility with three banks for a total commitment of $50.0 million. We drew $25.9 million on the Revolving Credit Facility and used the proceeds to early prepay the existing LSA of $25.0 million. During the year ended December 31, 2022, we repaid the $25.9 million outstanding under the Revolving Credit Facility, which resulted in no interest expense on debt for the year ended December 31, 2023. Interest expense for the year ended December 31, 2023 consists primarily of amortization of debt issuance cost and debt discount from our previous LSA.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69"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Interest income was $13.3 million for the year ended December 31, 2023, compared to $3.2 million for the year ended December 31, 2022, an increase of $10.1 million or 315.6%. The increase in interest income was due to our investment in interest bearing accounts during the second quarter of 2022, an increase in yield earned from our investment in money market funds as interest rates increased during the year ended December 31, 2023, compared to the year ended December 31, 2022 and an increase in our cash balance.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from Remeasurement of Foreign Currency</w:t>
      </w:r>
    </w:p>
    <w:p>
      <w:pPr>
        <w:spacing w:after="0" w:line="169"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Gain (loss) from remeasurement of foreign currency was $4.2 million for the year ended December 31, 2023, compared to $(9.2) million for the year ended December 31, 2022, an increase of $ 13.4 million or 145.7%. The increase was primarily the result of the remeasurement of foreign currency transactions into the British pound sterling and impact of fluctuations in exchange rates during respective remeasurement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Provision for income taxes was $4.2 million during the year ended December 31, 2023, compared to $2.0 million during the year ended December 31, 2022, an increase of $2.2 million or 110.0%. During the year ended December 31, 2023 and 2022, we recorded an income tax expense of $4.2 million and $2.0 million, respectively, which was primarily attributable to income taxes related to our profitable foreign subsidiaries and U.S. state taxes. Our effective tax rate was (96.8)% for the year ended December 31, 2023, compared to (5.4)% for the year ended December 31, 2022.</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years ended December 31, 2022 and 2021</w:t>
      </w:r>
    </w:p>
    <w:p>
      <w:pPr>
        <w:spacing w:after="0" w:line="182"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All dollar amounts in the tables below are rounded to the nearest million. As a result, certain amounts may not recalculate using the rounded amounts provided.</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2"/>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 Change</w:t>
            </w:r>
          </w:p>
        </w:tc>
        <w:tc>
          <w:tcPr>
            <w:tcW w:w="220" w:type="dxa"/>
            <w:vAlign w:val="bottom"/>
            <w:gridSpan w:val="2"/>
          </w:tcPr>
          <w:p>
            <w:pPr>
              <w:spacing w:after="0"/>
              <w:rPr>
                <w:sz w:val="15"/>
                <w:szCs w:val="15"/>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r>
      <w:tr>
        <w:trPr>
          <w:trHeight w:val="223"/>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43.9 %</w:t>
            </w: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Payment processing services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53.7 %</w:t>
            </w: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Technology and development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60.7 %</w:t>
            </w: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53.0 %</w:t>
            </w: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34.6 %</w:t>
            </w:r>
          </w:p>
        </w:tc>
      </w:tr>
      <w:tr>
        <w:trPr>
          <w:trHeight w:val="229"/>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Total costs and operating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49.1 %</w:t>
            </w:r>
          </w:p>
        </w:tc>
      </w:tr>
      <w:tr>
        <w:trPr>
          <w:trHeight w:val="229"/>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(30.2 )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(16.9 )</w:t>
            </w: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127.1 %</w:t>
            </w: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(40.0 )%</w:t>
            </w: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Change in fair value of preferred stock warrant liability</w:t>
            </w:r>
          </w:p>
        </w:tc>
        <w:tc>
          <w:tcPr>
            <w:tcW w:w="26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(10.8 )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(Loss) gain from remeasurement of foreign currency</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(9.2 )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(9300.0 )%</w:t>
            </w:r>
          </w:p>
        </w:tc>
      </w:tr>
      <w:tr>
        <w:trPr>
          <w:trHeight w:val="229"/>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(12.7 )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(44.1 )%</w:t>
            </w:r>
          </w:p>
        </w:tc>
      </w:tr>
      <w:tr>
        <w:trPr>
          <w:trHeight w:val="229"/>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(37.4 )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(25.9 )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44.4 %</w:t>
            </w: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(9.1 )%</w:t>
            </w:r>
          </w:p>
        </w:tc>
      </w:tr>
      <w:tr>
        <w:trPr>
          <w:trHeight w:val="229"/>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(39.3 )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(28.1 )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39.9 %</w:t>
            </w: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650.0 %</w:t>
            </w:r>
          </w:p>
        </w:tc>
      </w:tr>
      <w:tr>
        <w:trPr>
          <w:trHeight w:val="263"/>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-2508250</wp:posOffset>
            </wp:positionV>
            <wp:extent cx="7132320" cy="145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-2216785</wp:posOffset>
            </wp:positionV>
            <wp:extent cx="7132320" cy="145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-1925955</wp:posOffset>
            </wp:positionV>
            <wp:extent cx="7132320" cy="145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-1634490</wp:posOffset>
            </wp:positionV>
            <wp:extent cx="7132320" cy="145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-1343660</wp:posOffset>
            </wp:positionV>
            <wp:extent cx="7132320"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45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45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-170815</wp:posOffset>
            </wp:positionV>
            <wp:extent cx="950595"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50595" cy="17145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jc w:val="both"/>
        <w:ind w:right="440" w:firstLine="509"/>
        <w:spacing w:after="0" w:line="252" w:lineRule="auto"/>
        <w:rPr>
          <w:sz w:val="20"/>
          <w:szCs w:val="20"/>
          <w:color w:val="auto"/>
        </w:rPr>
      </w:pPr>
      <w:r>
        <w:rPr>
          <w:rFonts w:ascii="Arial" w:cs="Arial" w:eastAsia="Arial" w:hAnsi="Arial"/>
          <w:sz w:val="18"/>
          <w:szCs w:val="18"/>
          <w:color w:val="auto"/>
        </w:rPr>
        <w:t>Revenue was $289.4 million for the year ended December 31, 2022, compared to $201.1 million for the year ended December 31, 2021, an increase of $88.3 million or 43.9%. Revenue is comprised of transaction revenue and platform and usage-based fee revenue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Transaction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224.2</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76.2</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51.5 %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Platform and usage-based fee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ind w:left="28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289.4</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43.9 %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0" w:lineRule="exact"/>
        <w:rPr>
          <w:sz w:val="20"/>
          <w:szCs w:val="20"/>
          <w:color w:val="auto"/>
        </w:rPr>
      </w:pPr>
    </w:p>
    <w:p>
      <w:pPr>
        <w:ind w:right="160" w:firstLine="509"/>
        <w:spacing w:after="0" w:line="258" w:lineRule="auto"/>
        <w:rPr>
          <w:sz w:val="20"/>
          <w:szCs w:val="20"/>
          <w:color w:val="auto"/>
        </w:rPr>
      </w:pPr>
      <w:r>
        <w:rPr>
          <w:rFonts w:ascii="Arial" w:cs="Arial" w:eastAsia="Arial" w:hAnsi="Arial"/>
          <w:sz w:val="17"/>
          <w:szCs w:val="17"/>
          <w:color w:val="auto"/>
        </w:rPr>
        <w:t>Transaction revenue was $224.2 million for the year ended December 31, 2022, compared to $148.0 million for the year ended December 31, 2021, an increase of $76.2 million or 51.5%. The increase in transaction revenue was primarily driven by growth in transaction payment volumes, from both our existing clients and new clients added during the year ended December 31, 2022. We experienced strong growth in payment volume across all regions and verticals during the period. Total payment volume increased approximately 37% during the year ended December 31, 2022 to $ 18.1 billion. Our marketing services revenue increased as a result of our payments partners using more of our marketing services during the year ended December 31, 2022, compared to the year ended December 31, 2021.</w:t>
      </w:r>
    </w:p>
    <w:p>
      <w:pPr>
        <w:spacing w:after="0" w:line="128"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Platform and usage-based fee revenue was $65.2 million for the year ended December 31, 2022, compared to $53.1 million for the year ended December 31, 2021, an increase of $12.1 million or 22.8%. The increase in platform and usage-based fee revenue was primarily driven by the WPM and Cohort Go acquisitions, which accounted for a $9.7 million increase over 2021. The remainder of the increase was attributable to increased usage by our clients and new clients signed during the year ended December 31,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82"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Payment processing services costs were $ 107.9 million for the year ended December 31, 2022, compared to $70.2 million for the year ended December 31, 2021, an increase of $37.7 million or 53.7%. The increase in payment processing services costs is correlated with the increase in total payment volume of approximately 37% over the same period as well as increased use of credit cards, which have higher processing costs.</w:t>
      </w:r>
    </w:p>
    <w:p>
      <w:pPr>
        <w:sectPr>
          <w:pgSz w:w="11900" w:h="16838" w:orient="portrait"/>
          <w:cols w:equalWidth="0" w:num="1">
            <w:col w:w="11340"/>
          </w:cols>
          <w:pgMar w:left="320" w:top="768" w:right="239" w:bottom="1440" w:gutter="0" w:footer="0" w:header="0"/>
        </w:sectPr>
      </w:pPr>
    </w:p>
    <w:p>
      <w:pPr>
        <w:spacing w:after="0" w:line="6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8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Technology and development expenses were $50.3 million for the year ended December 31, 2022, compared to $31.3 million for the year ended December 31, 2021, an increase of $19.0 million or 60.7%. The increase in technology and development cost was primarily driven by an increase in personnel costs, stock-based compensation expense, amortization expense, and software and hosting expenses. Personnel costs were $32.1 million for the year ended December 31, 2022, compared to $18.3 million for the year ended December 31, 2021, an increase of $13.8 million or 75.4%. The increase in personnel costs was primarily driven by an increase in headcount within our technology and development teams. Stock-based compensation expense was $4.9 million for the year ended December 31, 2022, compared to $2.5 million for the year ended December 31, 2021, an increase of $2.4 million or 96.0%. The increase in stock-based compensation is attributable to equity grants awarded to existing and new FlyMates. Amortization of intangible assets was $6.3 million for the year ended December 31, 2022, compared to $5.0 million for the year ended December 31, 2021, an increase of $1.3 million or 26.0%. The increase in amortization expense was due to acquired relationships related to the WPM and Cohort Go acquisitions. Software and hosting expenses was $4.6 million for the year ended December 31, 2022, compared to $3.9 million for the year ended December 31, 2021, an increase of $0.7 million or 17.9%. The increase in software and hosting expenses was primarily related to increased hosting fees based on payment volumes growth and additional software needs based on headcount growth.</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6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Selling and marketing expenses were $78.5 million for the year ended December 31, 2022, compared to $51.3 million for the year ended December 31, 2021, an increase of $27.2 million or 53.0%. The increase in selling and marketing expenses was primarily driven by an increase in personnel costs, professional fees, stock-based compensation, marketing costs, travel related expenses, amortization expense and software and hosting expenses. Personnel costs were $44.5 million for the year ended December 31, 2022, compared to $31.7 million for the year ended December 31, 2021, an increase of $12.8 million or 40.4%. The increase in personnel costs was primarily driven by an increase in headcount within our selling and marketing teams and commissions earned on sales during the period. Professional fee expenses were $10.2 million for the year ended December 31, 2022, compared to $4.9 million for the year ended December 31, 2021, an increase of $ 5.3 million or 108.2%. The increase in professional fees was due to increases in third party commissions and consulting fees. Stock-based compensation was $7.9 million for the year ended December 31, 2022, compared to $5.2 million for the year ended December 31, 2021, an increase of $2.7 million or 51.9%. The increase in stock-based compensation is attributable to equity grants awarded to existing and new FlyMates. Marketing costs were $5.8 million during the year ended December 31, 2022, compared to $4.0 million for the year ended December 31, 2021, an increase of $1.8 million or 45.0%. The increase in marketing costs was due to increased marketing initiatives and hosted events. Travel expenses were $2.4 million during the year ended December 31, 2022, compared to $0.8 million for the year ended December 31, 2021, an increase of $1.6 million or 200.0%. Higher travel expenses were due to increased client engagement and FlyMate collaboration. Amortization of intangible assets were $3.9 million during the year ended December 31, 2022, compared to $2.4 million for the year ended December 31, 2021, an increase of $1.5 million or 62.5%. The increase in amortization expense was due to acquired customer relationships related to the WPM and Cohort Go acquisitions. Software and hosting expenses was $2.0 million for the year ended December 31, 2022, compared to $1.1 million for the year ended December 31, 2021, an increase of $0.9 million or 81.8%. The increase in software and hosting expenses was primarily related to increased hosting fees based on payment volumes growth and additional software needs based on headcount growth.</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General and administrative expenses were $82.9 million for the year ended December 31, 2022, compared to $61.6 million for the year ended December 31, 2021, an increase of $21.3 million or 34.6%. The increase in general and administrative expenses was primarily driven by an increase in personnel costs, stock-based compensation, professional fees, general and administrative expenses, software and hosting expenses, other costs, and travel related expenses, offset by a change in the fair value of contingent consideration. Personnel costs were $33.6 million for the year ended December 31, 2022, compared to $23.7 million for the year ended December 31, 2021, an increase of $9.9 million or 41.8%. The increase in personnel costs was primarily driven by an increase in headcount. Stock-based compensation was $17.5 million for the year ended December 31, 2022, compared to $11.3 million for the year ended December 31, 2021, an increase of $6.2 million or 54.9%. The increase in stock-based compensation is attributable to equity grants awarded to existing and new FlyMates. Professional fees were $11.1 million for the year ended December 31, 2022, compared to $7.2 million for the year ended December 31, 2021, an increase of $3.9 million or 54.2%. The increase in professional fees was due to increased legal and audit fees as a result of becoming a public company in May 2021. General and administrative costs were $5.7 million for the year ended December 31, 2022, compared to $3.8 million for</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year ended December 31, 2021, an increase of $1.9 million or 50.0%. The increase in general and administrative costs was primarily due to increased insurance costs as a public company, and additional insurance obligations incurred as a result of the WPM and Cohort Go acquisitions. Software and hosting expenses were $5.6 million for the year ended December 31, 2022, compared to $ 3.8 million for the year ended December 31, 2021, an increase of $1.8 million or 47.4%. The increase in software and hosting expenses was primarily related to increased hosting fees based on payment volumes growth and additional software needs based on headcount growth. Other costs were $4.2 million for the year ended December 31, 2022, compared to $3.0 million for the year ended December 31, 2021, an increase of $1.2 million or 40.0%. The increase in other costs is primarily due to increased hedging fees related to increase in total payment volume and indirect taxes recorded during the period. Travel expenses were $1.4 million during the year ended December 31, 2022, compared to $0.5 million for the year ended December 31, 2021, an increase of $0.9 million or 180.0%. Higher travel expenses were due to increased client engagement and FlyMate collaboration. The change in the fair value of contingent consideration related to acquisitions was $(2.8) million for the year ended December 31, 2022, compared to $2.3 million for the year ended December 31, 2021, a decrease of $5.1 million or 221.7%.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6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Interest expense was $1.2 million for the year ended December 31, 2022, compared to $ 2.0 million for the year ended December 31, 2021, a decrease of 0.8 million or 40.0%. During July 2021, we entered into a Revolving Credit Facility with three banks for a total commitment of $50.0 million. We drew $ 25.9 million on the Revolving Credit Facility and used the proceeds to early prepay the existing LSA of $25.0 million, which resulted in a new interest rate per year. During the year ended December 31, 2022, we repaid the $25.9 million outstanding under the Revolving Credit Facility. Following the repayment, we continued to have access to a total commitment of $50.0 million under the Revolving Credit Facility.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82"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Change in fair value of preferred stock warrant liability was $ 0 for the year ended December 31, 2022, compared to $10.8 million for the year ended December 31, 2021, a decrease of $10.8 million or 100%. Upon the completion of our IPO, all preferred stock warrants were either fully exercised or converted to warrants to purchase common stock. As a result, we no longer recognize the change in fair value of preferred stock warrant liability in our consolidated statements of operations and comprehensive loss.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69"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Interest income was $3.2 million for the year ended December 31, 2022, compared to $0 for the year ended December 31, 2021, an increase of $3.2 million or 100.0%. The increase in interest income was due to our investment in interest bearing accounts during the second quarter of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from Remeasurement of Foreign Currency</w:t>
      </w:r>
    </w:p>
    <w:p>
      <w:pPr>
        <w:spacing w:after="0" w:line="169" w:lineRule="exact"/>
        <w:rPr>
          <w:sz w:val="20"/>
          <w:szCs w:val="20"/>
          <w:color w:val="auto"/>
        </w:rPr>
      </w:pPr>
    </w:p>
    <w:p>
      <w:pPr>
        <w:ind w:right="240" w:firstLine="509"/>
        <w:spacing w:after="0" w:line="246" w:lineRule="auto"/>
        <w:rPr>
          <w:sz w:val="20"/>
          <w:szCs w:val="20"/>
          <w:color w:val="auto"/>
        </w:rPr>
      </w:pPr>
      <w:r>
        <w:rPr>
          <w:rFonts w:ascii="Arial" w:cs="Arial" w:eastAsia="Arial" w:hAnsi="Arial"/>
          <w:sz w:val="18"/>
          <w:szCs w:val="18"/>
          <w:color w:val="auto"/>
        </w:rPr>
        <w:t>(Loss) gain from remeasurement of foreign currency was $(9.2) million for the year ended December 31, 2022, compared to $0.1 million for the year ended December 31, 2021, a decrease of $9.3 million. The decrease was primarily the result of the remeasurement of foreign currency transactions into the British pound sterling and impact of fluctuations in exchange rates during respective remeasurement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09"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Provision for income taxes was $ 2.0 million during the year ended December 31, 2022, compared to $ 2.2 million during the year ended December 31, 2021, a decrease of $(0.2) million or 9.1%. During the year ended December 31, 2022 and 2021, we recorded an income tax expense of $ 2.0 million and $2.2 million, respectively, which was primarily attributable to income taxes related to our profitable foreign subsidiaries and U.S. state taxes. Our effective tax rate was (5.4)% for the year ended December 31, 2022, compared to (8.3)% for the year ended December 31, 2021.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Since inception, we have financed operations primarily through proceeds received from sales of equity securities, credit facilities and payments received from our clients as further detailed below.</w:t>
      </w:r>
    </w:p>
    <w:p>
      <w:pPr>
        <w:spacing w:after="0" w:line="112" w:lineRule="exact"/>
        <w:rPr>
          <w:sz w:val="20"/>
          <w:szCs w:val="20"/>
          <w:color w:val="auto"/>
        </w:rPr>
      </w:pPr>
    </w:p>
    <w:p>
      <w:pPr>
        <w:ind w:right="760" w:firstLine="509"/>
        <w:spacing w:after="0" w:line="271" w:lineRule="auto"/>
        <w:rPr>
          <w:sz w:val="20"/>
          <w:szCs w:val="20"/>
          <w:color w:val="auto"/>
        </w:rPr>
      </w:pPr>
      <w:r>
        <w:rPr>
          <w:rFonts w:ascii="Arial" w:cs="Arial" w:eastAsia="Arial" w:hAnsi="Arial"/>
          <w:sz w:val="18"/>
          <w:szCs w:val="18"/>
          <w:color w:val="auto"/>
        </w:rPr>
        <w:t>As of December 31, 2023, our principal source of liquidity is cash and cash equivalents of $654.6 million. Cash equivalents is comprised primarily of money market funds and bank deposits.</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jc w:val="both"/>
        <w:ind w:right="320" w:firstLine="509"/>
        <w:spacing w:after="0" w:line="252" w:lineRule="auto"/>
        <w:rPr>
          <w:sz w:val="20"/>
          <w:szCs w:val="20"/>
          <w:color w:val="auto"/>
        </w:rPr>
      </w:pPr>
      <w:r>
        <w:rPr>
          <w:rFonts w:ascii="Arial" w:cs="Arial" w:eastAsia="Arial" w:hAnsi="Arial"/>
          <w:sz w:val="18"/>
          <w:szCs w:val="18"/>
          <w:color w:val="auto"/>
        </w:rPr>
        <w:t xml:space="preserve">On February 23, 2024, we entered into an Amended and Restated Credit Agreement for a five-year senior secured revolving credit syndication loan with four banks for a total commitment of $125.0 million, which replaced the Revolving Credit Facility of $50.0 that was in effect as of December 31, 2023. Refer to </w:t>
      </w:r>
      <w:r>
        <w:rPr>
          <w:rFonts w:ascii="Arial" w:cs="Arial" w:eastAsia="Arial" w:hAnsi="Arial"/>
          <w:sz w:val="18"/>
          <w:szCs w:val="18"/>
          <w:i w:val="1"/>
          <w:iCs w:val="1"/>
          <w:color w:val="auto"/>
        </w:rPr>
        <w:t>Note 18 - Subsequent Event</w:t>
      </w:r>
      <w:r>
        <w:rPr>
          <w:rFonts w:ascii="Arial" w:cs="Arial" w:eastAsia="Arial" w:hAnsi="Arial"/>
          <w:sz w:val="18"/>
          <w:szCs w:val="18"/>
          <w:color w:val="auto"/>
        </w:rPr>
        <w:t xml:space="preserve"> for additional details on the new Revolving Credit Facility.</w:t>
      </w:r>
    </w:p>
    <w:p>
      <w:pPr>
        <w:spacing w:after="0" w:line="144"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On August 14, 2023, we completed our follow-on public offering which resulted in aggregate net proceeds of $260.1 million, after underwriting discounts and commissions of $10.9 million and other issuance costs of $1.1 million.</w:t>
      </w:r>
    </w:p>
    <w:p>
      <w:pPr>
        <w:spacing w:after="0" w:line="112"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In May 2021, we completed our IPO which resulted in aggregate net proceeds of $263.8 million, after underwriting discounts of $19.4 million and issuance costs of $4.9 million.</w:t>
      </w:r>
    </w:p>
    <w:p>
      <w:pPr>
        <w:spacing w:after="0" w:line="11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believe that our existing cash will be sufficient to support our expected working capital needs and material cash requirements for at least the next 12 months from the issuance of these consolidated financial statements.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Contractual obligations consist of operating leases that relate to real estate for our primary facilities.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as of December 31,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Payments Due by Year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81"/>
              <w:spacing w:after="0" w:line="159" w:lineRule="exact"/>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1 to 3</w:t>
            </w:r>
          </w:p>
        </w:tc>
        <w:tc>
          <w:tcPr>
            <w:tcW w:w="220" w:type="dxa"/>
            <w:vAlign w:val="bottom"/>
          </w:tcPr>
          <w:p>
            <w:pPr>
              <w:spacing w:after="0"/>
              <w:rPr>
                <w:sz w:val="13"/>
                <w:szCs w:val="13"/>
                <w:color w:val="auto"/>
              </w:rPr>
            </w:pPr>
          </w:p>
        </w:tc>
        <w:tc>
          <w:tcPr>
            <w:tcW w:w="780" w:type="dxa"/>
            <w:vAlign w:val="bottom"/>
          </w:tcPr>
          <w:p>
            <w:pPr>
              <w:ind w:left="100"/>
              <w:spacing w:after="0" w:line="159" w:lineRule="exact"/>
              <w:rPr>
                <w:sz w:val="20"/>
                <w:szCs w:val="20"/>
                <w:color w:val="auto"/>
              </w:rPr>
            </w:pPr>
            <w:r>
              <w:rPr>
                <w:rFonts w:ascii="Arial" w:cs="Arial" w:eastAsia="Arial" w:hAnsi="Arial"/>
                <w:sz w:val="14"/>
                <w:szCs w:val="14"/>
                <w:b w:val="1"/>
                <w:bCs w:val="1"/>
                <w:color w:val="auto"/>
              </w:rPr>
              <w:t>4 to 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rPr>
              <w:t>More Than</w:t>
            </w:r>
          </w:p>
        </w:tc>
      </w:tr>
      <w:tr>
        <w:trPr>
          <w:trHeight w:val="185"/>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6"/>
                <w:szCs w:val="16"/>
                <w:color w:val="auto"/>
              </w:rPr>
            </w:pPr>
          </w:p>
        </w:tc>
      </w:tr>
      <w:tr>
        <w:trPr>
          <w:trHeight w:val="223"/>
        </w:trPr>
        <w:tc>
          <w:tcPr>
            <w:tcW w:w="51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3,840</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1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3,840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1,643</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2,197</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-179070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-179070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-179070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-179070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 information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(38.8 )</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(24.7 )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(62.9 )</w:t>
            </w:r>
          </w:p>
        </w:tc>
        <w:tc>
          <w:tcPr>
            <w:tcW w:w="0" w:type="dxa"/>
            <w:vAlign w:val="bottom"/>
          </w:tcPr>
          <w:p>
            <w:pPr>
              <w:spacing w:after="0"/>
              <w:rPr>
                <w:sz w:val="1"/>
                <w:szCs w:val="1"/>
                <w:color w:val="auto"/>
              </w:rPr>
            </w:pPr>
          </w:p>
        </w:tc>
      </w:tr>
      <w:tr>
        <w:trPr>
          <w:trHeight w:val="229"/>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(24.0 )</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(1.8 )</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20" w:type="dxa"/>
            <w:vAlign w:val="bottom"/>
            <w:gridSpan w:val="2"/>
            <w:shd w:val="clear" w:color="auto" w:fill="CFF0FC"/>
          </w:tcPr>
          <w:p>
            <w:pPr>
              <w:ind w:left="280"/>
              <w:spacing w:after="0" w:line="190" w:lineRule="exact"/>
              <w:rPr>
                <w:sz w:val="20"/>
                <w:szCs w:val="20"/>
                <w:color w:val="auto"/>
              </w:rPr>
            </w:pPr>
            <w:r>
              <w:rPr>
                <w:rFonts w:ascii="Arial" w:cs="Arial" w:eastAsia="Arial" w:hAnsi="Arial"/>
                <w:sz w:val="18"/>
                <w:szCs w:val="18"/>
                <w:color w:val="auto"/>
              </w:rPr>
              <w:t>Net increase (decrease) in cash, cash equivalents and</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303.4</w:t>
            </w:r>
          </w:p>
        </w:tc>
        <w:tc>
          <w:tcPr>
            <w:tcW w:w="28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(38.2 )</w:t>
            </w:r>
          </w:p>
        </w:tc>
        <w:tc>
          <w:tcPr>
            <w:tcW w:w="30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20" w:type="dxa"/>
            <w:vAlign w:val="bottom"/>
            <w:gridSpan w:val="2"/>
            <w:shd w:val="clear" w:color="auto" w:fill="CFF0FC"/>
          </w:tcPr>
          <w:p>
            <w:pPr>
              <w:ind w:left="420"/>
              <w:spacing w:after="0" w:line="195" w:lineRule="exact"/>
              <w:rPr>
                <w:sz w:val="20"/>
                <w:szCs w:val="20"/>
                <w:color w:val="auto"/>
              </w:rPr>
            </w:pPr>
            <w:r>
              <w:rPr>
                <w:rFonts w:ascii="Arial" w:cs="Arial" w:eastAsia="Arial" w:hAnsi="Arial"/>
                <w:sz w:val="18"/>
                <w:szCs w:val="18"/>
                <w:color w:val="auto"/>
              </w:rPr>
              <w:t>restricted cash</w:t>
            </w:r>
          </w:p>
        </w:tc>
        <w:tc>
          <w:tcPr>
            <w:tcW w:w="320" w:type="dxa"/>
            <w:vAlign w:val="bottom"/>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440" w:type="dxa"/>
            <w:vAlign w:val="bottom"/>
            <w:gridSpan w:val="2"/>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Net cash provided by operating activities consists of net loss adjusted for certain non-cash items and changes in other assets and liabilities.</w:t>
      </w:r>
    </w:p>
    <w:p>
      <w:pPr>
        <w:spacing w:after="0" w:line="126"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color w:val="auto"/>
        </w:rPr>
        <w:t>During 2023, cash provided by operating activities of $80.6 million was primarily the result of net loss of $8.6 million adjusted for non-cash expenses of $62.4 million, which primarily consisted of stock-based compensation expense of $43.7 million and depreciation and amortization of $15.8 million, and the benefit of changes in operating assets and liabilities of $26.8 million.</w:t>
      </w:r>
    </w:p>
    <w:p>
      <w:pPr>
        <w:spacing w:after="0" w:line="130"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During 2022, cash provided by operating activities of $5.4 million was primarily the result of net loss of $39.3 million adjusted for noncash expenses of $40.3 million, which primarily include stock-based compensation expense of $30.3</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million, depreciation and amortization of $12.3 million and amortization of contract costs of $ 1.8 million, offset by change in fair value of contingent consideration of $(2.8) million and deferred tax benefit of $(1.7) million, benefited by changes in operating assets and liabilities of $4.4 million.</w:t>
      </w:r>
    </w:p>
    <w:p>
      <w:pPr>
        <w:spacing w:after="0" w:line="14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During 2021, cash provided by operating activities of $17.1 million was primarily the result of net loss of $28.1 million adjusted for noncash expenses of $ 41.8 million, which primarily include stock-based compensation expense of $18.9 million, change in fair value of preferred stock warrant liability of $10.8 million, depreciation and amortization of $ 9.0 million, change in fair value of contingent consideration of $2.3 million, non-cash interest expense of $0.3 million, amortization of deferred contract costs of $0.2 million, bad debt expense of $0.2 million and deferred tax provision of $0.1 million, benefited by changes in operating assets and liabilities of $3.5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ind w:right="480" w:firstLine="509"/>
        <w:spacing w:after="0" w:line="252" w:lineRule="auto"/>
        <w:rPr>
          <w:sz w:val="20"/>
          <w:szCs w:val="20"/>
          <w:color w:val="auto"/>
        </w:rPr>
      </w:pPr>
      <w:r>
        <w:rPr>
          <w:rFonts w:ascii="Arial" w:cs="Arial" w:eastAsia="Arial" w:hAnsi="Arial"/>
          <w:sz w:val="18"/>
          <w:szCs w:val="18"/>
          <w:color w:val="auto"/>
        </w:rPr>
        <w:t>During 2023, cash used in investing activities of $38.8 million was the result of our acquisition of StudyLink for a purchase consideration of $32.8 million, net of cash acquired, capitalization of internally developed software costs of $5.0 million and purchase of property and equipment for $1.0 million.</w:t>
      </w:r>
    </w:p>
    <w:p>
      <w:pPr>
        <w:spacing w:after="0" w:line="144"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During 2022, cash used in investing activities of $ 24.7 million was primarily the result of our acquisition of Cohort Go for a purchase consideration of $17.1 million, capitalization of internally developed software costs of $5.7 million and purchase of property and equipment for $1.4 million.</w:t>
      </w:r>
    </w:p>
    <w:p>
      <w:pPr>
        <w:spacing w:after="0" w:line="130" w:lineRule="exact"/>
        <w:rPr>
          <w:sz w:val="20"/>
          <w:szCs w:val="20"/>
          <w:color w:val="auto"/>
        </w:rPr>
      </w:pPr>
    </w:p>
    <w:p>
      <w:pPr>
        <w:jc w:val="both"/>
        <w:ind w:right="40" w:firstLine="509"/>
        <w:spacing w:after="0" w:line="252" w:lineRule="auto"/>
        <w:rPr>
          <w:sz w:val="20"/>
          <w:szCs w:val="20"/>
          <w:color w:val="auto"/>
        </w:rPr>
      </w:pPr>
      <w:r>
        <w:rPr>
          <w:rFonts w:ascii="Arial" w:cs="Arial" w:eastAsia="Arial" w:hAnsi="Arial"/>
          <w:sz w:val="18"/>
          <w:szCs w:val="18"/>
          <w:color w:val="auto"/>
        </w:rPr>
        <w:t>During 2021, cash used in investing activities of $62.9 million was the result of our acquisition of WPM for a purchase consideration of $56.1 million in cash, capitalization of internally developed software costs of $5.6 million, purchase of property and equipment for $1.0 million and asset acquisition of $0.1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2"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During 2023, cash provided by financing activities of $ 263.4 million was driven by the proceeds from issuance of common stock in our follow-on public offering of $261.1 million, proceeds from the exercise of stock options of $10.4 million and proceeds from the issuance of stock under the ESPP of $2.7 million, offset by payments of tax withholdings for net settled option exercises of $8.5 million, payments for contingent consideration of $1.2 million and payments of costs related to our follow-on public offering of $1.1 million.</w:t>
      </w:r>
    </w:p>
    <w:p>
      <w:pPr>
        <w:spacing w:after="0" w:line="136"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During 2022, cash used in financing activities of $24.0 million was driven by the repayment of our Revolving Credit Facility of $25.9 million, payments for contingent consideration of $3.7 million primarily related to the acquisition of Simplee, payments of tax withholdings of $2.6 million for net settled option exercises, offset by proceeds from the exercise of stock options of $7.0 million and proceeds from the issuance of stock under the ESPP of $1.3 million.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2021, cash provided by financing activities of $327.5 million was primarily driven by the net proceeds received from our IPO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$263.8 million, net proceeds received from our sale of preferred stock of $59.7 million and proceeds from the exercise of stock options of</w:t>
      </w:r>
    </w:p>
    <w:p>
      <w:pPr>
        <w:spacing w:after="0" w:line="234" w:lineRule="auto"/>
        <w:rPr>
          <w:sz w:val="20"/>
          <w:szCs w:val="20"/>
          <w:color w:val="auto"/>
        </w:rPr>
      </w:pPr>
      <w:r>
        <w:rPr>
          <w:rFonts w:ascii="Arial" w:cs="Arial" w:eastAsia="Arial" w:hAnsi="Arial"/>
          <w:sz w:val="18"/>
          <w:szCs w:val="18"/>
          <w:color w:val="auto"/>
        </w:rPr>
        <w:t>$6.9 million, net proceeds from borrowings under our Revolving Credit Facility of $25.9 million, offset by the payoff of our previously existing</w:t>
      </w:r>
    </w:p>
    <w:p>
      <w:pPr>
        <w:spacing w:after="0" w:line="235" w:lineRule="auto"/>
        <w:rPr>
          <w:sz w:val="20"/>
          <w:szCs w:val="20"/>
          <w:color w:val="auto"/>
        </w:rPr>
      </w:pPr>
      <w:r>
        <w:rPr>
          <w:rFonts w:ascii="Arial" w:cs="Arial" w:eastAsia="Arial" w:hAnsi="Arial"/>
          <w:sz w:val="18"/>
          <w:szCs w:val="18"/>
          <w:color w:val="auto"/>
        </w:rPr>
        <w:t>term loan of $25.0 million, payments for contingent consideration of $3.8 million related to our acquisition of Simplee and $0.4 million related</w:t>
      </w:r>
    </w:p>
    <w:p>
      <w:pPr>
        <w:spacing w:after="0"/>
        <w:rPr>
          <w:sz w:val="20"/>
          <w:szCs w:val="20"/>
          <w:color w:val="auto"/>
        </w:rPr>
      </w:pPr>
      <w:r>
        <w:rPr>
          <w:rFonts w:ascii="Arial" w:cs="Arial" w:eastAsia="Arial" w:hAnsi="Arial"/>
          <w:sz w:val="18"/>
          <w:szCs w:val="18"/>
          <w:color w:val="auto"/>
        </w:rPr>
        <w:t>to issuance costs associated with our Revolving Credit Facility.</w:t>
      </w:r>
    </w:p>
    <w:p>
      <w:pPr>
        <w:spacing w:after="0" w:line="166"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As of December 31, 2023 and 2022, we had $0 of outstanding indebtedness under the Revolving Credit Facility and as of December 31, 2021, we had $ 25.9 million of outstanding indebtedness under the Revolving Credit Facility. On October 28, 2022, we repaid the $ 25.9 million outstanding under the Revolving Credit Facility. Following the repayment, we continue to have access to a total commitment of $50.0 million under the Revolving Credit Facility.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1"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Our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readily apparent from other sources. Actual results may differ from these estimates under different assumptions or conditions.</w:t>
      </w:r>
    </w:p>
    <w:p>
      <w:pPr>
        <w:spacing w:after="0" w:line="184"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 xml:space="preserve">Our significant accounting policies are described in </w:t>
      </w:r>
      <w:r>
        <w:rPr>
          <w:rFonts w:ascii="Arial" w:cs="Arial" w:eastAsia="Arial" w:hAnsi="Arial"/>
          <w:sz w:val="18"/>
          <w:szCs w:val="18"/>
          <w:i w:val="1"/>
          <w:iCs w:val="1"/>
          <w:color w:val="auto"/>
        </w:rPr>
        <w:t>Note 1 - Business Overview and Summary of Significant Accounting Policies</w:t>
      </w:r>
      <w:r>
        <w:rPr>
          <w:rFonts w:ascii="Arial" w:cs="Arial" w:eastAsia="Arial" w:hAnsi="Arial"/>
          <w:sz w:val="18"/>
          <w:szCs w:val="18"/>
          <w:color w:val="auto"/>
        </w:rPr>
        <w:t xml:space="preserve"> to our consolidated financial statements included elsewhere in this Annual Report on Form 10-K. We believe that the following critical accounting policies are most important to the judgments and estimates used in the preparation of our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69"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Intangible assets consist of acquired developed technology, acquired relationships,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14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estimate the fair value of acquired developed technology using the relief-from-royalty method, a form of the income approach, which estimates the cost savings that accrue to the owner of an intangible asset who would otherwise have to pay royalties or license fees on revenues earned through the use of the asset. The royalty rate used is based on an analysis of empirical, market-derived royalty rates for similar technology. The fair value of acquired relationships is estimated using the multi-period excess earnings method under the income approach, which represents the total income to be generated by the asset. Under this method, the value of an intangible asset is equal to the present value of the incremental after-tax cash flows attributable solely to the intangible asset. We value trade names and trademarks using the relief from royalty method. The relief-from-royalty method determines the present value of the economic royalty savings associated with the ownership or possession of the trade name or trademark based on an estimated royalty rate applied to the cash flows to be generated by the business. The estimated royalty rate is determined based on the assessment of a reasonable royalty rate that a third party would negotiate in an arm’s-length license agreement for the use of the trade name or trademark. We value noncompete agreements using the with and without method. This method compares our projected discounted cash flows in two distinct scenarios: first, we assume that the covenant not-to-compete is in-place and, second, we assume that the covenant not-to-compete is not in-place. A probability adjustment factor is then applied to the difference between the two scenarios to determine the fair value of the noncompete agreement.</w:t>
      </w:r>
    </w:p>
    <w:p>
      <w:pPr>
        <w:spacing w:after="0" w:line="14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useful lives for developed technology are determined based on expectations regarding the evolution of existing technology and future investments. The useful lives for acquired related intangible assets are determined based primarily on forecasted cash flows, which include estimates for the revenues, expenses and customer attrition associated with the assets. The useful lives of definite-lived trademarks and trade names are based on our plans to phase out the trademarks and trade names in the applicable markets. The useful lives for noncompete agreements are determined based on the term of the related agreements.</w:t>
      </w:r>
    </w:p>
    <w:p>
      <w:pPr>
        <w:spacing w:after="0" w:line="139" w:lineRule="exact"/>
        <w:rPr>
          <w:sz w:val="20"/>
          <w:szCs w:val="20"/>
          <w:color w:val="auto"/>
        </w:rPr>
      </w:pPr>
    </w:p>
    <w:p>
      <w:pPr>
        <w:ind w:right="440" w:firstLine="509"/>
        <w:spacing w:after="0" w:line="252" w:lineRule="auto"/>
        <w:rPr>
          <w:sz w:val="20"/>
          <w:szCs w:val="20"/>
          <w:color w:val="auto"/>
        </w:rPr>
      </w:pPr>
      <w:r>
        <w:rPr>
          <w:rFonts w:ascii="Arial" w:cs="Arial" w:eastAsia="Arial" w:hAnsi="Arial"/>
          <w:sz w:val="18"/>
          <w:szCs w:val="18"/>
          <w:color w:val="404040"/>
        </w:rPr>
        <w:t>In</w:t>
      </w:r>
      <w:r>
        <w:rPr>
          <w:rFonts w:ascii="Arial" w:cs="Arial" w:eastAsia="Arial" w:hAnsi="Arial"/>
          <w:sz w:val="18"/>
          <w:szCs w:val="18"/>
          <w:color w:val="000000"/>
        </w:rPr>
        <w:t>tangible assets are amortized using a method that reflects the pattern in which the economic benefits of the intangible asset are</w:t>
      </w:r>
      <w:r>
        <w:rPr>
          <w:rFonts w:ascii="Arial" w:cs="Arial" w:eastAsia="Arial" w:hAnsi="Arial"/>
          <w:sz w:val="18"/>
          <w:szCs w:val="18"/>
          <w:color w:val="404040"/>
        </w:rPr>
        <w:t xml:space="preserve"> </w:t>
      </w:r>
      <w:r>
        <w:rPr>
          <w:rFonts w:ascii="Arial" w:cs="Arial" w:eastAsia="Arial" w:hAnsi="Arial"/>
          <w:sz w:val="18"/>
          <w:szCs w:val="18"/>
          <w:color w:val="000000"/>
        </w:rPr>
        <w:t>expected to be realized over their estimated useful lives ranging from one to fifteen years. No significant residual value is estimated for intangible assets.</w:t>
      </w:r>
    </w:p>
    <w:p>
      <w:pPr>
        <w:spacing w:after="0" w:line="144"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The estimated fair values of these intangible assets reflect various assumptions including discount rates, revenue growth rates, operating margins, terminal values, attrition, useful lives and other prospective financial information.</w:t>
      </w:r>
    </w:p>
    <w:p>
      <w:pPr>
        <w:spacing w:after="0" w:line="112" w:lineRule="exact"/>
        <w:rPr>
          <w:sz w:val="20"/>
          <w:szCs w:val="20"/>
          <w:color w:val="auto"/>
        </w:rPr>
      </w:pPr>
    </w:p>
    <w:p>
      <w:pPr>
        <w:ind w:right="200" w:firstLine="509"/>
        <w:spacing w:after="0" w:line="252" w:lineRule="auto"/>
        <w:rPr>
          <w:sz w:val="20"/>
          <w:szCs w:val="20"/>
          <w:color w:val="auto"/>
        </w:rPr>
      </w:pPr>
      <w:r>
        <w:rPr>
          <w:rFonts w:ascii="Arial" w:cs="Arial" w:eastAsia="Arial" w:hAnsi="Arial"/>
          <w:sz w:val="18"/>
          <w:szCs w:val="18"/>
          <w:color w:val="auto"/>
        </w:rPr>
        <w:t>The judgments made in determining the estimated fair value of intangibles as well as the estimated lives, can materially impact net income or loss in periods subsequent to the acquisition through depreciation and amortization, and in certain instances through impairment charges, if the assets become impaired in the future.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Contingent consideration in business combinations is recognized at fair value on the acquisition date.</w:t>
      </w:r>
    </w:p>
    <w:p>
      <w:pPr>
        <w:spacing w:after="0" w:line="171"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connection with the acquisition of StudyLink, we entered into an agreement to make certain earn-out payments based on StudyLink's achievement of revenue, volume, cross-selling and engineering implementation milestones established through a period ending December 31, 2025. The fair value of the contingent consideration related to the revenue and volume of money movement milestones was determined using an option pricing model and the fair value of the contingent consideration related to the cross-selling and engineering implementation milestones was determined using a scenario-based method that reflect our expectation about the probability of payment based on facts and</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circumstances that existed at the acquisition closing date. The option pricing model includes significant unobservable inputs such as probability of achieving earn-out revenue thresholds and discount rates. The scenario-based method includes significant unobservable inputs such as the probability of achieving earn-out targets and discount rates. Increases or decreases in any of the probabilities of success in which the revenue, volume, cross-selling and the engineering implementation milestones are expected to be achieved would result in higher or lower fair value measurement, respectively. Increases or decreases in the discount rate would result in a lower or higher fair value measurement, respectively.</w:t>
      </w:r>
    </w:p>
    <w:p>
      <w:pPr>
        <w:spacing w:after="0" w:line="155"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In connection with the acquisition of Cohort Go, we entered into an agreement to make certain earn-out payments based on Cohort Go's achievement of specific post-acquisition milestones established through a period ending March 31, 2023. The fair value of the contingent consideration was determined using a scenario-based method formed on the likelihoods of achieving each of the milestones. Increases or decreases in any of the probabilities of success in which the specific post-acquisition milestones were expected to be achieved would result in a higher or lower fair value measurement, respectively. Increases or decreases in the discount rate would result in a lower or higher fair value measurement, respectively.</w:t>
      </w:r>
    </w:p>
    <w:p>
      <w:pPr>
        <w:spacing w:after="0" w:line="14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connection with the acquisition of WPM, we entered into an agreement to make certain earn-out payments based on the achievement of certain platform integration objectives as well as the achievement of minimum payment volume targets. The fair value of the contingent consideration related to the payment volume targets was determined using an option pricing model and the fair value of the contingent consideration related to the platform integration objectives was determined using a scenario-based method that reflected our expectation about the probability of payment based on facts and circumstances that existed at the acquisition closing date. The option pricing model included significant unobservable inputs such as expectations regarding payment volume, a market price of risk adjustment for revenue and revenue volatility. The scenario-based method included significant unobservable inputs such as the probability of completing certain platform integrations. Increases or decreases in any of the probabilities of success in which the platform integration objectives were expected to be achieved would result in higher or lower fair value measurement, respectively. Increases or decreases in expectations regarding the level at which payment volume were expected to be achieved would result in a higher or lower fair value measurement, respectively. Increases or decreases in the market price of risk adjustment of revenue would result in a decrease or increase in the fair value measurement, respectively. Increases or decreases in the revenue volatility would result in a decrease or increase in the fair value measurement, respectively.</w:t>
      </w:r>
    </w:p>
    <w:p>
      <w:pPr>
        <w:spacing w:after="0" w:line="148"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Subsequent to the acquisition date, at each reporting date, the contingent consideration is remeasured and changes in the fair value resulting from a change in the underlying inputs are recognized in general and administrative expense in the consolidated statements of operations and comprehensive loss until the contingent consideration is settled. The maximum amount we would be required to pay related to the StudyLink acquisition is $3.9 million. During the year ended December 31, 2023, we made the final Cohort Go payment of contingent consideration of $1.7 million, in the form of cash, based on Cohort Go's successful and timely achievement of the contracted milestones. No additional contingent consideration is due or payable with respect to the Cohort Go acquisition. As of December 31, 2023, no contingent consideration is due or payable with respect to the WPM acquisition. The fair value of the contingent consideration at December 31, 2023 and 2022 was $2.9 million and $1.3 million,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 to Purchase Preferred Stock</w:t>
      </w:r>
    </w:p>
    <w:p>
      <w:pPr>
        <w:spacing w:after="0" w:line="16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Prior to our IPO, we classified warrants to purchase shares of our convertible preferred stock as liabilities on our balance sheets as these were free standing instruments that may have required us to transfer assets upon exercise. The warrant liability associated with these warrants was recorded at fair value on the issuance date of each warrant and was subsequently marked to market each reporting period based on changes in the warrants’ fair value calculated using the Black-Scholes model. Inputs used in the fair value calculation included exercise price, risk-free interest rate, expected dividend yield, remaining contractual term and expected volatility. We determined the fair value per share of the underlying preferred stock by taking into consideration the most recent sales of our convertible preferred stock, results obtained from third-party valuations and additional factors that we deemed relevant. We were a private company and lacked company-specific historical and implied volatility information of our stock. Therefore, we estimated expected stock volatility based on the historical volatility of publicly traded peer companies for a term equal to the remaining contractual term of the warrants. The risk-free interest rate was determined by reference to the U.S. Treasury yield curve for time periods approximately equal to the remaining contractual term of the warrants. We estimated a 0% dividend yield based on the fact that we have never paid or declared dividends. Following our IPO in March 2021, the preferred stock warrants were either fully exercised or converted to warrants to purchase common stock. As of December 31, 2023, 2022 and 2021, there were no preferred stock warrants outstanding. Changes in fair value of the warrants were recognized on the consolidated statements of operations and comprehensive loss.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Revenue</w:t>
      </w:r>
    </w:p>
    <w:p>
      <w:pPr>
        <w:spacing w:after="0" w:line="16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transaction revenue is derived from fees charged for payment processing services provided to educational institutions, healthcare entities and other commercial entities. Our services relate to facilitating payments from individuals, such as students and patients, and organizations to clients. Fees charged for payment processing services consists of a rate applied to the monetary value of the payment and can vary based on the payment method,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We do not recognize the underlying amount of the transaction being settled between client and client’s customer, as revenue or cost of revenue in the consolidated statements of operations and comprehensive loss, as we are not the responsible party for fulfilling the obligation between the client and client’s customer. Therefore, revenue is only recognized for the fee for which we are entitled for processing the payment.</w:t>
      </w:r>
    </w:p>
    <w:p>
      <w:pPr>
        <w:spacing w:after="0" w:line="154" w:lineRule="exact"/>
        <w:rPr>
          <w:sz w:val="20"/>
          <w:szCs w:val="20"/>
          <w:color w:val="auto"/>
        </w:rPr>
      </w:pPr>
    </w:p>
    <w:p>
      <w:pPr>
        <w:ind w:right="360" w:firstLine="509"/>
        <w:spacing w:after="0" w:line="246" w:lineRule="auto"/>
        <w:rPr>
          <w:sz w:val="20"/>
          <w:szCs w:val="20"/>
          <w:color w:val="auto"/>
        </w:rPr>
      </w:pPr>
      <w:r>
        <w:rPr>
          <w:rFonts w:ascii="Arial" w:cs="Arial" w:eastAsia="Arial" w:hAnsi="Arial"/>
          <w:sz w:val="18"/>
          <w:szCs w:val="18"/>
          <w:color w:val="auto"/>
        </w:rPr>
        <w:t>We also earn revenue from fees charged to credit card service providers for marketing arrangements in which we perform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w:t>
      </w:r>
    </w:p>
    <w:p>
      <w:pPr>
        <w:spacing w:after="0" w:line="136" w:lineRule="exact"/>
        <w:rPr>
          <w:sz w:val="20"/>
          <w:szCs w:val="20"/>
          <w:color w:val="auto"/>
        </w:rPr>
      </w:pPr>
    </w:p>
    <w:p>
      <w:pPr>
        <w:jc w:val="both"/>
        <w:ind w:right="140" w:firstLine="509"/>
        <w:spacing w:after="0" w:line="243" w:lineRule="auto"/>
        <w:rPr>
          <w:sz w:val="20"/>
          <w:szCs w:val="20"/>
          <w:color w:val="auto"/>
        </w:rPr>
      </w:pPr>
      <w:r>
        <w:rPr>
          <w:rFonts w:ascii="Arial" w:cs="Arial" w:eastAsia="Arial" w:hAnsi="Arial"/>
          <w:sz w:val="18"/>
          <w:szCs w:val="18"/>
          <w:color w:val="auto"/>
        </w:rPr>
        <w:t>The money can be wired directly from the client’s customer to us; however, in certain situations when the client’s customer lives in a country where we do not have an active bank account, we use third-party service providers to collect wired funds before remitting the funds to us. The third-party service provider invoices us on a recurring basis with a fee for each payment processed and deposited into our bank account. The fee paid to third-party service providers as well as any foreign exchange banking fees paid by us are reflected in the payment processing services costs line in the consolidated statements of operations and comprehensive loss.</w:t>
      </w:r>
    </w:p>
    <w:p>
      <w:pPr>
        <w:spacing w:after="0" w:line="139" w:lineRule="exact"/>
        <w:rPr>
          <w:sz w:val="20"/>
          <w:szCs w:val="20"/>
          <w:color w:val="auto"/>
        </w:rPr>
      </w:pPr>
    </w:p>
    <w:p>
      <w:pPr>
        <w:ind w:right="240" w:firstLine="509"/>
        <w:spacing w:after="0" w:line="246" w:lineRule="auto"/>
        <w:rPr>
          <w:sz w:val="20"/>
          <w:szCs w:val="20"/>
          <w:color w:val="auto"/>
        </w:rPr>
      </w:pPr>
      <w:r>
        <w:rPr>
          <w:rFonts w:ascii="Arial" w:cs="Arial" w:eastAsia="Arial" w:hAnsi="Arial"/>
          <w:sz w:val="18"/>
          <w:szCs w:val="18"/>
          <w:color w:val="auto"/>
        </w:rPr>
        <w:t xml:space="preserve">We also earn revenue from interest on funds held for customers, which do not represent revenues recognized in the scope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we process payment transactions, customer funds are initially deposited into our bank accounts that are separate from our operating cash accounts until remitted to the customers. Interest is earned from interest bearing deposit accounts.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and Usage-Based Fee Revenue</w:t>
      </w:r>
    </w:p>
    <w:p>
      <w:pPr>
        <w:spacing w:after="0" w:line="169"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Our platform and usage-based fee revenue is derived from fees earned for utilizing our platform to collect accounts receivables on behalf of our clients from their customers, fees collected on payment plans established by a client for obligations due by a client’s customer, subscription fees and fees related to printing and mailing statements. Fees charged consist of a fixed fee and a variable fee determined based on volume of transaction processed through our platform.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use significant judgment on determining the performance obligations in the arrangement based on considerations such as whether the client can benefit from each service on its own or together with other resources that are readily available from third parties or from us and whether each service is distinct in the context of the arrangement, whereby the transfer of the service is separately identifiable from other promises in the contract. In addition, we consider whether the arrangements contain a series of distinct services that are substantially the same and whether they have the same pattern of transfer.</w:t>
      </w:r>
    </w:p>
    <w:p>
      <w:pPr>
        <w:spacing w:after="0" w:line="139"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Substantially all of our arrangements represent a single promise to provide continuous access to our platform to perform a series of activities such as payment processing services, cash collection optimization services, marketing, printing and mailing services, on an as-needed basis. As each day of providing these services is substantially the same and the client simultaneously receives and consumes the benefits as services are provided, these services are viewed as a single performance obligation comprised of a series of distinct daily services. We satisfy the performance obligation as these services are provided. Revenue is recognized in the month the service is complete.</w:t>
      </w:r>
    </w:p>
    <w:p>
      <w:pPr>
        <w:spacing w:after="0" w:line="124"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We consider implementation service an activity to fulfill a contract, rather than a distinct performance obligation as the client does not obtain benefits from the implementation service alone. We charge an immaterial amount for implementation services.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6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contracts contain variable consideration as the amount we expect to receive in a contract is based on the occurrence or non-occurrence of future events, such as processing services performed as a transaction-based pricing arrangement. The variable consideration relates specifically to our effort to transfer each distinct daily service, as such we allocate the variable consideration earned to the distinct day in which those activities are performed and we recognize these fees as revenue in period earned, at which point the variable amount is known and it does not require estimation.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 Recognition Policies</w:t>
      </w:r>
    </w:p>
    <w:p>
      <w:pPr>
        <w:spacing w:after="0" w:line="182" w:lineRule="exact"/>
        <w:rPr>
          <w:sz w:val="20"/>
          <w:szCs w:val="20"/>
          <w:color w:val="auto"/>
        </w:rPr>
      </w:pPr>
    </w:p>
    <w:p>
      <w:pPr>
        <w:ind w:right="320" w:firstLine="509"/>
        <w:spacing w:after="0" w:line="258" w:lineRule="auto"/>
        <w:rPr>
          <w:sz w:val="20"/>
          <w:szCs w:val="20"/>
          <w:color w:val="auto"/>
        </w:rPr>
      </w:pPr>
      <w:r>
        <w:rPr>
          <w:rFonts w:ascii="Arial" w:cs="Arial" w:eastAsia="Arial" w:hAnsi="Arial"/>
          <w:sz w:val="17"/>
          <w:szCs w:val="17"/>
          <w:color w:val="auto"/>
        </w:rPr>
        <w:t>We incur costs in processing payments which may include banking, credit card processing, foreign currency translation and partner fees. These fees are direct costs incurred in providing payment processing services. The determination of whether we are a principal to a transaction (gross revenue) or an agent (net revenue) can require considerable judgment. Changes in judgments with respect to these assumptions and estimates could impact the amount of revenue recognized. Since we control the payment processing service, we are responsible for completing the payment, bear primary responsibility for the fulfillment of the payment service, and have full discretion in determining the fee charged, we act as a principal. As such, we recognize payment processing fee charged on a gross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ind w:right="260" w:firstLine="509"/>
        <w:spacing w:after="0" w:line="246" w:lineRule="auto"/>
        <w:rPr>
          <w:sz w:val="20"/>
          <w:szCs w:val="20"/>
          <w:color w:val="auto"/>
        </w:rPr>
      </w:pPr>
      <w:r>
        <w:rPr>
          <w:rFonts w:ascii="Arial" w:cs="Arial" w:eastAsia="Arial" w:hAnsi="Arial"/>
          <w:sz w:val="18"/>
          <w:szCs w:val="18"/>
          <w:color w:val="auto"/>
        </w:rPr>
        <w:t>We determine stock-based compensation expense associated with stock options and ESPP based on the estimated grant date fair value method using the Black-Scholes option-pricing model. We recognize these compensation costs on a straight-line basis over the requisite service period of the award, which is generally the vesting term of four years for stock options and the offering period of 6 months for ESPP. We estimate the expected forfeiture rate and recognize expense only for those shares expected to vest.</w:t>
      </w:r>
    </w:p>
    <w:p>
      <w:pPr>
        <w:spacing w:after="0" w:line="149"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Black-Scholes option-pricing model requires the use of highly subjective assumptions to determine the fair value of stock- based awards. These assumptions include:</w:t>
      </w:r>
    </w:p>
    <w:p>
      <w:pPr>
        <w:spacing w:after="0" w:line="112"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is estimated based on the historical volatility of our common stock. However, since we were</w:t>
      </w:r>
      <w:r>
        <w:rPr>
          <w:rFonts w:ascii="Arial" w:cs="Arial" w:eastAsia="Arial" w:hAnsi="Arial"/>
          <w:sz w:val="18"/>
          <w:szCs w:val="18"/>
          <w:i w:val="1"/>
          <w:iCs w:val="1"/>
          <w:color w:val="auto"/>
        </w:rPr>
        <w:t xml:space="preserve"> </w:t>
      </w:r>
      <w:r>
        <w:rPr>
          <w:rFonts w:ascii="Arial" w:cs="Arial" w:eastAsia="Arial" w:hAnsi="Arial"/>
          <w:sz w:val="18"/>
          <w:szCs w:val="18"/>
          <w:color w:val="auto"/>
        </w:rPr>
        <w:t>a recent public company with limited trading history for our common stock, the expected volatility for stock options granted during 2022 and 2021 was estimated based on the average volatility for comparable publicly traded companies over a period equal to the expected term of the stock option grants. The comparable companies were chosen based on their similar size, stage in the lifecycle or area of specialty.</w:t>
      </w:r>
    </w:p>
    <w:p>
      <w:pPr>
        <w:spacing w:after="0" w:line="136"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for option grants is determined using the simplified method. The simplified method deems the term to be the average of the time-to-vesting and the contractual life of the stock-based awards.</w:t>
      </w:r>
    </w:p>
    <w:p>
      <w:pPr>
        <w:spacing w:after="0" w:line="144"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award.</w:t>
      </w:r>
    </w:p>
    <w:p>
      <w:pPr>
        <w:spacing w:after="0" w:line="112"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never paid dividends on our common stock and non-voting common stock and have no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pay dividends on our common stock.</w:t>
      </w:r>
    </w:p>
    <w:p>
      <w:pPr>
        <w:spacing w:after="0" w:line="112"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i w:val="1"/>
          <w:iCs w:val="1"/>
          <w:color w:val="auto"/>
        </w:rPr>
        <w:t>Common Stock Valuation</w:t>
      </w:r>
      <w:r>
        <w:rPr>
          <w:rFonts w:ascii="Arial" w:cs="Arial" w:eastAsia="Arial" w:hAnsi="Arial"/>
          <w:sz w:val="18"/>
          <w:szCs w:val="18"/>
          <w:color w:val="auto"/>
        </w:rPr>
        <w:t>—Given the absence of an active market for our common stock and non-voting common stock prior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IPO, the fair value of the shares of common stock underlying our share-based awards was estimated on each grant date by our board of directors with input from management and contemporaneous third-party valuations. These third-party valuations were performed in accordance with the guidance outlined by the American Institute of Certified Public Accountants 2013 Practice Aid, Valuation of Privately-Held-Company Equity Securities Issued as Compensation using either an option-pricing method, or OPM, or a hybrid method, both of which used market approaches and income approaches to estimate our enterprise value. The hybrid method is a probability-weighted expected return method, or PWERM, where the equity value in one or more of the scenarios is calculated using an OPM. The PWERM is a scenario-based methodology that estimates the fair value of common stock based upon an analysis of future values for a company, assuming various outcomes. The common stock value is based on the probability-weighted present value of expected future investment returns considering each of the possible outcomes available as well as the rights of each class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OPM treats common stock and redeemable convertible preferred stock as call options on an equity value, with exercise prices based on the liquidation preference of our redeemable convertible preferred stock. Under this method, our common stock has value only if the funds available for distribution to stockholders exceed the value of the liquidation preference at the time of a liquidity event, such as a merger or sale, assuming we have funds available to make a liquidation preference meaningful and collectible by the stockholders. The common stock is considered to be a call option with a claim at an exercise price equal to the remaining value immediately after the redeemable convertible preferred stock is liquidated.</w:t>
      </w:r>
    </w:p>
    <w:p>
      <w:pPr>
        <w:spacing w:after="0" w:line="158" w:lineRule="exact"/>
        <w:rPr>
          <w:sz w:val="20"/>
          <w:szCs w:val="20"/>
          <w:color w:val="auto"/>
        </w:rPr>
      </w:pPr>
    </w:p>
    <w:p>
      <w:pPr>
        <w:ind w:right="280" w:firstLine="509"/>
        <w:spacing w:after="0" w:line="301" w:lineRule="auto"/>
        <w:rPr>
          <w:sz w:val="20"/>
          <w:szCs w:val="20"/>
          <w:color w:val="auto"/>
        </w:rPr>
      </w:pPr>
      <w:r>
        <w:rPr>
          <w:rFonts w:ascii="Arial" w:cs="Arial" w:eastAsia="Arial" w:hAnsi="Arial"/>
          <w:sz w:val="17"/>
          <w:szCs w:val="17"/>
          <w:color w:val="auto"/>
        </w:rPr>
        <w:t>In addition to considering the results of third-party valuations, our board of directors exercised reasonable judgment and considered various objective and subjective factors to determine the fair value of our common stock as of the date of each grant, including:</w:t>
      </w:r>
    </w:p>
    <w:p>
      <w:pPr>
        <w:spacing w:after="0" w:line="90" w:lineRule="exact"/>
        <w:rPr>
          <w:sz w:val="20"/>
          <w:szCs w:val="20"/>
          <w:color w:val="auto"/>
        </w:rPr>
      </w:pPr>
    </w:p>
    <w:p>
      <w:pPr>
        <w:ind w:left="900" w:hanging="263"/>
        <w:spacing w:after="0"/>
        <w:tabs>
          <w:tab w:leader="none" w:pos="9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actual operating results and financial performance;</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conditions in the industry and economy in general;</w:t>
      </w:r>
    </w:p>
    <w:p>
      <w:pPr>
        <w:spacing w:after="0" w:line="196" w:lineRule="exact"/>
        <w:rPr>
          <w:rFonts w:ascii="Times New Roman" w:cs="Times New Roman" w:eastAsia="Times New Roman" w:hAnsi="Times New Roman"/>
          <w:sz w:val="18"/>
          <w:szCs w:val="18"/>
          <w:color w:val="auto"/>
        </w:rPr>
      </w:pPr>
    </w:p>
    <w:p>
      <w:pPr>
        <w:ind w:left="900" w:right="360" w:hanging="263"/>
        <w:spacing w:after="0" w:line="270" w:lineRule="auto"/>
        <w:tabs>
          <w:tab w:leader="none" w:pos="9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rights, preferences and privileges of our redeemable convertible preferred stock and convertible preferred stock relative to those of our common stock;</w:t>
      </w:r>
    </w:p>
    <w:p>
      <w:pPr>
        <w:spacing w:after="0" w:line="113" w:lineRule="exact"/>
        <w:rPr>
          <w:rFonts w:ascii="Times New Roman" w:cs="Times New Roman" w:eastAsia="Times New Roman" w:hAnsi="Times New Roman"/>
          <w:sz w:val="18"/>
          <w:szCs w:val="18"/>
          <w:color w:val="auto"/>
        </w:rPr>
      </w:pPr>
    </w:p>
    <w:p>
      <w:pPr>
        <w:ind w:left="900" w:right="200" w:hanging="263"/>
        <w:spacing w:after="0" w:line="270" w:lineRule="auto"/>
        <w:tabs>
          <w:tab w:leader="none" w:pos="9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likelihood of achieving a liquidity event for the holders of our common stock, such as an IPO or a sale of our company, given prevailing market conditions;</w:t>
      </w:r>
    </w:p>
    <w:p>
      <w:pPr>
        <w:spacing w:after="0" w:line="113" w:lineRule="exact"/>
        <w:rPr>
          <w:rFonts w:ascii="Times New Roman" w:cs="Times New Roman" w:eastAsia="Times New Roman" w:hAnsi="Times New Roman"/>
          <w:sz w:val="18"/>
          <w:szCs w:val="18"/>
          <w:color w:val="auto"/>
        </w:rPr>
      </w:pPr>
    </w:p>
    <w:p>
      <w:pPr>
        <w:ind w:left="900" w:right="540" w:hanging="263"/>
        <w:spacing w:after="0" w:line="270" w:lineRule="auto"/>
        <w:tabs>
          <w:tab w:leader="none" w:pos="9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equity market conditions affecting comparable public companies and the market performance of comparable publicly traded companies;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U.S. and global capital market conditions;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marketability of our common stock and the results of independent third-party valuations.</w:t>
      </w:r>
    </w:p>
    <w:p>
      <w:pPr>
        <w:spacing w:after="0" w:line="183"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44"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Following our IPO, our board of directors no longer estimate the fair value of our common stock in connection with granted stock options and other granted equity awards as the fair value of our common stock is determined based on the closing quoted market price of our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Business Overview and Summary of Significant Accounting Policies</w:t>
      </w:r>
      <w:r>
        <w:rPr>
          <w:rFonts w:ascii="Arial" w:cs="Arial" w:eastAsia="Arial" w:hAnsi="Arial"/>
          <w:sz w:val="18"/>
          <w:szCs w:val="18"/>
          <w:color w:val="auto"/>
        </w:rPr>
        <w:t xml:space="preserve"> to our consolidated financial statements included elsewhere in this Annual Report on Form 10-K for accounting pronouncements adopted and accounting pronouncements not yet adopted as of December 31, 2023.</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5400"/>
        <w:spacing w:after="0" w:line="445" w:lineRule="auto"/>
        <w:rPr>
          <w:sz w:val="20"/>
          <w:szCs w:val="20"/>
          <w:color w:val="auto"/>
        </w:rPr>
      </w:pPr>
      <w:r>
        <w:rPr>
          <w:rFonts w:ascii="Arial" w:cs="Arial" w:eastAsia="Arial" w:hAnsi="Arial"/>
          <w:sz w:val="18"/>
          <w:szCs w:val="18"/>
          <w:b w:val="1"/>
          <w:bCs w:val="1"/>
          <w:color w:val="auto"/>
        </w:rPr>
        <w:t>Item 7A. Quantitative and Qualitative Disclosures About Market Risk Quantitative and Qualitative Disclosures About Market Risk</w:t>
      </w:r>
    </w:p>
    <w:p>
      <w:pPr>
        <w:spacing w:after="0" w:line="1"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Revolving Credit Facility consists of ABR loans or Eurodollar Borrowings, at our option.</w:t>
      </w:r>
    </w:p>
    <w:p>
      <w:pPr>
        <w:spacing w:after="0" w:line="17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June 23, 2023, we executed the First Amendment to its Revolving Credit Facility to transition from the LIBOR benchmark rate to the SOFR benchmark rate effective June 30, 2023. In accordance with the First Amendment, ABR loans bear interest at the ABR plus the applicable rate. Eurodollar Borrowings bear interest at the Adjusted Term SOFR plus the applicable rate. The ABR rate is based on the greatest of (a) the Prime Rate, (b) the Federal Funds Effective Rate plus 1/2 of 1%, or (c) the Adjusted Term SOFR for a one-month interest period, plus 1%. The Adjusted Term SOFR is based on (x) the Term SOFR, plus (y) the applicable spread adjustment ranging from 0.11448% to 0.71513% depending on the length of the SOFR interest period, multiplied by (z) the Statutory Reserve Rate. The applicable rate is based upon our liquidity as of the most recent consolidated financial information and ranges from 0.75% to 2.25%.</w:t>
      </w:r>
    </w:p>
    <w:p>
      <w:pPr>
        <w:spacing w:after="0" w:line="142"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Prior to the First Amendment, ABR loans bore interest at the ABR plus applicable rate. Eurodollar Borrowings bore interest at the Adjusted LIBOR plus the applicable rate. The ABR rate was based on the greatest of (a) the Prime Rate, (b) the Federal Funds Effective Rate plus 1/2 of 1%, or (c) the Adjusted LIBOR for a one-month interest period, plus 1%. The adjusted LIBOR was based on (x) the LIBOR, multiplied by (y) the Statutory Reserve Rate. The applicable rate was based upon our liquidity as of the most recent consolidated financial information and ranged from 0.75% to 2.25%.</w:t>
      </w:r>
    </w:p>
    <w:p>
      <w:pPr>
        <w:spacing w:after="0" w:line="152"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The Revolving Credit Facility incurs a commitment fee ranging from 0.25% to 0.35% based upon our liquidity as of the most recent consolidated financial information assessed on the average undrawn portion of the available commitment.</w:t>
      </w:r>
    </w:p>
    <w:p>
      <w:pPr>
        <w:spacing w:after="0" w:line="112"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As of December 31, 2023 and 2022, there was no outstanding indebtedness under the Revolving Credit Facility. An immediate 10% increase or decrease in interest rates would not have a material effect on our financial position, results of operations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 —that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w:t>
      </w:r>
    </w:p>
    <w:p>
      <w:pPr>
        <w:spacing w:after="0" w:line="13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During the year ended December 31, 2023, as the U.S. Dollar strengthened against several currencies, including the British Pound, relative to the prior year, these foreign exchange impacts reduced our reported revenue in U.S. Dollars by approximately $1.4 million compared to 2022 on a constant currency basis.</w:t>
      </w:r>
    </w:p>
    <w:p>
      <w:pPr>
        <w:spacing w:after="0" w:line="142"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Fluctuations in foreign currency exchange rates may also impact the value of assets and liabilities denominated in currencies other than the functional currencies of our entities. Our reporting currency and the functional currency of our</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income (loss) in our consolidated balance sheets. Gains and losses from the remeasurement of foreign currencies into functional currencies are recognized in the consolidated statements of operations and comprehensive loss. A potential change in foreign exchange rates of 10% from such remeasurement would have impacted loss before income taxes by approximately $19.9 million and $10.9 million for the years ended December 31, 2023 and 2022,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71" w:lineRule="exact"/>
        <w:rPr>
          <w:sz w:val="20"/>
          <w:szCs w:val="20"/>
          <w:color w:val="auto"/>
        </w:rPr>
      </w:pPr>
    </w:p>
    <w:p>
      <w:pPr>
        <w:jc w:val="both"/>
        <w:ind w:right="260" w:firstLine="509"/>
        <w:spacing w:after="0" w:line="252" w:lineRule="auto"/>
        <w:rPr>
          <w:sz w:val="20"/>
          <w:szCs w:val="20"/>
          <w:color w:val="auto"/>
        </w:rPr>
      </w:pPr>
      <w:r>
        <w:rPr>
          <w:rFonts w:ascii="Arial" w:cs="Arial" w:eastAsia="Arial" w:hAnsi="Arial"/>
          <w:sz w:val="18"/>
          <w:szCs w:val="18"/>
          <w:color w:val="auto"/>
        </w:rPr>
        <w:t>Inflation did not have a material effect on our cash flows and results of operations during the year ended December 31, 2023. If our costs were to become subject to significant inflationary pressures, we may not be able to fully offset such higher costs through increase in prices of our product offerings.</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0480" w:type="dxa"/>
            <w:vAlign w:val="bottom"/>
            <w:gridSpan w:val="31"/>
          </w:tcPr>
          <w:p>
            <w:pPr>
              <w:spacing w:after="0"/>
              <w:rPr>
                <w:sz w:val="20"/>
                <w:szCs w:val="20"/>
                <w:color w:val="auto"/>
              </w:rPr>
            </w:pPr>
            <w:r>
              <w:rPr>
                <w:rFonts w:ascii="Arial" w:cs="Arial" w:eastAsia="Arial" w:hAnsi="Arial"/>
                <w:sz w:val="18"/>
                <w:szCs w:val="18"/>
                <w:color w:val="0000FF"/>
              </w:rPr>
              <w:t>Table of Contents</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10480" w:type="dxa"/>
            <w:vAlign w:val="bottom"/>
            <w:gridSpan w:val="3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598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Report of Independent Registered Public Accounting Firm (PCAOB ID 238)</w:t>
            </w:r>
          </w:p>
        </w:tc>
        <w:tc>
          <w:tcPr>
            <w:tcW w:w="4480" w:type="dxa"/>
            <w:vAlign w:val="bottom"/>
            <w:gridSpan w:val="3"/>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Consolidated Balance Sheets</w:t>
            </w:r>
          </w:p>
        </w:tc>
        <w:tc>
          <w:tcPr>
            <w:tcW w:w="20" w:type="dxa"/>
            <w:vAlign w:val="bottom"/>
            <w:tcBorders>
              <w:bottom w:val="single" w:sz="8" w:color="0000EE"/>
            </w:tcBorders>
          </w:tcPr>
          <w:p>
            <w:pPr>
              <w:spacing w:after="0"/>
              <w:rPr>
                <w:sz w:val="19"/>
                <w:szCs w:val="19"/>
                <w:color w:val="auto"/>
              </w:rPr>
            </w:pPr>
          </w:p>
        </w:tc>
        <w:tc>
          <w:tcPr>
            <w:tcW w:w="8080" w:type="dxa"/>
            <w:vAlign w:val="bottom"/>
            <w:gridSpan w:val="20"/>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gridSpan w:val="30"/>
          </w:tcPr>
          <w:p>
            <w:pPr>
              <w:spacing w:after="0"/>
              <w:rPr>
                <w:sz w:val="20"/>
                <w:szCs w:val="20"/>
                <w:color w:val="auto"/>
              </w:rPr>
            </w:pPr>
            <w:r>
              <w:rPr>
                <w:rFonts w:ascii="Arial" w:cs="Arial" w:eastAsia="Arial" w:hAnsi="Arial"/>
                <w:sz w:val="18"/>
                <w:szCs w:val="18"/>
                <w:color w:val="0000FF"/>
              </w:rPr>
              <w:t>Consolidated Statements of Operations and Comprehensive Loss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gridSpan w:val="30"/>
          </w:tcPr>
          <w:p>
            <w:pPr>
              <w:spacing w:after="0"/>
              <w:rPr>
                <w:sz w:val="20"/>
                <w:szCs w:val="20"/>
                <w:color w:val="auto"/>
              </w:rPr>
            </w:pPr>
            <w:r>
              <w:rPr>
                <w:rFonts w:ascii="Arial" w:cs="Arial" w:eastAsia="Arial" w:hAnsi="Arial"/>
                <w:sz w:val="18"/>
                <w:szCs w:val="18"/>
                <w:color w:val="0000FF"/>
              </w:rPr>
              <w:t>Consolidated Statements of Convertible Preferred Stock, Redeemable Convertible Preferred Stock and Stockholders’ Equity</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6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6"/>
              </w:rPr>
              <w:t>(Deficit)</w:t>
            </w:r>
          </w:p>
        </w:tc>
        <w:tc>
          <w:tcPr>
            <w:tcW w:w="20" w:type="dxa"/>
            <w:vAlign w:val="bottom"/>
            <w:tcBorders>
              <w:top w:val="single" w:sz="8" w:color="0000FF"/>
              <w:bottom w:val="single" w:sz="8" w:color="0000EE"/>
            </w:tcBorders>
          </w:tcPr>
          <w:p>
            <w:pPr>
              <w:spacing w:after="0"/>
              <w:rPr>
                <w:sz w:val="15"/>
                <w:szCs w:val="15"/>
                <w:color w:val="auto"/>
              </w:rPr>
            </w:pPr>
          </w:p>
        </w:tc>
        <w:tc>
          <w:tcPr>
            <w:tcW w:w="9060" w:type="dxa"/>
            <w:vAlign w:val="bottom"/>
            <w:tcBorders>
              <w:top w:val="single" w:sz="8" w:color="0000FF"/>
            </w:tcBorders>
            <w:gridSpan w:val="25"/>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Consolidated Statements of Cash Flows</w:t>
            </w:r>
          </w:p>
        </w:tc>
        <w:tc>
          <w:tcPr>
            <w:tcW w:w="20" w:type="dxa"/>
            <w:vAlign w:val="bottom"/>
            <w:tcBorders>
              <w:bottom w:val="single" w:sz="8" w:color="0000EE"/>
            </w:tcBorders>
          </w:tcPr>
          <w:p>
            <w:pPr>
              <w:spacing w:after="0"/>
              <w:rPr>
                <w:sz w:val="18"/>
                <w:szCs w:val="18"/>
                <w:color w:val="auto"/>
              </w:rPr>
            </w:pPr>
          </w:p>
        </w:tc>
        <w:tc>
          <w:tcPr>
            <w:tcW w:w="7240" w:type="dxa"/>
            <w:vAlign w:val="bottom"/>
            <w:gridSpan w:val="12"/>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20" w:type="dxa"/>
            <w:vAlign w:val="bottom"/>
            <w:tcBorders>
              <w:bottom w:val="single" w:sz="8" w:color="0000EE"/>
            </w:tcBorders>
          </w:tcPr>
          <w:p>
            <w:pPr>
              <w:spacing w:after="0"/>
              <w:rPr>
                <w:sz w:val="19"/>
                <w:szCs w:val="19"/>
                <w:color w:val="auto"/>
              </w:rPr>
            </w:pPr>
          </w:p>
        </w:tc>
        <w:tc>
          <w:tcPr>
            <w:tcW w:w="6940" w:type="dxa"/>
            <w:vAlign w:val="bottom"/>
            <w:gridSpan w:val="8"/>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9"/>
              </w:rPr>
              <w:t>Note 1. Business Overview and Summary of Significant Accounting Policies</w:t>
            </w:r>
          </w:p>
        </w:tc>
        <w:tc>
          <w:tcPr>
            <w:tcW w:w="4000" w:type="dxa"/>
            <w:vAlign w:val="bottom"/>
            <w:gridSpan w:val="2"/>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2. Revenue and Recognition</w:t>
            </w:r>
          </w:p>
        </w:tc>
        <w:tc>
          <w:tcPr>
            <w:tcW w:w="74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3. Allowance for Credit Losses</w:t>
            </w: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4. Fair Value Measurements</w:t>
            </w: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5. Derivative Instruments</w:t>
            </w:r>
          </w:p>
        </w:tc>
        <w:tc>
          <w:tcPr>
            <w:tcW w:w="74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6. Accrued Expenses and Other Current Liabilities</w:t>
            </w:r>
          </w:p>
        </w:tc>
        <w:tc>
          <w:tcPr>
            <w:tcW w:w="74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7. Property and Equipment, net</w:t>
            </w:r>
          </w:p>
        </w:tc>
        <w:tc>
          <w:tcPr>
            <w:tcW w:w="74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8. Business Combinations</w:t>
            </w:r>
          </w:p>
        </w:tc>
        <w:tc>
          <w:tcPr>
            <w:tcW w:w="74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9. Goodwill and Acquired Intangible Assets</w:t>
            </w: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10. Debt</w:t>
            </w:r>
          </w:p>
        </w:tc>
        <w:tc>
          <w:tcPr>
            <w:tcW w:w="74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11. Stockholders’ Equity (Deficit)</w:t>
            </w: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6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12. Stock-Based Compensation</w:t>
            </w: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13. Net Loss per Share</w:t>
            </w:r>
          </w:p>
        </w:tc>
        <w:tc>
          <w:tcPr>
            <w:tcW w:w="74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6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14. Income Taxes</w:t>
            </w:r>
          </w:p>
        </w:tc>
        <w:tc>
          <w:tcPr>
            <w:tcW w:w="74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6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15. Leases</w:t>
            </w:r>
          </w:p>
        </w:tc>
        <w:tc>
          <w:tcPr>
            <w:tcW w:w="74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6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16. Commitments and Contingencies</w:t>
            </w:r>
          </w:p>
        </w:tc>
        <w:tc>
          <w:tcPr>
            <w:tcW w:w="74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180" w:type="dxa"/>
            <w:vAlign w:val="bottom"/>
            <w:gridSpan w:val="9"/>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8"/>
            <w:shd w:val="clear" w:color="auto" w:fill="0000FF"/>
          </w:tcPr>
          <w:p>
            <w:pPr>
              <w:spacing w:after="0" w:line="20" w:lineRule="exact"/>
              <w:rPr>
                <w:sz w:val="1"/>
                <w:szCs w:val="1"/>
                <w:color w:val="auto"/>
              </w:rPr>
            </w:pPr>
          </w:p>
        </w:tc>
        <w:tc>
          <w:tcPr>
            <w:tcW w:w="6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17. Employee Benefit Plan</w:t>
            </w:r>
          </w:p>
        </w:tc>
        <w:tc>
          <w:tcPr>
            <w:tcW w:w="74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180" w:type="dxa"/>
            <w:vAlign w:val="bottom"/>
            <w:gridSpan w:val="9"/>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20" w:type="dxa"/>
            <w:vAlign w:val="bottom"/>
            <w:gridSpan w:val="1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0000FF"/>
              </w:rPr>
              <w:t>Note 18. Subsequent Event</w:t>
            </w:r>
          </w:p>
        </w:tc>
        <w:tc>
          <w:tcPr>
            <w:tcW w:w="74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7"/>
        </w:trPr>
        <w:tc>
          <w:tcPr>
            <w:tcW w:w="480" w:type="dxa"/>
            <w:vAlign w:val="bottom"/>
            <w:gridSpan w:val="3"/>
          </w:tcPr>
          <w:p>
            <w:pPr>
              <w:spacing w:after="0"/>
              <w:rPr>
                <w:sz w:val="24"/>
                <w:szCs w:val="24"/>
                <w:color w:val="auto"/>
              </w:rPr>
            </w:pPr>
          </w:p>
        </w:tc>
        <w:tc>
          <w:tcPr>
            <w:tcW w:w="2180" w:type="dxa"/>
            <w:vAlign w:val="bottom"/>
            <w:tcBorders>
              <w:top w:val="single" w:sz="8" w:color="0000FF"/>
            </w:tcBorders>
            <w:gridSpan w:val="9"/>
          </w:tcPr>
          <w:p>
            <w:pPr>
              <w:spacing w:after="0"/>
              <w:rPr>
                <w:sz w:val="24"/>
                <w:szCs w:val="24"/>
                <w:color w:val="auto"/>
              </w:rPr>
            </w:pPr>
          </w:p>
        </w:tc>
        <w:tc>
          <w:tcPr>
            <w:tcW w:w="3340" w:type="dxa"/>
            <w:vAlign w:val="bottom"/>
            <w:gridSpan w:val="16"/>
          </w:tcPr>
          <w:p>
            <w:pPr>
              <w:jc w:val="right"/>
              <w:ind w:right="220"/>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Flywire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have audited the accompanying consolidated balance sheets of Flywire Corporation and its subsidiaries (the “Company”) as of December 31, 2023 and 2022, and the related consolidated statements of operations and comprehensive loss, of convertible preferred stock, redeemable convertible preferred stock and stockholders’ equity (deficit)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55"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7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As described in Management’s Annual Report on Internal Control Over Financial Reporting, management has excluded Learning Information Systems Pty Limited (“StudyLink”) from its assessment of internal control over financial reporting as of December 31, 2023, because it was acquired by the Company in a purchase business combination during 2023. We have also excluded StudyLink from our audit of internal control over financial reporting. StudyLink is a wholly-owned subsidiary whose total assets and total revenues excluded from management’s assessment and our audit of internal control over financial reporting represent 4.4% and 0.3%, respectively, of the related consolidated financial statement amounts as of and for the year ended December 31, 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1"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6"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71"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Learning Information Systems Pty Ltd. - Valuation of a Certain Customer Relationship and a Certain Developed Technology</w:t>
      </w:r>
    </w:p>
    <w:p>
      <w:pPr>
        <w:spacing w:after="0" w:line="16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As described in Notes 1 and 8 to the consolidated financial statements, on November 3, 2023 the Company acquired all of the issued and outstanding shares of Learning Information Systems Pty Ltd. (“StudyLink”) for estimated total purchase consideration, net of cash acquired, of $35.5 million. Of the acquired intangible assets, $12.0 million of customer relationships, a portion of which related to a certain customer relationship asset, and $7.4 million of developed technology, a majority of which related to a certain developed technology asset, were recorded. Fair value is estimated by management using a multi-period excess earnings method for customer relationships and a relief-from-royalty method for developed technology. Determining the fair value is judgmental in nature and can involve the use of significant estimates and assumptions. Fair value is based on, among other factors, estimates of future expected cash flows, revenue growth rates, operating margins, royalty rates and discount rates.</w:t>
      </w:r>
    </w:p>
    <w:p>
      <w:pPr>
        <w:spacing w:after="0" w:line="14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a certain customer relationship and a certain developed technology acquired in the acquisition of StudyLink is a critical audit matter are (i) the significant judgment by management when developing the fair value estimates of a certain customer relationship and a certain developed technology acquired; (ii) a high degree of auditor judgment, subjectivity, and effort in performing procedures and evaluating management’s significant assumptions related to revenue growth rates, royalty rates, and discount rates for a certain customer relationship and a certain developed technology; and (iii) the audit effort involved the use of professionals with specialized skill and knowledge.</w:t>
      </w:r>
    </w:p>
    <w:p>
      <w:pPr>
        <w:spacing w:after="0" w:line="15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a certain customer relationship and a certain developed technology acquired. These procedures also included, among others (i) reading the purchase agreement; (ii) testing management’s process for developing the fair value estimates of a certain customer relationship and a certain developed technology acquired; (iii) evaluating the appropriateness of the multi-period excess earnings and relief-from-royalty methods used by management; (iv) testing the completeness and accuracy of the underlying data used in the multi-period excess earnings and relief-from-royalty methods; and (v) evaluating the reasonableness of the significant assumptions used by management related to revenue growth rates, royalty rates, and discount rates for a certain customer relationship and a certain developed technology. Evaluating management’s assumptions related to revenue growth rates involved considering (i) the current and past performance of the StudyLink business; (ii) the consistency with external market and industry data; and (iii) whether the assumptions were consistent with evidence obtained in other areas of the audit. Professionals with specialized skill and knowledge were used to assist in</w:t>
      </w:r>
    </w:p>
    <w:p>
      <w:pPr>
        <w:spacing w:after="0" w:line="3" w:lineRule="exact"/>
        <w:rPr>
          <w:sz w:val="20"/>
          <w:szCs w:val="20"/>
          <w:color w:val="auto"/>
        </w:rPr>
      </w:pPr>
    </w:p>
    <w:p>
      <w:pPr>
        <w:ind w:right="480" w:firstLine="8"/>
        <w:spacing w:after="0" w:line="250" w:lineRule="auto"/>
        <w:tabs>
          <w:tab w:leader="none" w:pos="2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evaluating the appropriateness of the multi-period excess earnings and relief-from-royalty methods and (ii) the reasonableness of the royalty rate and discount rate assumptions for a certain customer relationship and a certain developed technology.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28,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30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8" w:right="1440"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color w:val="auto"/>
        </w:rPr>
        <w:t>(Amounts in thousands, except par value per share and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654,608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349,177</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13,697</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Unbilled receivables,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10,689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Funds receivable from payment partners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113,945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62,970</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18,227</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17,531</w:t>
            </w:r>
          </w:p>
        </w:tc>
        <w:tc>
          <w:tcPr>
            <w:tcW w:w="100" w:type="dxa"/>
            <w:vAlign w:val="bottom"/>
          </w:tcPr>
          <w:p>
            <w:pPr>
              <w:spacing w:after="0"/>
              <w:rPr>
                <w:sz w:val="19"/>
                <w:szCs w:val="19"/>
                <w:color w:val="auto"/>
              </w:rPr>
            </w:pPr>
          </w:p>
        </w:tc>
      </w:tr>
      <w:tr>
        <w:trPr>
          <w:trHeight w:val="223"/>
        </w:trPr>
        <w:tc>
          <w:tcPr>
            <w:tcW w:w="79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815,684</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450,643</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15,134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13,317</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108,178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97,616</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121,646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97,766</w:t>
            </w:r>
          </w:p>
        </w:tc>
        <w:tc>
          <w:tcPr>
            <w:tcW w:w="100" w:type="dxa"/>
            <w:vAlign w:val="bottom"/>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19,089</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1,079,731</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674,287</w:t>
            </w:r>
          </w:p>
        </w:tc>
        <w:tc>
          <w:tcPr>
            <w:tcW w:w="10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12,587</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13,325</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Funds payable to clients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210,922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124,305</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34,423</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6,968</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100" w:type="dxa"/>
            <w:vAlign w:val="bottom"/>
          </w:tcPr>
          <w:p>
            <w:pPr>
              <w:spacing w:after="0"/>
              <w:rPr>
                <w:sz w:val="19"/>
                <w:szCs w:val="19"/>
                <w:color w:val="auto"/>
              </w:rPr>
            </w:pPr>
          </w:p>
        </w:tc>
      </w:tr>
      <w:tr>
        <w:trPr>
          <w:trHeight w:val="223"/>
        </w:trPr>
        <w:tc>
          <w:tcPr>
            <w:tcW w:w="79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273,792</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177,276</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15,391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12,149</w:t>
            </w:r>
          </w:p>
        </w:tc>
        <w:tc>
          <w:tcPr>
            <w:tcW w:w="100" w:type="dxa"/>
            <w:vAlign w:val="bottom"/>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4,431</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293,614</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192,384</w:t>
            </w:r>
          </w:p>
        </w:tc>
        <w:tc>
          <w:tcPr>
            <w:tcW w:w="100" w:type="dxa"/>
            <w:vAlign w:val="bottom"/>
          </w:tcPr>
          <w:p>
            <w:pPr>
              <w:spacing w:after="0"/>
              <w:rPr>
                <w:sz w:val="19"/>
                <w:szCs w:val="19"/>
                <w:color w:val="auto"/>
              </w:rPr>
            </w:pPr>
          </w:p>
        </w:tc>
      </w:tr>
      <w:tr>
        <w:trPr>
          <w:trHeight w:val="223"/>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16)</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79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Preferred stock, $0.0001 par value; 10,000,000 shares authorized as of</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96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December 31, 2023 and 2022; and no shares issued and outstanding as of</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9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December 31, 2023 and 2022</w:t>
            </w:r>
          </w:p>
        </w:tc>
        <w:tc>
          <w:tcPr>
            <w:tcW w:w="3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7960" w:type="dxa"/>
            <w:vAlign w:val="bottom"/>
          </w:tcPr>
          <w:p>
            <w:pPr>
              <w:ind w:left="280"/>
              <w:spacing w:after="0" w:line="197" w:lineRule="exact"/>
              <w:rPr>
                <w:sz w:val="20"/>
                <w:szCs w:val="20"/>
                <w:color w:val="auto"/>
              </w:rPr>
            </w:pPr>
            <w:r>
              <w:rPr>
                <w:rFonts w:ascii="Arial" w:cs="Arial" w:eastAsia="Arial" w:hAnsi="Arial"/>
                <w:sz w:val="18"/>
                <w:szCs w:val="18"/>
                <w:color w:val="auto"/>
              </w:rPr>
              <w:t>Voting common stock, $0.0001 par value; 2,000,000,000 shares authorized as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960" w:type="dxa"/>
            <w:vAlign w:val="bottom"/>
          </w:tcPr>
          <w:p>
            <w:pPr>
              <w:ind w:left="420"/>
              <w:spacing w:after="0" w:line="202" w:lineRule="exact"/>
              <w:rPr>
                <w:sz w:val="20"/>
                <w:szCs w:val="20"/>
                <w:color w:val="auto"/>
              </w:rPr>
            </w:pPr>
            <w:r>
              <w:rPr>
                <w:rFonts w:ascii="Arial" w:cs="Arial" w:eastAsia="Arial" w:hAnsi="Arial"/>
                <w:sz w:val="18"/>
                <w:szCs w:val="18"/>
                <w:color w:val="auto"/>
              </w:rPr>
              <w:t>of December 31, 2023 and 2022; 123,010,207 shares issued and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960" w:type="dxa"/>
            <w:vAlign w:val="bottom"/>
          </w:tcPr>
          <w:p>
            <w:pPr>
              <w:ind w:left="420"/>
              <w:spacing w:after="0" w:line="202" w:lineRule="exact"/>
              <w:rPr>
                <w:sz w:val="20"/>
                <w:szCs w:val="20"/>
                <w:color w:val="auto"/>
              </w:rPr>
            </w:pPr>
            <w:r>
              <w:rPr>
                <w:rFonts w:ascii="Arial" w:cs="Arial" w:eastAsia="Arial" w:hAnsi="Arial"/>
                <w:sz w:val="18"/>
                <w:szCs w:val="18"/>
                <w:color w:val="auto"/>
              </w:rPr>
              <w:t>120,695,162 shares outstanding as of December 31, 2023; 109,790,702</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960" w:type="dxa"/>
            <w:vAlign w:val="bottom"/>
          </w:tcPr>
          <w:p>
            <w:pPr>
              <w:ind w:left="420"/>
              <w:spacing w:after="0"/>
              <w:rPr>
                <w:sz w:val="20"/>
                <w:szCs w:val="20"/>
                <w:color w:val="auto"/>
              </w:rPr>
            </w:pPr>
            <w:r>
              <w:rPr>
                <w:rFonts w:ascii="Arial" w:cs="Arial" w:eastAsia="Arial" w:hAnsi="Arial"/>
                <w:sz w:val="18"/>
                <w:szCs w:val="18"/>
                <w:color w:val="auto"/>
              </w:rPr>
              <w:t>shares issued and 107,472,980 shares outstanding as of December 31, 2022</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r>
      <w:tr>
        <w:trPr>
          <w:trHeight w:val="197"/>
        </w:trPr>
        <w:tc>
          <w:tcPr>
            <w:tcW w:w="79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Non-voting common stock, $0.0001 par value; 10,000,000 shares authorized as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96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of December 31, 2023 and 2022; 1,873,320 shares issued and outstanding</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9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as of December 31, 2023 and 2022</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r>
      <w:tr>
        <w:trPr>
          <w:trHeight w:val="197"/>
        </w:trPr>
        <w:tc>
          <w:tcPr>
            <w:tcW w:w="7960" w:type="dxa"/>
            <w:vAlign w:val="bottom"/>
          </w:tcPr>
          <w:p>
            <w:pPr>
              <w:ind w:left="280"/>
              <w:spacing w:after="0" w:line="197" w:lineRule="exact"/>
              <w:rPr>
                <w:sz w:val="20"/>
                <w:szCs w:val="20"/>
                <w:color w:val="auto"/>
              </w:rPr>
            </w:pPr>
            <w:r>
              <w:rPr>
                <w:rFonts w:ascii="Arial" w:cs="Arial" w:eastAsia="Arial" w:hAnsi="Arial"/>
                <w:sz w:val="18"/>
                <w:szCs w:val="18"/>
                <w:color w:val="auto"/>
              </w:rPr>
              <w:t>Treasury voting common stock, 2,315,045 and 2,317,722 shares as of</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960" w:type="dxa"/>
            <w:vAlign w:val="bottom"/>
          </w:tcPr>
          <w:p>
            <w:pPr>
              <w:ind w:left="420"/>
              <w:spacing w:after="0"/>
              <w:rPr>
                <w:sz w:val="20"/>
                <w:szCs w:val="20"/>
                <w:color w:val="auto"/>
              </w:rPr>
            </w:pPr>
            <w:r>
              <w:rPr>
                <w:rFonts w:ascii="Arial" w:cs="Arial" w:eastAsia="Arial" w:hAnsi="Arial"/>
                <w:sz w:val="18"/>
                <w:szCs w:val="18"/>
                <w:color w:val="auto"/>
              </w:rPr>
              <w:t>December 31, 2023 and 2022, respectively, held at cost</w:t>
            </w:r>
          </w:p>
        </w:tc>
        <w:tc>
          <w:tcPr>
            <w:tcW w:w="3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(747 )</w:t>
            </w:r>
          </w:p>
        </w:tc>
        <w:tc>
          <w:tcPr>
            <w:tcW w:w="4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(748 )</w:t>
            </w:r>
          </w:p>
        </w:tc>
      </w:tr>
      <w:tr>
        <w:trPr>
          <w:trHeight w:val="229"/>
        </w:trPr>
        <w:tc>
          <w:tcPr>
            <w:tcW w:w="79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959,302</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649,756</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52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(1,912 )</w:t>
            </w:r>
          </w:p>
        </w:tc>
      </w:tr>
      <w:tr>
        <w:trPr>
          <w:trHeight w:val="229"/>
        </w:trPr>
        <w:tc>
          <w:tcPr>
            <w:tcW w:w="79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(173,770 )</w:t>
            </w:r>
          </w:p>
        </w:tc>
        <w:tc>
          <w:tcPr>
            <w:tcW w:w="4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(165,204 )</w:t>
            </w:r>
          </w:p>
        </w:tc>
      </w:tr>
      <w:tr>
        <w:trPr>
          <w:trHeight w:val="223"/>
        </w:trPr>
        <w:tc>
          <w:tcPr>
            <w:tcW w:w="7960" w:type="dxa"/>
            <w:vAlign w:val="bottom"/>
            <w:tcBorders>
              <w:top w:val="single" w:sz="8" w:color="CFF0FC"/>
            </w:tcBorders>
          </w:tcPr>
          <w:p>
            <w:pPr>
              <w:ind w:left="7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786,117</w:t>
            </w:r>
          </w:p>
        </w:tc>
        <w:tc>
          <w:tcPr>
            <w:tcW w:w="28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481,903</w:t>
            </w:r>
          </w:p>
        </w:tc>
        <w:tc>
          <w:tcPr>
            <w:tcW w:w="100" w:type="dxa"/>
            <w:vAlign w:val="bottom"/>
            <w:tcBorders>
              <w:top w:val="single" w:sz="8" w:color="CFF0FC"/>
            </w:tcBorders>
          </w:tcPr>
          <w:p>
            <w:pPr>
              <w:spacing w:after="0"/>
              <w:rPr>
                <w:sz w:val="19"/>
                <w:szCs w:val="19"/>
                <w:color w:val="auto"/>
              </w:rPr>
            </w:pPr>
          </w:p>
        </w:tc>
      </w:tr>
      <w:tr>
        <w:trPr>
          <w:trHeight w:val="263"/>
        </w:trPr>
        <w:tc>
          <w:tcPr>
            <w:tcW w:w="79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1,079,731</w:t>
            </w:r>
          </w:p>
        </w:tc>
        <w:tc>
          <w:tcPr>
            <w:tcW w:w="28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674,287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-4331970</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-4331970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-2833370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-2833370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-333375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-24765</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40"/>
        <w:spacing w:after="0"/>
        <w:rPr>
          <w:sz w:val="20"/>
          <w:szCs w:val="20"/>
          <w:color w:val="auto"/>
        </w:rPr>
      </w:pPr>
      <w:r>
        <w:rPr>
          <w:rFonts w:ascii="Arial" w:cs="Arial" w:eastAsia="Arial" w:hAnsi="Arial"/>
          <w:sz w:val="18"/>
          <w:szCs w:val="18"/>
          <w:color w:val="auto"/>
        </w:rPr>
        <w:t>(Amounts 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403,094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289,375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 processing services costs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147,339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107,933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Technology and development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62,028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50,257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107,621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78,456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82,949</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costs and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424,612</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319,595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28"/>
              <w:spacing w:after="0"/>
              <w:rPr>
                <w:sz w:val="20"/>
                <w:szCs w:val="20"/>
                <w:color w:val="auto"/>
              </w:rPr>
            </w:pPr>
            <w:r>
              <w:rPr>
                <w:rFonts w:ascii="Arial" w:cs="Arial" w:eastAsia="Arial" w:hAnsi="Arial"/>
                <w:sz w:val="18"/>
                <w:szCs w:val="18"/>
                <w:color w:val="auto"/>
              </w:rPr>
              <w:t>(21,518 )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(30,220 )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(13,257 )</w:t>
            </w: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380" w:type="dxa"/>
            <w:vAlign w:val="bottom"/>
            <w:gridSpan w:val="2"/>
          </w:tcPr>
          <w:p>
            <w:pPr>
              <w:jc w:val="right"/>
              <w:ind w:right="128"/>
              <w:spacing w:after="0"/>
              <w:rPr>
                <w:sz w:val="20"/>
                <w:szCs w:val="20"/>
                <w:color w:val="auto"/>
              </w:rPr>
            </w:pPr>
            <w:r>
              <w:rPr>
                <w:rFonts w:ascii="Arial" w:cs="Arial" w:eastAsia="Arial" w:hAnsi="Arial"/>
                <w:sz w:val="18"/>
                <w:szCs w:val="18"/>
                <w:color w:val="auto"/>
              </w:rPr>
              <w:t>(372 )</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(1,211 )</w:t>
            </w: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(2,021 )</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fair value of preferred stock warrant liability</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(10,758 )</w:t>
            </w: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Gain (loss) from remeasurement of foreign currency</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(9,172 )</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Pr>
          <w:p>
            <w:pPr>
              <w:ind w:left="52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(7,139 )</w:t>
            </w: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(12,670 )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(4,352 )</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(37,359 )</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(25,927 )</w:t>
            </w: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(8,566 )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(39,347 )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(28,085 )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(1,513 )</w:t>
            </w: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(5,334 )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(40,860 )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(28,270 )</w:t>
            </w: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20" w:type="dxa"/>
            <w:vAlign w:val="bottom"/>
          </w:tcPr>
          <w:p>
            <w:pPr>
              <w:ind w:left="20"/>
              <w:spacing w:after="0" w:line="177" w:lineRule="exact"/>
              <w:rPr>
                <w:sz w:val="20"/>
                <w:szCs w:val="20"/>
                <w:color w:val="auto"/>
              </w:rPr>
            </w:pPr>
            <w:r>
              <w:rPr>
                <w:rFonts w:ascii="Arial" w:cs="Arial" w:eastAsia="Arial" w:hAnsi="Arial"/>
                <w:sz w:val="18"/>
                <w:szCs w:val="18"/>
                <w:color w:val="auto"/>
              </w:rPr>
              <w:t>Net loss attributable to common stockholders - basic and</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tcPr>
          <w:p>
            <w:pPr>
              <w:jc w:val="right"/>
              <w:ind w:right="128"/>
              <w:spacing w:after="0"/>
              <w:rPr>
                <w:sz w:val="20"/>
                <w:szCs w:val="20"/>
                <w:color w:val="auto"/>
              </w:rPr>
            </w:pPr>
            <w:r>
              <w:rPr>
                <w:rFonts w:ascii="Arial" w:cs="Arial" w:eastAsia="Arial" w:hAnsi="Arial"/>
                <w:sz w:val="18"/>
                <w:szCs w:val="18"/>
                <w:color w:val="auto"/>
              </w:rPr>
              <w:t>(8,566 )</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(39,347 )</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(28,098 )</w:t>
            </w:r>
          </w:p>
        </w:tc>
        <w:tc>
          <w:tcPr>
            <w:tcW w:w="0" w:type="dxa"/>
            <w:vAlign w:val="bottom"/>
          </w:tcPr>
          <w:p>
            <w:pPr>
              <w:spacing w:after="0"/>
              <w:rPr>
                <w:sz w:val="1"/>
                <w:szCs w:val="1"/>
                <w:color w:val="auto"/>
              </w:rPr>
            </w:pPr>
          </w:p>
        </w:tc>
      </w:tr>
      <w:tr>
        <w:trPr>
          <w:trHeight w:val="194"/>
        </w:trPr>
        <w:tc>
          <w:tcPr>
            <w:tcW w:w="6620" w:type="dxa"/>
            <w:vAlign w:val="bottom"/>
          </w:tcPr>
          <w:p>
            <w:pPr>
              <w:ind w:left="180"/>
              <w:spacing w:after="0" w:line="195" w:lineRule="exact"/>
              <w:rPr>
                <w:sz w:val="20"/>
                <w:szCs w:val="20"/>
                <w:color w:val="auto"/>
              </w:rPr>
            </w:pPr>
            <w:r>
              <w:rPr>
                <w:rFonts w:ascii="Arial" w:cs="Arial" w:eastAsia="Arial" w:hAnsi="Arial"/>
                <w:sz w:val="18"/>
                <w:szCs w:val="18"/>
                <w:color w:val="auto"/>
              </w:rPr>
              <w:t>diluted</w:t>
            </w:r>
          </w:p>
        </w:tc>
        <w:tc>
          <w:tcPr>
            <w:tcW w:w="24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2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Net loss per share attributable to common stockholders - basic</w:t>
            </w:r>
          </w:p>
        </w:tc>
        <w:tc>
          <w:tcPr>
            <w:tcW w:w="2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shd w:val="clear" w:color="auto" w:fill="CFF0FC"/>
          </w:tcPr>
          <w:p>
            <w:pPr>
              <w:jc w:val="right"/>
              <w:ind w:right="128"/>
              <w:spacing w:after="0"/>
              <w:rPr>
                <w:sz w:val="20"/>
                <w:szCs w:val="20"/>
                <w:color w:val="auto"/>
              </w:rPr>
            </w:pPr>
            <w:r>
              <w:rPr>
                <w:rFonts w:ascii="Arial" w:cs="Arial" w:eastAsia="Arial" w:hAnsi="Arial"/>
                <w:sz w:val="18"/>
                <w:szCs w:val="18"/>
                <w:color w:val="auto"/>
              </w:rPr>
              <w:t>(0.07 )</w:t>
            </w: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(0.36 )</w:t>
            </w: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(0.39 )</w:t>
            </w:r>
          </w:p>
        </w:tc>
        <w:tc>
          <w:tcPr>
            <w:tcW w:w="0" w:type="dxa"/>
            <w:vAlign w:val="bottom"/>
          </w:tcPr>
          <w:p>
            <w:pPr>
              <w:spacing w:after="0"/>
              <w:rPr>
                <w:sz w:val="1"/>
                <w:szCs w:val="1"/>
                <w:color w:val="auto"/>
              </w:rPr>
            </w:pPr>
          </w:p>
        </w:tc>
      </w:tr>
      <w:tr>
        <w:trPr>
          <w:trHeight w:val="234"/>
        </w:trPr>
        <w:tc>
          <w:tcPr>
            <w:tcW w:w="6620" w:type="dxa"/>
            <w:vAlign w:val="bottom"/>
            <w:shd w:val="clear" w:color="auto" w:fill="CFF0FC"/>
          </w:tcPr>
          <w:p>
            <w:pPr>
              <w:ind w:left="180"/>
              <w:spacing w:after="0" w:line="195" w:lineRule="exact"/>
              <w:rPr>
                <w:sz w:val="20"/>
                <w:szCs w:val="20"/>
                <w:color w:val="auto"/>
              </w:rPr>
            </w:pPr>
            <w:r>
              <w:rPr>
                <w:rFonts w:ascii="Arial" w:cs="Arial" w:eastAsia="Arial" w:hAnsi="Arial"/>
                <w:sz w:val="18"/>
                <w:szCs w:val="18"/>
                <w:color w:val="auto"/>
              </w:rPr>
              <w:t>and diluted</w:t>
            </w:r>
          </w:p>
        </w:tc>
        <w:tc>
          <w:tcPr>
            <w:tcW w:w="240" w:type="dxa"/>
            <w:vAlign w:val="bottom"/>
            <w:vMerge w:val="continue"/>
            <w:shd w:val="clear" w:color="auto" w:fill="CFF0FC"/>
          </w:tcPr>
          <w:p>
            <w:pPr>
              <w:spacing w:after="0"/>
              <w:rPr>
                <w:sz w:val="20"/>
                <w:szCs w:val="20"/>
                <w:color w:val="auto"/>
              </w:rPr>
            </w:pPr>
          </w:p>
        </w:tc>
        <w:tc>
          <w:tcPr>
            <w:tcW w:w="1380" w:type="dxa"/>
            <w:vAlign w:val="bottom"/>
            <w:gridSpan w:val="2"/>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1360" w:type="dxa"/>
            <w:vAlign w:val="bottom"/>
            <w:gridSpan w:val="2"/>
            <w:vMerge w:val="continue"/>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620" w:type="dxa"/>
            <w:vAlign w:val="bottom"/>
            <w:tcBorders>
              <w:top w:val="single" w:sz="8" w:color="CFF0FC"/>
            </w:tcBorders>
          </w:tcPr>
          <w:p>
            <w:pPr>
              <w:ind w:left="20"/>
              <w:spacing w:after="0" w:line="177" w:lineRule="exact"/>
              <w:rPr>
                <w:sz w:val="20"/>
                <w:szCs w:val="20"/>
                <w:color w:val="auto"/>
              </w:rPr>
            </w:pPr>
            <w:r>
              <w:rPr>
                <w:rFonts w:ascii="Arial" w:cs="Arial" w:eastAsia="Arial" w:hAnsi="Arial"/>
                <w:sz w:val="18"/>
                <w:szCs w:val="18"/>
                <w:color w:val="auto"/>
              </w:rPr>
              <w:t>Weighted average common shares outstanding - basic and</w:t>
            </w: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114,828,494</w:t>
            </w:r>
          </w:p>
        </w:tc>
        <w:tc>
          <w:tcPr>
            <w:tcW w:w="2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107,935,514</w:t>
            </w:r>
          </w:p>
        </w:tc>
        <w:tc>
          <w:tcPr>
            <w:tcW w:w="26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71,168,054</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620" w:type="dxa"/>
            <w:vAlign w:val="bottom"/>
          </w:tcPr>
          <w:p>
            <w:pPr>
              <w:ind w:left="180"/>
              <w:spacing w:after="0" w:line="195"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-2645410</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-2645410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-2645410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-1754505</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-1754505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-847090</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-829945</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-847090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-829945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-299085</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-281940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-299085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-281940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FLYWIRE CORPORATION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CONVERTIBLE PREFERRED STOCK, REDEEMABLE CONVERTIBLE PREFERRED STOCK AND</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STOCKHOLDERS’ EQUITY (DEFICIT)</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(Amounts in thousands, except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9"/>
              </w:rPr>
              <w:t>Accumulat</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tcBorders>
              <w:right w:val="single" w:sz="8" w:color="auto"/>
            </w:tcBorders>
            <w:gridSpan w:val="5"/>
            <w:vMerge w:val="restart"/>
          </w:tcPr>
          <w:p>
            <w:pPr>
              <w:jc w:val="center"/>
              <w:ind w:right="140"/>
              <w:spacing w:after="0"/>
              <w:rPr>
                <w:sz w:val="20"/>
                <w:szCs w:val="20"/>
                <w:color w:val="auto"/>
              </w:rPr>
            </w:pPr>
            <w:r>
              <w:rPr>
                <w:rFonts w:ascii="Arial" w:cs="Arial" w:eastAsia="Arial" w:hAnsi="Arial"/>
                <w:sz w:val="11"/>
                <w:szCs w:val="11"/>
                <w:b w:val="1"/>
                <w:bCs w:val="1"/>
                <w:color w:val="auto"/>
                <w:w w:val="95"/>
              </w:rPr>
              <w:t>Redeemable</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93"/>
              </w:rPr>
              <w:t>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Borders>
              <w:right w:val="single" w:sz="8" w:color="auto"/>
            </w:tcBorders>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320"/>
              <w:spacing w:after="0" w:line="108"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940" w:type="dxa"/>
            <w:vAlign w:val="bottom"/>
            <w:gridSpan w:val="3"/>
          </w:tcPr>
          <w:p>
            <w:pPr>
              <w:ind w:left="340"/>
              <w:spacing w:after="0" w:line="122" w:lineRule="exact"/>
              <w:rPr>
                <w:sz w:val="20"/>
                <w:szCs w:val="20"/>
                <w:color w:val="auto"/>
              </w:rPr>
            </w:pPr>
            <w:r>
              <w:rPr>
                <w:rFonts w:ascii="Arial" w:cs="Arial" w:eastAsia="Arial" w:hAnsi="Arial"/>
                <w:sz w:val="11"/>
                <w:szCs w:val="11"/>
                <w:b w:val="1"/>
                <w:bCs w:val="1"/>
                <w:color w:val="auto"/>
                <w:w w:val="95"/>
              </w:rPr>
              <w:t>Convertible</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3"/>
          </w:tcPr>
          <w:p>
            <w:pPr>
              <w:jc w:val="center"/>
              <w:ind w:left="286"/>
              <w:spacing w:after="0" w:line="122" w:lineRule="exact"/>
              <w:rPr>
                <w:sz w:val="20"/>
                <w:szCs w:val="20"/>
                <w:color w:val="auto"/>
              </w:rPr>
            </w:pPr>
            <w:r>
              <w:rPr>
                <w:rFonts w:ascii="Arial" w:cs="Arial" w:eastAsia="Arial" w:hAnsi="Arial"/>
                <w:sz w:val="11"/>
                <w:szCs w:val="11"/>
                <w:b w:val="1"/>
                <w:bCs w:val="1"/>
                <w:color w:val="auto"/>
                <w:w w:val="95"/>
              </w:rPr>
              <w:t>Convertible</w:t>
            </w: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400"/>
              <w:spacing w:after="0" w:line="122" w:lineRule="exact"/>
              <w:rPr>
                <w:sz w:val="20"/>
                <w:szCs w:val="20"/>
                <w:color w:val="auto"/>
              </w:rPr>
            </w:pPr>
            <w:r>
              <w:rPr>
                <w:rFonts w:ascii="Arial" w:cs="Arial" w:eastAsia="Arial" w:hAnsi="Arial"/>
                <w:sz w:val="11"/>
                <w:szCs w:val="11"/>
                <w:b w:val="1"/>
                <w:bCs w:val="1"/>
                <w:color w:val="auto"/>
              </w:rPr>
              <w:t>Voting</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3"/>
          </w:tcPr>
          <w:p>
            <w:pPr>
              <w:jc w:val="right"/>
              <w:ind w:right="206"/>
              <w:spacing w:after="0" w:line="122" w:lineRule="exact"/>
              <w:rPr>
                <w:sz w:val="20"/>
                <w:szCs w:val="20"/>
                <w:color w:val="auto"/>
              </w:rPr>
            </w:pPr>
            <w:r>
              <w:rPr>
                <w:rFonts w:ascii="Arial" w:cs="Arial" w:eastAsia="Arial" w:hAnsi="Arial"/>
                <w:sz w:val="11"/>
                <w:szCs w:val="11"/>
                <w:b w:val="1"/>
                <w:bCs w:val="1"/>
                <w:color w:val="auto"/>
              </w:rPr>
              <w:t>Non-Voting</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Additional</w:t>
            </w:r>
          </w:p>
        </w:tc>
        <w:tc>
          <w:tcPr>
            <w:tcW w:w="8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9"/>
              </w:rPr>
              <w:t>Comprehe</w:t>
            </w:r>
          </w:p>
        </w:tc>
        <w:tc>
          <w:tcPr>
            <w:tcW w:w="8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Accumulat</w:t>
            </w: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7"/>
              </w:rPr>
              <w:t>Stockholder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280" w:type="dxa"/>
            <w:vAlign w:val="bottom"/>
            <w:tcBorders>
              <w:bottom w:val="single" w:sz="8" w:color="auto"/>
            </w:tcBorders>
            <w:gridSpan w:val="4"/>
          </w:tcPr>
          <w:p>
            <w:pPr>
              <w:jc w:val="right"/>
              <w:ind w:right="186"/>
              <w:spacing w:after="0"/>
              <w:rPr>
                <w:sz w:val="20"/>
                <w:szCs w:val="20"/>
                <w:color w:val="auto"/>
              </w:rPr>
            </w:pPr>
            <w:r>
              <w:rPr>
                <w:rFonts w:ascii="Arial" w:cs="Arial" w:eastAsia="Arial" w:hAnsi="Arial"/>
                <w:sz w:val="11"/>
                <w:szCs w:val="11"/>
                <w:b w:val="1"/>
                <w:bCs w:val="1"/>
                <w:color w:val="auto"/>
              </w:rPr>
              <w:t>Preferred Stock</w:t>
            </w:r>
          </w:p>
        </w:tc>
        <w:tc>
          <w:tcPr>
            <w:tcW w:w="240" w:type="dxa"/>
            <w:vAlign w:val="bottom"/>
          </w:tcPr>
          <w:p>
            <w:pPr>
              <w:spacing w:after="0"/>
              <w:rPr>
                <w:sz w:val="12"/>
                <w:szCs w:val="12"/>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Preferred Stock</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auto"/>
            </w:tcBorders>
            <w:gridSpan w:val="4"/>
          </w:tcPr>
          <w:p>
            <w:pPr>
              <w:jc w:val="right"/>
              <w:ind w:right="106"/>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2"/>
                <w:szCs w:val="12"/>
                <w:color w:val="auto"/>
              </w:rPr>
            </w:pPr>
          </w:p>
        </w:tc>
        <w:tc>
          <w:tcPr>
            <w:tcW w:w="1120" w:type="dxa"/>
            <w:vAlign w:val="bottom"/>
            <w:tcBorders>
              <w:bottom w:val="single" w:sz="8" w:color="auto"/>
            </w:tcBorders>
            <w:gridSpan w:val="4"/>
          </w:tcPr>
          <w:p>
            <w:pPr>
              <w:jc w:val="right"/>
              <w:ind w:right="126"/>
              <w:spacing w:after="0"/>
              <w:rPr>
                <w:sz w:val="20"/>
                <w:szCs w:val="20"/>
                <w:color w:val="auto"/>
              </w:rPr>
            </w:pPr>
            <w:r>
              <w:rPr>
                <w:rFonts w:ascii="Arial" w:cs="Arial" w:eastAsia="Arial" w:hAnsi="Arial"/>
                <w:sz w:val="11"/>
                <w:szCs w:val="11"/>
                <w:b w:val="1"/>
                <w:bCs w:val="1"/>
                <w:color w:val="auto"/>
              </w:rPr>
              <w:t>Treasury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12"/>
                <w:szCs w:val="12"/>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9"/>
              </w:rPr>
              <w:t>nsive</w:t>
            </w:r>
          </w:p>
        </w:tc>
        <w:tc>
          <w:tcPr>
            <w:tcW w:w="100" w:type="dxa"/>
            <w:vAlign w:val="bottom"/>
          </w:tcPr>
          <w:p>
            <w:pPr>
              <w:spacing w:after="0"/>
              <w:rPr>
                <w:sz w:val="12"/>
                <w:szCs w:val="12"/>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ed</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s’ Equity</w:t>
            </w:r>
          </w:p>
        </w:tc>
        <w:tc>
          <w:tcPr>
            <w:tcW w:w="0" w:type="dxa"/>
            <w:vAlign w:val="bottom"/>
          </w:tcPr>
          <w:p>
            <w:pPr>
              <w:spacing w:after="0"/>
              <w:rPr>
                <w:sz w:val="1"/>
                <w:szCs w:val="1"/>
                <w:color w:val="auto"/>
              </w:rPr>
            </w:pPr>
          </w:p>
        </w:tc>
      </w:tr>
      <w:tr>
        <w:trPr>
          <w:trHeight w:val="115"/>
        </w:trPr>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w w:val="96"/>
              </w:rPr>
              <w:t>Amou</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Amou</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tcPr>
          <w:p>
            <w:pPr>
              <w:jc w:val="right"/>
              <w:ind w:right="260"/>
              <w:spacing w:after="0" w:line="115" w:lineRule="exact"/>
              <w:rPr>
                <w:sz w:val="20"/>
                <w:szCs w:val="20"/>
                <w:color w:val="auto"/>
              </w:rPr>
            </w:pPr>
            <w:r>
              <w:rPr>
                <w:rFonts w:ascii="Arial" w:cs="Arial" w:eastAsia="Arial" w:hAnsi="Arial"/>
                <w:sz w:val="11"/>
                <w:szCs w:val="11"/>
                <w:b w:val="1"/>
                <w:bCs w:val="1"/>
                <w:color w:val="auto"/>
              </w:rPr>
              <w:t>Amou</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Shares</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Shares</w:t>
            </w:r>
          </w:p>
        </w:tc>
        <w:tc>
          <w:tcPr>
            <w:tcW w:w="60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240" w:type="dxa"/>
            <w:vAlign w:val="bottom"/>
          </w:tcPr>
          <w:p>
            <w:pPr>
              <w:jc w:val="right"/>
              <w:ind w:right="66"/>
              <w:spacing w:after="0"/>
              <w:rPr>
                <w:sz w:val="20"/>
                <w:szCs w:val="20"/>
                <w:color w:val="auto"/>
              </w:rPr>
            </w:pPr>
            <w:r>
              <w:rPr>
                <w:rFonts w:ascii="Arial" w:cs="Arial" w:eastAsia="Arial" w:hAnsi="Arial"/>
                <w:sz w:val="11"/>
                <w:szCs w:val="11"/>
                <w:b w:val="1"/>
                <w:bCs w:val="1"/>
                <w:color w:val="auto"/>
                <w:w w:val="95"/>
              </w:rPr>
              <w:t>nt</w:t>
            </w:r>
          </w:p>
        </w:tc>
        <w:tc>
          <w:tcPr>
            <w:tcW w:w="22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380" w:type="dxa"/>
            <w:vAlign w:val="bottom"/>
          </w:tcPr>
          <w:p>
            <w:pPr>
              <w:jc w:val="right"/>
              <w:ind w:right="86"/>
              <w:spacing w:after="0"/>
              <w:rPr>
                <w:sz w:val="20"/>
                <w:szCs w:val="20"/>
                <w:color w:val="auto"/>
              </w:rPr>
            </w:pPr>
            <w:r>
              <w:rPr>
                <w:rFonts w:ascii="Arial" w:cs="Arial" w:eastAsia="Arial" w:hAnsi="Arial"/>
                <w:sz w:val="11"/>
                <w:szCs w:val="11"/>
                <w:b w:val="1"/>
                <w:bCs w:val="1"/>
                <w:color w:val="auto"/>
              </w:rPr>
              <w:t>nt</w:t>
            </w:r>
          </w:p>
        </w:tc>
        <w:tc>
          <w:tcPr>
            <w:tcW w:w="22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5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nt</w:t>
            </w:r>
          </w:p>
        </w:tc>
        <w:tc>
          <w:tcPr>
            <w:tcW w:w="80" w:type="dxa"/>
            <w:vAlign w:val="bottom"/>
          </w:tcPr>
          <w:p>
            <w:pPr>
              <w:spacing w:after="0"/>
              <w:rPr>
                <w:sz w:val="12"/>
                <w:szCs w:val="12"/>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3"/>
              </w:rPr>
              <w:t>Loss</w:t>
            </w:r>
          </w:p>
        </w:tc>
        <w:tc>
          <w:tcPr>
            <w:tcW w:w="100" w:type="dxa"/>
            <w:vAlign w:val="bottom"/>
          </w:tcPr>
          <w:p>
            <w:pPr>
              <w:spacing w:after="0"/>
              <w:rPr>
                <w:sz w:val="12"/>
                <w:szCs w:val="12"/>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115"/>
        </w:trPr>
        <w:tc>
          <w:tcPr>
            <w:tcW w:w="1080" w:type="dxa"/>
            <w:vAlign w:val="bottom"/>
            <w:shd w:val="clear" w:color="auto" w:fill="CFF0FC"/>
          </w:tcPr>
          <w:p>
            <w:pPr>
              <w:ind w:left="20"/>
              <w:spacing w:after="0" w:line="115" w:lineRule="exact"/>
              <w:rPr>
                <w:sz w:val="20"/>
                <w:szCs w:val="20"/>
                <w:color w:val="auto"/>
              </w:rPr>
            </w:pPr>
            <w:r>
              <w:rPr>
                <w:rFonts w:ascii="Arial" w:cs="Arial" w:eastAsia="Arial" w:hAnsi="Arial"/>
                <w:sz w:val="11"/>
                <w:szCs w:val="11"/>
                <w:b w:val="1"/>
                <w:bCs w:val="1"/>
                <w:color w:val="auto"/>
              </w:rPr>
              <w:t>Balances at</w:t>
            </w:r>
          </w:p>
        </w:tc>
        <w:tc>
          <w:tcPr>
            <w:tcW w:w="5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b w:val="1"/>
                <w:bCs w:val="1"/>
                <w:color w:val="auto"/>
              </w:rPr>
              <w:t>December</w:t>
            </w:r>
          </w:p>
        </w:tc>
        <w:tc>
          <w:tcPr>
            <w:tcW w:w="56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54,208,</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w w:val="89"/>
              </w:rPr>
              <w:t>110,40</w:t>
            </w: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11,239,</w:t>
            </w: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w w:val="89"/>
              </w:rPr>
              <w:t>119,76</w:t>
            </w: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22,240,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(2,317,</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b w:val="1"/>
                <w:bCs w:val="1"/>
                <w:color w:val="auto"/>
              </w:rPr>
              <w:t>31, 2020</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920</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722 )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(748 )</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16,970</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(214 )</w:t>
            </w: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(97,772 )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(81,762 )</w:t>
            </w: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Issuance of</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common</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stock upon</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exercise</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5,893,6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of stock options</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6,582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6,583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 Series</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F-1</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redeemable</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convertible</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preferred stock,</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net of issuance</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2,571,9</w:t>
            </w: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59,73</w:t>
            </w: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costs of $265</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Exercise of</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common</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stock warrants</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417,021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Accretion of</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redeemable</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convertible</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preferred</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stock</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(13 )</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Foreign currency</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translation</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adjustment</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(185 )</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(185 )</w:t>
            </w:r>
          </w:p>
        </w:tc>
        <w:tc>
          <w:tcPr>
            <w:tcW w:w="0" w:type="dxa"/>
            <w:vAlign w:val="bottom"/>
          </w:tcPr>
          <w:p>
            <w:pPr>
              <w:spacing w:after="0"/>
              <w:rPr>
                <w:sz w:val="1"/>
                <w:szCs w:val="1"/>
                <w:color w:val="auto"/>
              </w:rPr>
            </w:pP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Stock-based</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compensation</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expense</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48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18,928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18,928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Issuance of</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common</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stock in</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connection</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with IPO, net of</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underwriting</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discounts and</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12,006,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commissions</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268,693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268,694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Costs incurred in</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connection with</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IPO</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48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(4,860 )</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(4,860 )</w:t>
            </w: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Issuance of Series</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C</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preferred stock</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upon net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exercise</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of Series C</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preferred stock</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warrants</w:t>
            </w:r>
          </w:p>
        </w:tc>
        <w:tc>
          <w:tcPr>
            <w:tcW w:w="560" w:type="dxa"/>
            <w:vAlign w:val="bottom"/>
          </w:tcPr>
          <w:p>
            <w:pPr>
              <w:jc w:val="right"/>
              <w:spacing w:after="0"/>
              <w:rPr>
                <w:sz w:val="20"/>
                <w:szCs w:val="20"/>
                <w:color w:val="auto"/>
              </w:rPr>
            </w:pPr>
            <w:r>
              <w:rPr>
                <w:rFonts w:ascii="Arial" w:cs="Arial" w:eastAsia="Arial" w:hAnsi="Arial"/>
                <w:sz w:val="11"/>
                <w:szCs w:val="11"/>
                <w:color w:val="auto"/>
              </w:rPr>
              <w:t>182,467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6,417</w:t>
            </w:r>
          </w:p>
        </w:tc>
        <w:tc>
          <w:tcPr>
            <w:tcW w:w="24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Conversion of</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convertible</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preferred stock</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upon</w:t>
            </w:r>
          </w:p>
        </w:tc>
        <w:tc>
          <w:tcPr>
            <w:tcW w:w="56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(54,390,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w w:val="96"/>
              </w:rPr>
              <w:t>(116,8</w:t>
            </w: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54,390,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IPO</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928 )</w:t>
            </w:r>
          </w:p>
        </w:tc>
        <w:tc>
          <w:tcPr>
            <w:tcW w:w="1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18 )</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48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116,813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116,818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Conversion of</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redeemable</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convertible</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preferred</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(13,811,</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(179,5</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7,823,4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5,988,</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stock upon IPO</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856 )</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17 )</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378</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179,515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179,517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Reclassification of</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warrant liability</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to additional</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paid-in capital</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upon IPO</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48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6,272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ind w:left="20"/>
              <w:spacing w:after="0"/>
              <w:rPr>
                <w:sz w:val="20"/>
                <w:szCs w:val="20"/>
                <w:color w:val="auto"/>
              </w:rPr>
            </w:pPr>
            <w:r>
              <w:rPr>
                <w:rFonts w:ascii="Arial" w:cs="Arial" w:eastAsia="Arial" w:hAnsi="Arial"/>
                <w:sz w:val="11"/>
                <w:szCs w:val="11"/>
                <w:color w:val="auto"/>
              </w:rPr>
              <w:t>Net loss</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(28,085 )</w:t>
            </w:r>
          </w:p>
        </w:tc>
        <w:tc>
          <w:tcPr>
            <w:tcW w:w="10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(28,085 )</w:t>
            </w:r>
          </w:p>
        </w:tc>
        <w:tc>
          <w:tcPr>
            <w:tcW w:w="0" w:type="dxa"/>
            <w:vAlign w:val="bottom"/>
          </w:tcPr>
          <w:p>
            <w:pPr>
              <w:spacing w:after="0"/>
              <w:rPr>
                <w:sz w:val="1"/>
                <w:szCs w:val="1"/>
                <w:color w:val="auto"/>
              </w:rPr>
            </w:pPr>
          </w:p>
        </w:tc>
      </w:tr>
      <w:tr>
        <w:trPr>
          <w:trHeight w:val="118"/>
        </w:trPr>
        <w:tc>
          <w:tcPr>
            <w:tcW w:w="1080" w:type="dxa"/>
            <w:vAlign w:val="bottom"/>
            <w:shd w:val="clear" w:color="auto" w:fill="CFF0FC"/>
          </w:tcPr>
          <w:p>
            <w:pPr>
              <w:ind w:left="20"/>
              <w:spacing w:after="0" w:line="119" w:lineRule="exact"/>
              <w:rPr>
                <w:sz w:val="20"/>
                <w:szCs w:val="20"/>
                <w:color w:val="auto"/>
              </w:rPr>
            </w:pPr>
            <w:r>
              <w:rPr>
                <w:rFonts w:ascii="Arial" w:cs="Arial" w:eastAsia="Arial" w:hAnsi="Arial"/>
                <w:sz w:val="11"/>
                <w:szCs w:val="11"/>
                <w:b w:val="1"/>
                <w:bCs w:val="1"/>
                <w:color w:val="auto"/>
              </w:rPr>
              <w:t>Balances at</w:t>
            </w:r>
          </w:p>
        </w:tc>
        <w:tc>
          <w:tcPr>
            <w:tcW w:w="5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b w:val="1"/>
                <w:bCs w:val="1"/>
                <w:color w:val="auto"/>
              </w:rPr>
              <w:t>December</w:t>
            </w: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102,771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5,988,</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(2,317,</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b w:val="1"/>
                <w:bCs w:val="1"/>
                <w:color w:val="auto"/>
              </w:rPr>
              <w:t>31, 2021</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378</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722 )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(748 )</w:t>
            </w: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609,194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(399 )</w:t>
            </w: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(125,857 )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482,201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tcPr>
          <w:p>
            <w:pPr>
              <w:ind w:left="20"/>
              <w:spacing w:after="0"/>
              <w:rPr>
                <w:sz w:val="20"/>
                <w:szCs w:val="20"/>
                <w:color w:val="auto"/>
              </w:rPr>
            </w:pPr>
            <w:r>
              <w:rPr>
                <w:rFonts w:ascii="Arial" w:cs="Arial" w:eastAsia="Arial" w:hAnsi="Arial"/>
                <w:sz w:val="11"/>
                <w:szCs w:val="11"/>
                <w:color w:val="auto"/>
              </w:rPr>
              <w:t>Issuance of</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common</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stock upon</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exercise</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of stock options,</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net</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2,507,0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of tax withheld</w:t>
            </w: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70</w:t>
            </w: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4,745</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4,745</w:t>
            </w:r>
          </w:p>
        </w:tc>
        <w:tc>
          <w:tcPr>
            <w:tcW w:w="100" w:type="dxa"/>
            <w:vAlign w:val="bottom"/>
          </w:tcPr>
          <w:p>
            <w:pPr>
              <w:spacing w:after="0"/>
              <w:rPr>
                <w:sz w:val="12"/>
                <w:szCs w:val="12"/>
                <w:color w:val="auto"/>
              </w:rPr>
            </w:pP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Conversion of</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non-voting</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common stock</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to voting</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common</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66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4,115,0</w:t>
            </w: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(4,115,0</w:t>
            </w: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stock</w:t>
            </w: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shd w:val="clear" w:color="auto" w:fill="CFF0FC"/>
          </w:tcPr>
          <w:p>
            <w:pPr>
              <w:spacing w:after="0"/>
              <w:rPr>
                <w:sz w:val="12"/>
                <w:szCs w:val="12"/>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58</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58 )</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980" w:type="dxa"/>
            <w:vAlign w:val="bottom"/>
            <w:gridSpan w:val="3"/>
            <w:shd w:val="clear" w:color="auto" w:fill="CFF0FC"/>
          </w:tcPr>
          <w:p>
            <w:pPr>
              <w:jc w:val="right"/>
              <w:ind w:right="4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Issuance of</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common</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stock upon</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settlement</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of restricted</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stock</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units</w:t>
            </w: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111,549</w:t>
            </w: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common</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under</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employee stock</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purchase plan</w:t>
            </w: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shd w:val="clear" w:color="auto" w:fill="CFF0FC"/>
          </w:tcPr>
          <w:p>
            <w:pPr>
              <w:spacing w:after="0"/>
              <w:rPr>
                <w:sz w:val="12"/>
                <w:szCs w:val="12"/>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84,812</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1,271</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980" w:type="dxa"/>
            <w:vAlign w:val="bottom"/>
            <w:gridSpan w:val="3"/>
            <w:shd w:val="clear" w:color="auto" w:fill="CFF0FC"/>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1,271</w:t>
            </w:r>
          </w:p>
        </w:tc>
        <w:tc>
          <w:tcPr>
            <w:tcW w:w="100" w:type="dxa"/>
            <w:vAlign w:val="bottom"/>
            <w:shd w:val="clear" w:color="auto" w:fill="CFF0FC"/>
          </w:tcPr>
          <w:p>
            <w:pPr>
              <w:spacing w:after="0"/>
              <w:rPr>
                <w:sz w:val="12"/>
                <w:szCs w:val="12"/>
                <w:color w:val="auto"/>
              </w:rPr>
            </w:pP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Issuance of</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common</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stock as</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consideration</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for acquisition</w:t>
            </w: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200,314</w:t>
            </w: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4,287</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4,287</w:t>
            </w:r>
          </w:p>
        </w:tc>
        <w:tc>
          <w:tcPr>
            <w:tcW w:w="100" w:type="dxa"/>
            <w:vAlign w:val="bottom"/>
          </w:tcPr>
          <w:p>
            <w:pPr>
              <w:spacing w:after="0"/>
              <w:rPr>
                <w:sz w:val="12"/>
                <w:szCs w:val="12"/>
                <w:color w:val="auto"/>
              </w:rPr>
            </w:pP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Foreign currency</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translation</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adjustment</w:t>
            </w: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(1,513 )</w:t>
            </w:r>
          </w:p>
        </w:tc>
        <w:tc>
          <w:tcPr>
            <w:tcW w:w="980" w:type="dxa"/>
            <w:vAlign w:val="bottom"/>
            <w:gridSpan w:val="3"/>
            <w:shd w:val="clear" w:color="auto" w:fill="CFF0FC"/>
          </w:tcPr>
          <w:p>
            <w:pPr>
              <w:jc w:val="right"/>
              <w:ind w:right="4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(1,513 )</w:t>
            </w: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Stock-based</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compensation</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expense</w:t>
            </w: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30,259</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30,259</w:t>
            </w:r>
          </w:p>
        </w:tc>
        <w:tc>
          <w:tcPr>
            <w:tcW w:w="100" w:type="dxa"/>
            <w:vAlign w:val="bottom"/>
          </w:tcPr>
          <w:p>
            <w:pPr>
              <w:spacing w:after="0"/>
              <w:rPr>
                <w:sz w:val="12"/>
                <w:szCs w:val="12"/>
                <w:color w:val="auto"/>
              </w:rPr>
            </w:pPr>
          </w:p>
        </w:tc>
      </w:tr>
      <w:tr>
        <w:trPr>
          <w:trHeight w:val="148"/>
        </w:trPr>
        <w:tc>
          <w:tcPr>
            <w:tcW w:w="1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(39,347 )</w:t>
            </w:r>
          </w:p>
        </w:tc>
        <w:tc>
          <w:tcPr>
            <w:tcW w:w="1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(39,347 )</w:t>
            </w:r>
          </w:p>
        </w:tc>
      </w:tr>
      <w:tr>
        <w:trPr>
          <w:trHeight w:val="118"/>
        </w:trPr>
        <w:tc>
          <w:tcPr>
            <w:tcW w:w="1080" w:type="dxa"/>
            <w:vAlign w:val="bottom"/>
            <w:tcBorders>
              <w:top w:val="single" w:sz="8" w:color="CFF0FC"/>
            </w:tcBorders>
          </w:tcPr>
          <w:p>
            <w:pPr>
              <w:ind w:left="20"/>
              <w:spacing w:after="0" w:line="119" w:lineRule="exact"/>
              <w:rPr>
                <w:sz w:val="20"/>
                <w:szCs w:val="20"/>
                <w:color w:val="auto"/>
              </w:rPr>
            </w:pPr>
            <w:r>
              <w:rPr>
                <w:rFonts w:ascii="Arial" w:cs="Arial" w:eastAsia="Arial" w:hAnsi="Arial"/>
                <w:sz w:val="11"/>
                <w:szCs w:val="11"/>
                <w:b w:val="1"/>
                <w:bCs w:val="1"/>
                <w:color w:val="auto"/>
              </w:rPr>
              <w:t>Balances at</w:t>
            </w: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December</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109,790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1,873,3</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(2,317,</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8"/>
        </w:trPr>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31, 2022</w:t>
            </w: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800" w:type="dxa"/>
            <w:vAlign w:val="bottom"/>
            <w:gridSpan w:val="3"/>
          </w:tcPr>
          <w:p>
            <w:pPr>
              <w:jc w:val="right"/>
              <w:spacing w:after="0"/>
              <w:rPr>
                <w:sz w:val="20"/>
                <w:szCs w:val="20"/>
                <w:color w:val="auto"/>
              </w:rPr>
            </w:pPr>
            <w:r>
              <w:rPr>
                <w:rFonts w:ascii="Arial" w:cs="Arial" w:eastAsia="Arial" w:hAnsi="Arial"/>
                <w:sz w:val="11"/>
                <w:szCs w:val="11"/>
                <w:color w:val="auto"/>
              </w:rPr>
              <w:t>,702</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  10</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20</w:t>
            </w: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    1</w:t>
            </w:r>
          </w:p>
        </w:tc>
        <w:tc>
          <w:tcPr>
            <w:tcW w:w="960" w:type="dxa"/>
            <w:vAlign w:val="bottom"/>
            <w:gridSpan w:val="3"/>
          </w:tcPr>
          <w:p>
            <w:pPr>
              <w:jc w:val="right"/>
              <w:ind w:right="160"/>
              <w:spacing w:after="0"/>
              <w:rPr>
                <w:sz w:val="20"/>
                <w:szCs w:val="20"/>
                <w:color w:val="auto"/>
              </w:rPr>
            </w:pPr>
            <w:r>
              <w:rPr>
                <w:rFonts w:ascii="Arial" w:cs="Arial" w:eastAsia="Arial" w:hAnsi="Arial"/>
                <w:sz w:val="11"/>
                <w:szCs w:val="11"/>
                <w:color w:val="auto"/>
              </w:rPr>
              <w:t>722 )</w:t>
            </w: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w w:val="97"/>
              </w:rPr>
              <w:t>$  (748 )</w:t>
            </w:r>
          </w:p>
        </w:tc>
        <w:tc>
          <w:tcPr>
            <w:tcW w:w="580" w:type="dxa"/>
            <w:vAlign w:val="bottom"/>
          </w:tcPr>
          <w:p>
            <w:pPr>
              <w:jc w:val="right"/>
              <w:spacing w:after="0"/>
              <w:rPr>
                <w:sz w:val="20"/>
                <w:szCs w:val="20"/>
                <w:color w:val="auto"/>
              </w:rPr>
            </w:pPr>
            <w:r>
              <w:rPr>
                <w:rFonts w:ascii="Arial" w:cs="Arial" w:eastAsia="Arial" w:hAnsi="Arial"/>
                <w:sz w:val="11"/>
                <w:szCs w:val="11"/>
                <w:color w:val="auto"/>
              </w:rPr>
              <w:t>$  649,756</w:t>
            </w:r>
          </w:p>
        </w:tc>
        <w:tc>
          <w:tcPr>
            <w:tcW w:w="1000" w:type="dxa"/>
            <w:vAlign w:val="bottom"/>
            <w:gridSpan w:val="3"/>
          </w:tcPr>
          <w:p>
            <w:pPr>
              <w:jc w:val="right"/>
              <w:ind w:right="160"/>
              <w:spacing w:after="0"/>
              <w:rPr>
                <w:sz w:val="20"/>
                <w:szCs w:val="20"/>
                <w:color w:val="auto"/>
              </w:rPr>
            </w:pPr>
            <w:r>
              <w:rPr>
                <w:rFonts w:ascii="Arial" w:cs="Arial" w:eastAsia="Arial" w:hAnsi="Arial"/>
                <w:sz w:val="11"/>
                <w:szCs w:val="11"/>
                <w:color w:val="auto"/>
              </w:rPr>
              <w:t>$   (1,912 )</w:t>
            </w:r>
          </w:p>
        </w:tc>
        <w:tc>
          <w:tcPr>
            <w:tcW w:w="980" w:type="dxa"/>
            <w:vAlign w:val="bottom"/>
            <w:gridSpan w:val="3"/>
          </w:tcPr>
          <w:p>
            <w:pPr>
              <w:jc w:val="right"/>
              <w:ind w:right="100"/>
              <w:spacing w:after="0"/>
              <w:rPr>
                <w:sz w:val="20"/>
                <w:szCs w:val="20"/>
                <w:color w:val="auto"/>
              </w:rPr>
            </w:pPr>
            <w:r>
              <w:rPr>
                <w:rFonts w:ascii="Arial" w:cs="Arial" w:eastAsia="Arial" w:hAnsi="Arial"/>
                <w:sz w:val="11"/>
                <w:szCs w:val="11"/>
                <w:color w:val="auto"/>
              </w:rPr>
              <w:t>$ (165,204 )   $</w:t>
            </w:r>
          </w:p>
        </w:tc>
        <w:tc>
          <w:tcPr>
            <w:tcW w:w="500" w:type="dxa"/>
            <w:vAlign w:val="bottom"/>
          </w:tcPr>
          <w:p>
            <w:pPr>
              <w:jc w:val="right"/>
              <w:spacing w:after="0"/>
              <w:rPr>
                <w:sz w:val="20"/>
                <w:szCs w:val="20"/>
                <w:color w:val="auto"/>
              </w:rPr>
            </w:pPr>
            <w:r>
              <w:rPr>
                <w:rFonts w:ascii="Arial" w:cs="Arial" w:eastAsia="Arial" w:hAnsi="Arial"/>
                <w:sz w:val="11"/>
                <w:szCs w:val="11"/>
                <w:color w:val="auto"/>
              </w:rPr>
              <w:t>481,903</w:t>
            </w: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-255905</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-255905</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-255905</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-255905</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-255905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-255905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-255905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-255905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-255905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-255905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-255905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-255905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-255905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-255905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common</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in</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connection</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with public</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offering,</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net of</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underwriter</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discounts and</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66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8,500,0</w:t>
            </w: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commissions</w:t>
            </w: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shd w:val="clear" w:color="auto" w:fill="CFF0FC"/>
          </w:tcPr>
          <w:p>
            <w:pPr>
              <w:spacing w:after="0"/>
              <w:rPr>
                <w:sz w:val="12"/>
                <w:szCs w:val="12"/>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00</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261,119</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261,120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Costs incurred in</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connection with</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public offering</w:t>
            </w: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(1,062 )</w:t>
            </w:r>
          </w:p>
        </w:tc>
        <w:tc>
          <w:tcPr>
            <w:tcW w:w="2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(1,062 )</w:t>
            </w:r>
          </w:p>
        </w:tc>
        <w:tc>
          <w:tcPr>
            <w:tcW w:w="0" w:type="dxa"/>
            <w:vAlign w:val="bottom"/>
          </w:tcPr>
          <w:p>
            <w:pPr>
              <w:spacing w:after="0"/>
              <w:rPr>
                <w:sz w:val="1"/>
                <w:szCs w:val="1"/>
                <w:color w:val="auto"/>
              </w:rPr>
            </w:pP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treasury</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stock</w:t>
            </w: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2,677</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(1 )</w:t>
            </w: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4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Issuance of</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common</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stock upon</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exercise</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of stock options,</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net</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3,339,5</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of tax withheld</w:t>
            </w: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87</w:t>
            </w: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1,877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1,877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common</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upon</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settlement</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of restricted</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stock</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66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1,192,3</w:t>
            </w: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units</w:t>
            </w: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shd w:val="clear" w:color="auto" w:fill="CFF0FC"/>
          </w:tcPr>
          <w:p>
            <w:pPr>
              <w:spacing w:after="0"/>
              <w:rPr>
                <w:sz w:val="12"/>
                <w:szCs w:val="12"/>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62</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4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Issuance of</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common</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stock for</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retention</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bonus</w:t>
            </w: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42,498</w:t>
            </w: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1,196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1,196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common</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under</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employee stock</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purchase plan</w:t>
            </w: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shd w:val="clear" w:color="auto" w:fill="CFF0FC"/>
          </w:tcPr>
          <w:p>
            <w:pPr>
              <w:spacing w:after="0"/>
              <w:rPr>
                <w:sz w:val="12"/>
                <w:szCs w:val="12"/>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145,058</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2,691</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Arial" w:cs="Arial" w:eastAsia="Arial" w:hAnsi="Arial"/>
                <w:sz w:val="11"/>
                <w:szCs w:val="11"/>
                <w:color w:val="auto"/>
              </w:rPr>
              <w:t>Foreign currency</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20"/>
              <w:spacing w:after="0" w:line="122" w:lineRule="exact"/>
              <w:rPr>
                <w:sz w:val="20"/>
                <w:szCs w:val="20"/>
                <w:color w:val="auto"/>
              </w:rPr>
            </w:pPr>
            <w:r>
              <w:rPr>
                <w:rFonts w:ascii="Arial" w:cs="Arial" w:eastAsia="Arial" w:hAnsi="Arial"/>
                <w:sz w:val="11"/>
                <w:szCs w:val="11"/>
                <w:color w:val="auto"/>
              </w:rPr>
              <w:t>translation</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80" w:type="dxa"/>
            <w:vAlign w:val="bottom"/>
          </w:tcPr>
          <w:p>
            <w:pPr>
              <w:ind w:left="120"/>
              <w:spacing w:after="0"/>
              <w:rPr>
                <w:sz w:val="20"/>
                <w:szCs w:val="20"/>
                <w:color w:val="auto"/>
              </w:rPr>
            </w:pPr>
            <w:r>
              <w:rPr>
                <w:rFonts w:ascii="Arial" w:cs="Arial" w:eastAsia="Arial" w:hAnsi="Arial"/>
                <w:sz w:val="11"/>
                <w:szCs w:val="11"/>
                <w:color w:val="auto"/>
              </w:rPr>
              <w:t>adjustment</w:t>
            </w: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3,232</w:t>
            </w:r>
          </w:p>
        </w:tc>
        <w:tc>
          <w:tcPr>
            <w:tcW w:w="220" w:type="dxa"/>
            <w:vAlign w:val="bottom"/>
          </w:tcPr>
          <w:p>
            <w:pPr>
              <w:spacing w:after="0"/>
              <w:rPr>
                <w:sz w:val="12"/>
                <w:szCs w:val="12"/>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0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Stock-based</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compensation</w:t>
            </w: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expense</w:t>
            </w: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43,726</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43,726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ind w:left="20"/>
              <w:spacing w:after="0"/>
              <w:rPr>
                <w:sz w:val="20"/>
                <w:szCs w:val="20"/>
                <w:color w:val="auto"/>
              </w:rPr>
            </w:pPr>
            <w:r>
              <w:rPr>
                <w:rFonts w:ascii="Arial" w:cs="Arial" w:eastAsia="Arial" w:hAnsi="Arial"/>
                <w:sz w:val="11"/>
                <w:szCs w:val="11"/>
                <w:color w:val="auto"/>
              </w:rPr>
              <w:t>Net loss</w:t>
            </w: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(8,566 )</w:t>
            </w:r>
          </w:p>
        </w:tc>
        <w:tc>
          <w:tcPr>
            <w:tcW w:w="1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(8,566 )</w:t>
            </w:r>
          </w:p>
        </w:tc>
        <w:tc>
          <w:tcPr>
            <w:tcW w:w="0" w:type="dxa"/>
            <w:vAlign w:val="bottom"/>
          </w:tcPr>
          <w:p>
            <w:pPr>
              <w:spacing w:after="0"/>
              <w:rPr>
                <w:sz w:val="1"/>
                <w:szCs w:val="1"/>
                <w:color w:val="auto"/>
              </w:rPr>
            </w:pPr>
          </w:p>
        </w:tc>
      </w:tr>
      <w:tr>
        <w:trPr>
          <w:trHeight w:val="118"/>
        </w:trPr>
        <w:tc>
          <w:tcPr>
            <w:tcW w:w="1080" w:type="dxa"/>
            <w:vAlign w:val="bottom"/>
            <w:shd w:val="clear" w:color="auto" w:fill="CFF0FC"/>
          </w:tcPr>
          <w:p>
            <w:pPr>
              <w:ind w:left="20"/>
              <w:spacing w:after="0" w:line="119" w:lineRule="exact"/>
              <w:rPr>
                <w:sz w:val="20"/>
                <w:szCs w:val="20"/>
                <w:color w:val="auto"/>
              </w:rPr>
            </w:pPr>
            <w:r>
              <w:rPr>
                <w:rFonts w:ascii="Arial" w:cs="Arial" w:eastAsia="Arial" w:hAnsi="Arial"/>
                <w:sz w:val="11"/>
                <w:szCs w:val="11"/>
                <w:b w:val="1"/>
                <w:bCs w:val="1"/>
                <w:color w:val="auto"/>
              </w:rPr>
              <w:t>Balances at</w:t>
            </w:r>
          </w:p>
        </w:tc>
        <w:tc>
          <w:tcPr>
            <w:tcW w:w="5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10"/>
                <w:szCs w:val="10"/>
                <w:color w:val="auto"/>
              </w:rPr>
            </w:pPr>
          </w:p>
        </w:tc>
        <w:tc>
          <w:tcPr>
            <w:tcW w:w="5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123,010</w:t>
            </w:r>
          </w:p>
        </w:tc>
        <w:tc>
          <w:tcPr>
            <w:tcW w:w="220" w:type="dxa"/>
            <w:vAlign w:val="bottom"/>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20" w:type="dxa"/>
            <w:vAlign w:val="bottom"/>
            <w:vMerge w:val="restart"/>
            <w:shd w:val="clear" w:color="auto" w:fill="CFF0FC"/>
          </w:tcPr>
          <w:p>
            <w:pPr>
              <w:spacing w:after="0"/>
              <w:rPr>
                <w:sz w:val="10"/>
                <w:szCs w:val="10"/>
                <w:color w:val="auto"/>
              </w:rPr>
            </w:pPr>
          </w:p>
        </w:tc>
        <w:tc>
          <w:tcPr>
            <w:tcW w:w="5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1,873,3</w:t>
            </w:r>
          </w:p>
        </w:tc>
        <w:tc>
          <w:tcPr>
            <w:tcW w:w="220" w:type="dxa"/>
            <w:vAlign w:val="bottom"/>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20" w:type="dxa"/>
            <w:vAlign w:val="bottom"/>
            <w:vMerge w:val="restart"/>
            <w:shd w:val="clear" w:color="auto" w:fill="CFF0FC"/>
          </w:tcPr>
          <w:p>
            <w:pPr>
              <w:spacing w:after="0"/>
              <w:rPr>
                <w:sz w:val="10"/>
                <w:szCs w:val="10"/>
                <w:color w:val="auto"/>
              </w:rPr>
            </w:pPr>
          </w:p>
        </w:tc>
        <w:tc>
          <w:tcPr>
            <w:tcW w:w="5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(2,315,</w:t>
            </w:r>
          </w:p>
        </w:tc>
        <w:tc>
          <w:tcPr>
            <w:tcW w:w="220" w:type="dxa"/>
            <w:vAlign w:val="bottom"/>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80" w:type="dxa"/>
            <w:vAlign w:val="bottom"/>
            <w:vMerge w:val="restart"/>
            <w:shd w:val="clear" w:color="auto" w:fill="CFF0FC"/>
          </w:tcPr>
          <w:p>
            <w:pPr>
              <w:ind w:left="20"/>
              <w:spacing w:after="0" w:line="122" w:lineRule="exact"/>
              <w:rPr>
                <w:sz w:val="20"/>
                <w:szCs w:val="20"/>
                <w:color w:val="auto"/>
              </w:rPr>
            </w:pPr>
            <w:r>
              <w:rPr>
                <w:rFonts w:ascii="Arial" w:cs="Arial" w:eastAsia="Arial" w:hAnsi="Arial"/>
                <w:sz w:val="11"/>
                <w:szCs w:val="11"/>
                <w:b w:val="1"/>
                <w:bCs w:val="1"/>
                <w:color w:val="auto"/>
              </w:rPr>
              <w:t>December</w:t>
            </w:r>
          </w:p>
        </w:tc>
        <w:tc>
          <w:tcPr>
            <w:tcW w:w="5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40" w:type="dxa"/>
            <w:vAlign w:val="bottom"/>
            <w:tcBorders>
              <w:right w:val="single" w:sz="8" w:color="auto"/>
            </w:tcBorders>
            <w:shd w:val="clear" w:color="auto" w:fill="CFF0FC"/>
          </w:tcPr>
          <w:p>
            <w:pPr>
              <w:spacing w:after="0"/>
              <w:rPr>
                <w:sz w:val="7"/>
                <w:szCs w:val="7"/>
                <w:color w:val="auto"/>
              </w:rPr>
            </w:pPr>
          </w:p>
        </w:tc>
        <w:tc>
          <w:tcPr>
            <w:tcW w:w="100" w:type="dxa"/>
            <w:vAlign w:val="bottom"/>
            <w:vMerge w:val="continue"/>
            <w:shd w:val="clear" w:color="auto" w:fill="CFF0FC"/>
          </w:tcPr>
          <w:p>
            <w:pPr>
              <w:spacing w:after="0"/>
              <w:rPr>
                <w:sz w:val="7"/>
                <w:szCs w:val="7"/>
                <w:color w:val="auto"/>
              </w:rPr>
            </w:pPr>
          </w:p>
        </w:tc>
        <w:tc>
          <w:tcPr>
            <w:tcW w:w="560" w:type="dxa"/>
            <w:vAlign w:val="bottom"/>
            <w:vMerge w:val="continue"/>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220" w:type="dxa"/>
            <w:vAlign w:val="bottom"/>
            <w:vMerge w:val="continue"/>
            <w:shd w:val="clear" w:color="auto" w:fill="CFF0FC"/>
          </w:tcPr>
          <w:p>
            <w:pPr>
              <w:spacing w:after="0"/>
              <w:rPr>
                <w:sz w:val="7"/>
                <w:szCs w:val="7"/>
                <w:color w:val="auto"/>
              </w:rPr>
            </w:pPr>
          </w:p>
        </w:tc>
        <w:tc>
          <w:tcPr>
            <w:tcW w:w="520" w:type="dxa"/>
            <w:vAlign w:val="bottom"/>
            <w:vMerge w:val="continue"/>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220" w:type="dxa"/>
            <w:vAlign w:val="bottom"/>
            <w:vMerge w:val="continue"/>
            <w:shd w:val="clear" w:color="auto" w:fill="CFF0FC"/>
          </w:tcPr>
          <w:p>
            <w:pPr>
              <w:spacing w:after="0"/>
              <w:rPr>
                <w:sz w:val="7"/>
                <w:szCs w:val="7"/>
                <w:color w:val="auto"/>
              </w:rPr>
            </w:pPr>
          </w:p>
        </w:tc>
        <w:tc>
          <w:tcPr>
            <w:tcW w:w="520" w:type="dxa"/>
            <w:vAlign w:val="bottom"/>
            <w:vMerge w:val="continue"/>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080" w:type="dxa"/>
            <w:vAlign w:val="bottom"/>
            <w:vMerge w:val="continue"/>
            <w:shd w:val="clear" w:color="auto" w:fill="CFF0FC"/>
          </w:tcPr>
          <w:p>
            <w:pPr>
              <w:spacing w:after="0"/>
              <w:rPr>
                <w:sz w:val="3"/>
                <w:szCs w:val="3"/>
                <w:color w:val="auto"/>
              </w:rPr>
            </w:pPr>
          </w:p>
        </w:tc>
        <w:tc>
          <w:tcPr>
            <w:tcW w:w="520" w:type="dxa"/>
            <w:vAlign w:val="bottom"/>
            <w:vMerge w:val="restart"/>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3"/>
                <w:szCs w:val="3"/>
                <w:color w:val="auto"/>
              </w:rPr>
            </w:pPr>
          </w:p>
        </w:tc>
        <w:tc>
          <w:tcPr>
            <w:tcW w:w="520" w:type="dxa"/>
            <w:vAlign w:val="bottom"/>
            <w:vMerge w:val="restart"/>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3"/>
                <w:szCs w:val="3"/>
                <w:color w:val="auto"/>
              </w:rPr>
            </w:pPr>
          </w:p>
        </w:tc>
        <w:tc>
          <w:tcPr>
            <w:tcW w:w="500" w:type="dxa"/>
            <w:vAlign w:val="bottom"/>
            <w:vMerge w:val="restart"/>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3"/>
                <w:szCs w:val="3"/>
                <w:color w:val="auto"/>
              </w:rPr>
            </w:pPr>
          </w:p>
        </w:tc>
        <w:tc>
          <w:tcPr>
            <w:tcW w:w="500" w:type="dxa"/>
            <w:vAlign w:val="bottom"/>
            <w:vMerge w:val="restart"/>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140" w:type="dxa"/>
            <w:vAlign w:val="bottom"/>
            <w:tcBorders>
              <w:right w:val="single" w:sz="8" w:color="auto"/>
            </w:tcBorders>
            <w:shd w:val="clear" w:color="auto" w:fill="CFF0FC"/>
          </w:tcPr>
          <w:p>
            <w:pPr>
              <w:spacing w:after="0"/>
              <w:rPr>
                <w:sz w:val="3"/>
                <w:szCs w:val="3"/>
                <w:color w:val="auto"/>
              </w:rPr>
            </w:pPr>
          </w:p>
        </w:tc>
        <w:tc>
          <w:tcPr>
            <w:tcW w:w="100" w:type="dxa"/>
            <w:vAlign w:val="bottom"/>
            <w:vMerge w:val="restart"/>
            <w:shd w:val="clear" w:color="auto" w:fill="CFF0FC"/>
          </w:tcPr>
          <w:p>
            <w:pPr>
              <w:spacing w:after="0"/>
              <w:rPr>
                <w:sz w:val="3"/>
                <w:szCs w:val="3"/>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,207</w:t>
            </w:r>
          </w:p>
        </w:tc>
        <w:tc>
          <w:tcPr>
            <w:tcW w:w="220" w:type="dxa"/>
            <w:vAlign w:val="bottom"/>
            <w:vMerge w:val="restart"/>
            <w:shd w:val="clear" w:color="auto" w:fill="CFF0FC"/>
          </w:tcPr>
          <w:p>
            <w:pPr>
              <w:spacing w:after="0"/>
              <w:rPr>
                <w:sz w:val="3"/>
                <w:szCs w:val="3"/>
                <w:color w:val="auto"/>
              </w:rPr>
            </w:pP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   11</w:t>
            </w:r>
          </w:p>
        </w:tc>
        <w:tc>
          <w:tcPr>
            <w:tcW w:w="220" w:type="dxa"/>
            <w:vAlign w:val="bottom"/>
            <w:vMerge w:val="restart"/>
            <w:shd w:val="clear" w:color="auto" w:fill="CFF0FC"/>
          </w:tcPr>
          <w:p>
            <w:pPr>
              <w:spacing w:after="0"/>
              <w:rPr>
                <w:sz w:val="3"/>
                <w:szCs w:val="3"/>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20</w:t>
            </w:r>
          </w:p>
        </w:tc>
        <w:tc>
          <w:tcPr>
            <w:tcW w:w="220" w:type="dxa"/>
            <w:vAlign w:val="bottom"/>
            <w:vMerge w:val="restart"/>
            <w:shd w:val="clear" w:color="auto" w:fill="CFF0FC"/>
          </w:tcPr>
          <w:p>
            <w:pPr>
              <w:spacing w:after="0"/>
              <w:rPr>
                <w:sz w:val="3"/>
                <w:szCs w:val="3"/>
                <w:color w:val="auto"/>
              </w:rPr>
            </w:pP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    1</w:t>
            </w:r>
          </w:p>
        </w:tc>
        <w:tc>
          <w:tcPr>
            <w:tcW w:w="220" w:type="dxa"/>
            <w:vAlign w:val="bottom"/>
            <w:vMerge w:val="restart"/>
            <w:shd w:val="clear" w:color="auto" w:fill="CFF0FC"/>
          </w:tcPr>
          <w:p>
            <w:pPr>
              <w:spacing w:after="0"/>
              <w:rPr>
                <w:sz w:val="3"/>
                <w:szCs w:val="3"/>
                <w:color w:val="auto"/>
              </w:rPr>
            </w:pPr>
          </w:p>
        </w:tc>
        <w:tc>
          <w:tcPr>
            <w:tcW w:w="7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045 )</w:t>
            </w:r>
          </w:p>
        </w:tc>
        <w:tc>
          <w:tcPr>
            <w:tcW w:w="6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w w:val="97"/>
              </w:rPr>
              <w:t>$  (747 )</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  959,302</w:t>
            </w:r>
          </w:p>
        </w:tc>
        <w:tc>
          <w:tcPr>
            <w:tcW w:w="200" w:type="dxa"/>
            <w:vAlign w:val="bottom"/>
            <w:shd w:val="clear" w:color="auto" w:fill="CFF0FC"/>
          </w:tcPr>
          <w:p>
            <w:pPr>
              <w:spacing w:after="0"/>
              <w:rPr>
                <w:sz w:val="3"/>
                <w:szCs w:val="3"/>
                <w:color w:val="auto"/>
              </w:rPr>
            </w:pPr>
          </w:p>
        </w:tc>
        <w:tc>
          <w:tcPr>
            <w:tcW w:w="200" w:type="dxa"/>
            <w:vAlign w:val="bottom"/>
            <w:vMerge w:val="restart"/>
            <w:shd w:val="clear" w:color="auto" w:fill="CFF0FC"/>
          </w:tcPr>
          <w:p>
            <w:pPr>
              <w:jc w:val="right"/>
              <w:ind w:right="66"/>
              <w:spacing w:after="0"/>
              <w:rPr>
                <w:sz w:val="20"/>
                <w:szCs w:val="20"/>
                <w:color w:val="auto"/>
              </w:rPr>
            </w:pPr>
            <w:r>
              <w:rPr>
                <w:rFonts w:ascii="Arial" w:cs="Arial" w:eastAsia="Arial" w:hAnsi="Arial"/>
                <w:sz w:val="11"/>
                <w:szCs w:val="11"/>
                <w:color w:val="auto"/>
                <w:w w:val="97"/>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1,320</w:t>
            </w:r>
          </w:p>
        </w:tc>
        <w:tc>
          <w:tcPr>
            <w:tcW w:w="1200" w:type="dxa"/>
            <w:vAlign w:val="bottom"/>
            <w:gridSpan w:val="4"/>
            <w:vMerge w:val="restart"/>
            <w:shd w:val="clear" w:color="auto" w:fill="CFF0FC"/>
          </w:tcPr>
          <w:p>
            <w:pPr>
              <w:jc w:val="right"/>
              <w:ind w:right="100"/>
              <w:spacing w:after="0"/>
              <w:rPr>
                <w:sz w:val="20"/>
                <w:szCs w:val="20"/>
                <w:color w:val="auto"/>
              </w:rPr>
            </w:pPr>
            <w:r>
              <w:rPr>
                <w:rFonts w:ascii="Arial" w:cs="Arial" w:eastAsia="Arial" w:hAnsi="Arial"/>
                <w:sz w:val="11"/>
                <w:szCs w:val="11"/>
                <w:color w:val="auto"/>
              </w:rPr>
              <w:t>$ (173,770 )   $</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786,117</w:t>
            </w: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FF0FC"/>
          </w:tcPr>
          <w:p>
            <w:pPr>
              <w:ind w:left="120"/>
              <w:spacing w:after="0" w:line="88" w:lineRule="exact"/>
              <w:rPr>
                <w:sz w:val="20"/>
                <w:szCs w:val="20"/>
                <w:color w:val="auto"/>
              </w:rPr>
            </w:pPr>
            <w:r>
              <w:rPr>
                <w:rFonts w:ascii="Arial" w:cs="Arial" w:eastAsia="Arial" w:hAnsi="Arial"/>
                <w:sz w:val="10"/>
                <w:szCs w:val="10"/>
                <w:b w:val="1"/>
                <w:bCs w:val="1"/>
                <w:color w:val="auto"/>
              </w:rPr>
              <w:t>31, 2023</w:t>
            </w:r>
          </w:p>
        </w:tc>
        <w:tc>
          <w:tcPr>
            <w:tcW w:w="52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2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220" w:type="dxa"/>
            <w:vAlign w:val="bottom"/>
            <w:vMerge w:val="continue"/>
            <w:shd w:val="clear" w:color="auto" w:fill="CFF0FC"/>
          </w:tcPr>
          <w:p>
            <w:pPr>
              <w:spacing w:after="0"/>
              <w:rPr>
                <w:sz w:val="11"/>
                <w:szCs w:val="11"/>
                <w:color w:val="auto"/>
              </w:rPr>
            </w:pPr>
          </w:p>
        </w:tc>
        <w:tc>
          <w:tcPr>
            <w:tcW w:w="340" w:type="dxa"/>
            <w:vAlign w:val="bottom"/>
            <w:vMerge w:val="continue"/>
            <w:shd w:val="clear" w:color="auto" w:fill="CFF0FC"/>
          </w:tcPr>
          <w:p>
            <w:pPr>
              <w:spacing w:after="0"/>
              <w:rPr>
                <w:sz w:val="11"/>
                <w:szCs w:val="11"/>
                <w:color w:val="auto"/>
              </w:rPr>
            </w:pPr>
          </w:p>
        </w:tc>
        <w:tc>
          <w:tcPr>
            <w:tcW w:w="220" w:type="dxa"/>
            <w:vAlign w:val="bottom"/>
            <w:vMerge w:val="continue"/>
            <w:shd w:val="clear" w:color="auto" w:fill="CFF0FC"/>
          </w:tcPr>
          <w:p>
            <w:pPr>
              <w:spacing w:after="0"/>
              <w:rPr>
                <w:sz w:val="11"/>
                <w:szCs w:val="11"/>
                <w:color w:val="auto"/>
              </w:rPr>
            </w:pPr>
          </w:p>
        </w:tc>
        <w:tc>
          <w:tcPr>
            <w:tcW w:w="520" w:type="dxa"/>
            <w:vAlign w:val="bottom"/>
            <w:vMerge w:val="continue"/>
            <w:shd w:val="clear" w:color="auto" w:fill="CFF0FC"/>
          </w:tcPr>
          <w:p>
            <w:pPr>
              <w:spacing w:after="0"/>
              <w:rPr>
                <w:sz w:val="11"/>
                <w:szCs w:val="11"/>
                <w:color w:val="auto"/>
              </w:rPr>
            </w:pPr>
          </w:p>
        </w:tc>
        <w:tc>
          <w:tcPr>
            <w:tcW w:w="220" w:type="dxa"/>
            <w:vAlign w:val="bottom"/>
            <w:vMerge w:val="continue"/>
            <w:shd w:val="clear" w:color="auto" w:fill="CFF0FC"/>
          </w:tcPr>
          <w:p>
            <w:pPr>
              <w:spacing w:after="0"/>
              <w:rPr>
                <w:sz w:val="11"/>
                <w:szCs w:val="11"/>
                <w:color w:val="auto"/>
              </w:rPr>
            </w:pPr>
          </w:p>
        </w:tc>
        <w:tc>
          <w:tcPr>
            <w:tcW w:w="340" w:type="dxa"/>
            <w:vAlign w:val="bottom"/>
            <w:vMerge w:val="continue"/>
            <w:shd w:val="clear" w:color="auto" w:fill="CFF0FC"/>
          </w:tcPr>
          <w:p>
            <w:pPr>
              <w:spacing w:after="0"/>
              <w:rPr>
                <w:sz w:val="11"/>
                <w:szCs w:val="11"/>
                <w:color w:val="auto"/>
              </w:rPr>
            </w:pPr>
          </w:p>
        </w:tc>
        <w:tc>
          <w:tcPr>
            <w:tcW w:w="220" w:type="dxa"/>
            <w:vAlign w:val="bottom"/>
            <w:vMerge w:val="continue"/>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600" w:type="dxa"/>
            <w:vAlign w:val="bottom"/>
            <w:gridSpan w:val="2"/>
            <w:vMerge w:val="continue"/>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vMerge w:val="continue"/>
            <w:shd w:val="clear" w:color="auto" w:fill="CFF0FC"/>
          </w:tcPr>
          <w:p>
            <w:pPr>
              <w:spacing w:after="0"/>
              <w:rPr>
                <w:sz w:val="11"/>
                <w:szCs w:val="11"/>
                <w:color w:val="auto"/>
              </w:rPr>
            </w:pPr>
          </w:p>
        </w:tc>
        <w:tc>
          <w:tcPr>
            <w:tcW w:w="380" w:type="dxa"/>
            <w:vAlign w:val="bottom"/>
            <w:vMerge w:val="continue"/>
            <w:shd w:val="clear" w:color="auto" w:fill="CFF0FC"/>
          </w:tcPr>
          <w:p>
            <w:pPr>
              <w:spacing w:after="0"/>
              <w:rPr>
                <w:sz w:val="11"/>
                <w:szCs w:val="11"/>
                <w:color w:val="auto"/>
              </w:rPr>
            </w:pPr>
          </w:p>
        </w:tc>
        <w:tc>
          <w:tcPr>
            <w:tcW w:w="1200" w:type="dxa"/>
            <w:vAlign w:val="bottom"/>
            <w:gridSpan w:val="4"/>
            <w:vMerge w:val="continue"/>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-24765</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-7620</wp:posOffset>
            </wp:positionV>
            <wp:extent cx="76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-24765</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-7620</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-24765</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-7620</wp:posOffset>
            </wp:positionV>
            <wp:extent cx="768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-24765</wp:posOffset>
            </wp:positionV>
            <wp:extent cx="76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-7620</wp:posOffset>
            </wp:positionV>
            <wp:extent cx="768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-24765</wp:posOffset>
            </wp:positionV>
            <wp:extent cx="768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-7620</wp:posOffset>
            </wp:positionV>
            <wp:extent cx="768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-24765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-24765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-24765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-24765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-7620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-24765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40"/>
        <w:spacing w:after="0"/>
        <w:rPr>
          <w:sz w:val="20"/>
          <w:szCs w:val="20"/>
          <w:color w:val="auto"/>
        </w:rPr>
      </w:pPr>
      <w:r>
        <w:rPr>
          <w:rFonts w:ascii="Arial" w:cs="Arial" w:eastAsia="Arial" w:hAnsi="Arial"/>
          <w:sz w:val="18"/>
          <w:szCs w:val="18"/>
          <w:color w:val="auto"/>
        </w:rPr>
        <w:t>(Amounts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28"/>
              <w:spacing w:after="0"/>
              <w:rPr>
                <w:sz w:val="20"/>
                <w:szCs w:val="20"/>
                <w:color w:val="auto"/>
              </w:rPr>
            </w:pPr>
            <w:r>
              <w:rPr>
                <w:rFonts w:ascii="Arial" w:cs="Arial" w:eastAsia="Arial" w:hAnsi="Arial"/>
                <w:sz w:val="16"/>
                <w:szCs w:val="16"/>
                <w:color w:val="auto"/>
              </w:rPr>
              <w:t>(8,566 )</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(39,347 )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(28,085 )</w:t>
            </w:r>
          </w:p>
        </w:tc>
      </w:tr>
      <w:tr>
        <w:trPr>
          <w:trHeight w:val="189"/>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provided by</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66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15,764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12,304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8,998</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43,726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30,259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18,928</w:t>
            </w: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200"/>
              <w:spacing w:after="0"/>
              <w:rPr>
                <w:sz w:val="20"/>
                <w:szCs w:val="20"/>
                <w:color w:val="auto"/>
              </w:rPr>
            </w:pPr>
            <w:r>
              <w:rPr>
                <w:rFonts w:ascii="Arial" w:cs="Arial" w:eastAsia="Arial" w:hAnsi="Arial"/>
                <w:sz w:val="16"/>
                <w:szCs w:val="16"/>
                <w:color w:val="auto"/>
              </w:rPr>
              <w:t>Amortization of contract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fair value of preferred stock warrant liability</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10,758</w:t>
            </w: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200"/>
              <w:spacing w:after="0"/>
              <w:rPr>
                <w:sz w:val="20"/>
                <w:szCs w:val="20"/>
                <w:color w:val="auto"/>
              </w:rPr>
            </w:pPr>
            <w:r>
              <w:rPr>
                <w:rFonts w:ascii="Arial" w:cs="Arial" w:eastAsia="Arial" w:hAnsi="Arial"/>
                <w:sz w:val="16"/>
                <w:szCs w:val="16"/>
                <w:color w:val="auto"/>
              </w:rPr>
              <w:t>Change in fair value of contingent consideration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(2,805 )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2,263</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tax provision (benefit)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(1,708 )</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200"/>
              <w:spacing w:after="0"/>
              <w:rPr>
                <w:sz w:val="20"/>
                <w:szCs w:val="20"/>
                <w:color w:val="auto"/>
              </w:rPr>
            </w:pPr>
            <w:r>
              <w:rPr>
                <w:rFonts w:ascii="Arial" w:cs="Arial" w:eastAsia="Arial" w:hAnsi="Arial"/>
                <w:sz w:val="16"/>
                <w:szCs w:val="16"/>
                <w:color w:val="auto"/>
              </w:rPr>
              <w:t>Provision for uncollectible accounts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interest expense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acquisitions: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(2,082 )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(323 )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(587 )</w:t>
            </w:r>
          </w:p>
        </w:tc>
      </w:tr>
      <w:tr>
        <w:trPr>
          <w:trHeight w:val="215"/>
        </w:trPr>
        <w:tc>
          <w:tcPr>
            <w:tcW w:w="6620" w:type="dxa"/>
            <w:vAlign w:val="bottom"/>
          </w:tcPr>
          <w:p>
            <w:pPr>
              <w:ind w:left="380"/>
              <w:spacing w:after="0"/>
              <w:rPr>
                <w:sz w:val="20"/>
                <w:szCs w:val="20"/>
                <w:color w:val="auto"/>
              </w:rPr>
            </w:pPr>
            <w:r>
              <w:rPr>
                <w:rFonts w:ascii="Arial" w:cs="Arial" w:eastAsia="Arial" w:hAnsi="Arial"/>
                <w:sz w:val="16"/>
                <w:szCs w:val="16"/>
                <w:color w:val="auto"/>
              </w:rPr>
              <w:t>Unbilled receivables</w:t>
            </w:r>
          </w:p>
        </w:tc>
        <w:tc>
          <w:tcPr>
            <w:tcW w:w="320" w:type="dxa"/>
            <w:vAlign w:val="bottom"/>
          </w:tcPr>
          <w:p>
            <w:pPr>
              <w:spacing w:after="0"/>
              <w:rPr>
                <w:sz w:val="18"/>
                <w:szCs w:val="18"/>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6"/>
                <w:szCs w:val="16"/>
                <w:color w:val="auto"/>
              </w:rPr>
              <w:t>(5,394 )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(1,928 )</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(1,642 )</w:t>
            </w:r>
          </w:p>
        </w:tc>
      </w:tr>
      <w:tr>
        <w:trPr>
          <w:trHeight w:val="216"/>
        </w:trPr>
        <w:tc>
          <w:tcPr>
            <w:tcW w:w="6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Funds receivable from payment partners</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(50,975 )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(30,917 )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(5,805 )</w:t>
            </w:r>
          </w:p>
        </w:tc>
      </w:tr>
      <w:tr>
        <w:trPr>
          <w:trHeight w:val="215"/>
        </w:trPr>
        <w:tc>
          <w:tcPr>
            <w:tcW w:w="6620" w:type="dxa"/>
            <w:vAlign w:val="bottom"/>
          </w:tcPr>
          <w:p>
            <w:pPr>
              <w:ind w:left="38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tcPr>
          <w:p>
            <w:pPr>
              <w:spacing w:after="0"/>
              <w:rPr>
                <w:sz w:val="18"/>
                <w:szCs w:val="18"/>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6"/>
                <w:szCs w:val="16"/>
                <w:color w:val="auto"/>
              </w:rPr>
              <w:t>(4,279 )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(11,318 )</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(7,854 )</w:t>
            </w:r>
          </w:p>
        </w:tc>
      </w:tr>
      <w:tr>
        <w:trPr>
          <w:trHeight w:val="216"/>
        </w:trPr>
        <w:tc>
          <w:tcPr>
            <w:tcW w:w="6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Funds payable to clients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86,616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48,932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11,316</w:t>
            </w: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380"/>
              <w:spacing w:after="0"/>
              <w:rPr>
                <w:sz w:val="20"/>
                <w:szCs w:val="20"/>
                <w:color w:val="auto"/>
              </w:rPr>
            </w:pPr>
            <w:r>
              <w:rPr>
                <w:rFonts w:ascii="Arial" w:cs="Arial" w:eastAsia="Arial" w:hAnsi="Arial"/>
                <w:sz w:val="16"/>
                <w:szCs w:val="16"/>
                <w:color w:val="auto"/>
              </w:rPr>
              <w:t>Accounts payable, accrued expenses and other current liabilities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5,548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6,761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11,230</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Contingent consideration</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(467 )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(4,510 )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(3,212 )</w:t>
            </w:r>
          </w:p>
        </w:tc>
      </w:tr>
      <w:tr>
        <w:trPr>
          <w:trHeight w:val="215"/>
        </w:trPr>
        <w:tc>
          <w:tcPr>
            <w:tcW w:w="6620" w:type="dxa"/>
            <w:vAlign w:val="bottom"/>
          </w:tcPr>
          <w:p>
            <w:pPr>
              <w:ind w:left="38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18"/>
                <w:szCs w:val="18"/>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6"/>
                <w:szCs w:val="16"/>
                <w:color w:val="auto"/>
              </w:rPr>
              <w:t>(1,260 )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(1,872 )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(871 )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(400 )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(159 )</w:t>
            </w:r>
          </w:p>
        </w:tc>
      </w:tr>
      <w:tr>
        <w:trPr>
          <w:trHeight w:val="209"/>
        </w:trPr>
        <w:tc>
          <w:tcPr>
            <w:tcW w:w="6620" w:type="dxa"/>
            <w:vAlign w:val="bottom"/>
            <w:tcBorders>
              <w:top w:val="single" w:sz="8" w:color="CFF0FC"/>
            </w:tcBorders>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80,625</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5,427</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17,131</w:t>
            </w:r>
          </w:p>
        </w:tc>
        <w:tc>
          <w:tcPr>
            <w:tcW w:w="100" w:type="dxa"/>
            <w:vAlign w:val="bottom"/>
            <w:tcBorders>
              <w:top w:val="single" w:sz="8" w:color="CFF0FC"/>
            </w:tcBorders>
          </w:tcPr>
          <w:p>
            <w:pPr>
              <w:spacing w:after="0"/>
              <w:rPr>
                <w:sz w:val="18"/>
                <w:szCs w:val="18"/>
                <w:color w:val="auto"/>
              </w:rPr>
            </w:pPr>
          </w:p>
        </w:tc>
      </w:tr>
      <w:tr>
        <w:trPr>
          <w:trHeight w:val="210"/>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Capitalization of internally developed software</w:t>
            </w:r>
          </w:p>
        </w:tc>
        <w:tc>
          <w:tcPr>
            <w:tcW w:w="320" w:type="dxa"/>
            <w:vAlign w:val="bottom"/>
          </w:tcPr>
          <w:p>
            <w:pPr>
              <w:spacing w:after="0"/>
              <w:rPr>
                <w:sz w:val="18"/>
                <w:szCs w:val="18"/>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6"/>
                <w:szCs w:val="16"/>
                <w:color w:val="auto"/>
              </w:rPr>
              <w:t>(5,004 )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(5,717 )</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(5,635 )</w:t>
            </w: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(1,009 )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(1,353 )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(1,049 )</w:t>
            </w: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Acquisitions of businesses, net of cash acquired</w:t>
            </w:r>
          </w:p>
        </w:tc>
        <w:tc>
          <w:tcPr>
            <w:tcW w:w="320" w:type="dxa"/>
            <w:vAlign w:val="bottom"/>
          </w:tcPr>
          <w:p>
            <w:pPr>
              <w:spacing w:after="0"/>
              <w:rPr>
                <w:sz w:val="18"/>
                <w:szCs w:val="18"/>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6"/>
                <w:szCs w:val="16"/>
                <w:color w:val="auto"/>
              </w:rPr>
              <w:t>(32,764 )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(17,140 )</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(56,111 )</w:t>
            </w: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 acquisition, net of cash acquired</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(119 )</w:t>
            </w: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Contingent consideration paid for acquisitions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(453 )</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(38,777 )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(24,663 )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(62,914 )</w:t>
            </w:r>
          </w:p>
        </w:tc>
      </w:tr>
      <w:tr>
        <w:trPr>
          <w:trHeight w:val="210"/>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188"/>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initial public offering, net of underwriting discount and</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66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commissions</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268,694</w:t>
            </w: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Payment of costs related to initial public offering</w:t>
            </w:r>
          </w:p>
        </w:tc>
        <w:tc>
          <w:tcPr>
            <w:tcW w:w="320" w:type="dxa"/>
            <w:vAlign w:val="bottom"/>
          </w:tcPr>
          <w:p>
            <w:pPr>
              <w:spacing w:after="0"/>
              <w:rPr>
                <w:sz w:val="18"/>
                <w:szCs w:val="18"/>
                <w:color w:val="auto"/>
              </w:rPr>
            </w:pPr>
          </w:p>
        </w:tc>
        <w:tc>
          <w:tcPr>
            <w:tcW w:w="130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(4,860 )</w:t>
            </w:r>
          </w:p>
        </w:tc>
      </w:tr>
      <w:tr>
        <w:trPr>
          <w:trHeight w:val="189"/>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under public offering,</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66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net of underwriting discount and commissions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261,119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Payments of costs related to public offering</w:t>
            </w:r>
          </w:p>
        </w:tc>
        <w:tc>
          <w:tcPr>
            <w:tcW w:w="320" w:type="dxa"/>
            <w:vAlign w:val="bottom"/>
          </w:tcPr>
          <w:p>
            <w:pPr>
              <w:spacing w:after="0"/>
              <w:rPr>
                <w:sz w:val="18"/>
                <w:szCs w:val="18"/>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6"/>
                <w:szCs w:val="16"/>
                <w:color w:val="auto"/>
              </w:rPr>
              <w:t>(1,062 )</w:t>
            </w: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long-term debt</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25,939</w:t>
            </w: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Payment of long-term debt issuance costs</w:t>
            </w:r>
          </w:p>
        </w:tc>
        <w:tc>
          <w:tcPr>
            <w:tcW w:w="320" w:type="dxa"/>
            <w:vAlign w:val="bottom"/>
          </w:tcPr>
          <w:p>
            <w:pPr>
              <w:spacing w:after="0"/>
              <w:rPr>
                <w:sz w:val="18"/>
                <w:szCs w:val="18"/>
                <w:color w:val="auto"/>
              </w:rPr>
            </w:pPr>
          </w:p>
        </w:tc>
        <w:tc>
          <w:tcPr>
            <w:tcW w:w="130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(418 )</w:t>
            </w: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Repayment of long-term debt</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(25,939 )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(25,000 )</w:t>
            </w:r>
          </w:p>
        </w:tc>
      </w:tr>
      <w:tr>
        <w:trPr>
          <w:trHeight w:val="188"/>
        </w:trPr>
        <w:tc>
          <w:tcPr>
            <w:tcW w:w="6620" w:type="dxa"/>
            <w:vAlign w:val="bottom"/>
          </w:tcPr>
          <w:p>
            <w:pPr>
              <w:ind w:left="20"/>
              <w:spacing w:after="0"/>
              <w:rPr>
                <w:sz w:val="20"/>
                <w:szCs w:val="20"/>
                <w:color w:val="auto"/>
              </w:rPr>
            </w:pPr>
            <w:r>
              <w:rPr>
                <w:rFonts w:ascii="Arial" w:cs="Arial" w:eastAsia="Arial" w:hAnsi="Arial"/>
                <w:sz w:val="16"/>
                <w:szCs w:val="16"/>
                <w:color w:val="auto"/>
              </w:rPr>
              <w:t>Proceeds from issuance of redeemable convertible preferred stock,</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620" w:type="dxa"/>
            <w:vAlign w:val="bottom"/>
          </w:tcPr>
          <w:p>
            <w:pPr>
              <w:ind w:left="160"/>
              <w:spacing w:after="0"/>
              <w:rPr>
                <w:sz w:val="20"/>
                <w:szCs w:val="20"/>
                <w:color w:val="auto"/>
              </w:rPr>
            </w:pPr>
            <w:r>
              <w:rPr>
                <w:rFonts w:ascii="Arial" w:cs="Arial" w:eastAsia="Arial" w:hAnsi="Arial"/>
                <w:sz w:val="16"/>
                <w:szCs w:val="16"/>
                <w:color w:val="auto"/>
              </w:rPr>
              <w:t>net of issuance costs</w:t>
            </w:r>
          </w:p>
        </w:tc>
        <w:tc>
          <w:tcPr>
            <w:tcW w:w="320" w:type="dxa"/>
            <w:vAlign w:val="bottom"/>
          </w:tcPr>
          <w:p>
            <w:pPr>
              <w:spacing w:after="0"/>
              <w:rPr>
                <w:sz w:val="18"/>
                <w:szCs w:val="18"/>
                <w:color w:val="auto"/>
              </w:rPr>
            </w:pPr>
          </w:p>
        </w:tc>
        <w:tc>
          <w:tcPr>
            <w:tcW w:w="130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59,735</w:t>
            </w:r>
          </w:p>
        </w:tc>
        <w:tc>
          <w:tcPr>
            <w:tcW w:w="100" w:type="dxa"/>
            <w:vAlign w:val="bottom"/>
          </w:tcPr>
          <w:p>
            <w:pPr>
              <w:spacing w:after="0"/>
              <w:rPr>
                <w:sz w:val="18"/>
                <w:szCs w:val="18"/>
                <w:color w:val="auto"/>
              </w:rPr>
            </w:pPr>
          </w:p>
        </w:tc>
      </w:tr>
      <w:tr>
        <w:trPr>
          <w:trHeight w:val="217"/>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exercise of warrants</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Contingent consideration paid for acquisitions</w:t>
            </w:r>
          </w:p>
        </w:tc>
        <w:tc>
          <w:tcPr>
            <w:tcW w:w="320" w:type="dxa"/>
            <w:vAlign w:val="bottom"/>
          </w:tcPr>
          <w:p>
            <w:pPr>
              <w:spacing w:after="0"/>
              <w:rPr>
                <w:sz w:val="18"/>
                <w:szCs w:val="18"/>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6"/>
                <w:szCs w:val="16"/>
                <w:color w:val="auto"/>
              </w:rPr>
              <w:t>(1,207 )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(3,701 )</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(3,800 )</w:t>
            </w: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of tax withholdings for net settled option exercises</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(8,483 )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(2,564 )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6620" w:type="dxa"/>
            <w:vAlign w:val="bottom"/>
          </w:tcPr>
          <w:p>
            <w:pPr>
              <w:ind w:left="20"/>
              <w:spacing w:after="0"/>
              <w:rPr>
                <w:sz w:val="20"/>
                <w:szCs w:val="20"/>
                <w:color w:val="auto"/>
              </w:rPr>
            </w:pPr>
            <w:r>
              <w:rPr>
                <w:rFonts w:ascii="Arial" w:cs="Arial" w:eastAsia="Arial" w:hAnsi="Arial"/>
                <w:sz w:val="16"/>
                <w:szCs w:val="16"/>
                <w:color w:val="auto"/>
              </w:rPr>
              <w:t>Proceeds from the issuance of stock under Employee Stock</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620" w:type="dxa"/>
            <w:vAlign w:val="bottom"/>
          </w:tcPr>
          <w:p>
            <w:pPr>
              <w:ind w:left="160"/>
              <w:spacing w:after="0"/>
              <w:rPr>
                <w:sz w:val="20"/>
                <w:szCs w:val="20"/>
                <w:color w:val="auto"/>
              </w:rPr>
            </w:pPr>
            <w:r>
              <w:rPr>
                <w:rFonts w:ascii="Arial" w:cs="Arial" w:eastAsia="Arial" w:hAnsi="Arial"/>
                <w:sz w:val="16"/>
                <w:szCs w:val="16"/>
                <w:color w:val="auto"/>
              </w:rPr>
              <w:t>Purchase Plan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10,360</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6,963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20" w:type="dxa"/>
            <w:vAlign w:val="bottom"/>
          </w:tcPr>
          <w:p>
            <w:pPr>
              <w:ind w:left="56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263,418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(23,970 )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327,512</w:t>
            </w:r>
          </w:p>
        </w:tc>
        <w:tc>
          <w:tcPr>
            <w:tcW w:w="10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exchange rates changes on cash and cash equivalents</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(1,835 )</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(1,421 )</w:t>
            </w:r>
          </w:p>
        </w:tc>
      </w:tr>
      <w:tr>
        <w:trPr>
          <w:trHeight w:val="182"/>
        </w:trPr>
        <w:tc>
          <w:tcPr>
            <w:tcW w:w="662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6"/>
                <w:szCs w:val="16"/>
                <w:b w:val="1"/>
                <w:bCs w:val="1"/>
                <w:color w:val="auto"/>
              </w:rPr>
              <w:t>Net increase (decrease) in cash, cash equivalents and</w:t>
            </w: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16"/>
        </w:trPr>
        <w:tc>
          <w:tcPr>
            <w:tcW w:w="6620" w:type="dxa"/>
            <w:vAlign w:val="bottom"/>
          </w:tcPr>
          <w:p>
            <w:pPr>
              <w:ind w:left="160"/>
              <w:spacing w:after="0"/>
              <w:rPr>
                <w:sz w:val="20"/>
                <w:szCs w:val="20"/>
                <w:color w:val="auto"/>
              </w:rPr>
            </w:pPr>
            <w:r>
              <w:rPr>
                <w:rFonts w:ascii="Arial" w:cs="Arial" w:eastAsia="Arial" w:hAnsi="Arial"/>
                <w:sz w:val="16"/>
                <w:szCs w:val="16"/>
                <w:b w:val="1"/>
                <w:bCs w:val="1"/>
                <w:color w:val="auto"/>
              </w:rPr>
              <w:t>restricted cash</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303,431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(38,183 )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280,308</w:t>
            </w:r>
          </w:p>
        </w:tc>
        <w:tc>
          <w:tcPr>
            <w:tcW w:w="100" w:type="dxa"/>
            <w:vAlign w:val="bottom"/>
          </w:tcPr>
          <w:p>
            <w:pPr>
              <w:spacing w:after="0"/>
              <w:rPr>
                <w:sz w:val="18"/>
                <w:szCs w:val="18"/>
                <w:color w:val="auto"/>
              </w:rPr>
            </w:pPr>
          </w:p>
        </w:tc>
      </w:tr>
      <w:tr>
        <w:trPr>
          <w:trHeight w:val="21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cash equivalents and restricted cash, beginning of year</w:t>
            </w:r>
          </w:p>
        </w:tc>
        <w:tc>
          <w:tcPr>
            <w:tcW w:w="3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351,177</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389,360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109,052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year</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654,608</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351,177</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389,360</w:t>
            </w:r>
          </w:p>
        </w:tc>
        <w:tc>
          <w:tcPr>
            <w:tcW w:w="10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-4391660</wp:posOffset>
            </wp:positionV>
            <wp:extent cx="768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-4391660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-4391660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-3270250</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-3270250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-3270250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-864235</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-864235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-572770</wp:posOffset>
            </wp:positionV>
            <wp:extent cx="768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-572770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-572770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-170815</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-170815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768" w:right="339" w:bottom="1440" w:gutter="0" w:footer="0" w:header="0"/>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40"/>
        <w:spacing w:after="0"/>
        <w:rPr>
          <w:sz w:val="20"/>
          <w:szCs w:val="20"/>
          <w:color w:val="auto"/>
        </w:rPr>
      </w:pPr>
      <w:r>
        <w:rPr>
          <w:rFonts w:ascii="Arial" w:cs="Arial" w:eastAsia="Arial" w:hAnsi="Arial"/>
          <w:sz w:val="18"/>
          <w:szCs w:val="18"/>
          <w:color w:val="auto"/>
        </w:rPr>
        <w:t>(Amounts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disclosures of cash flow and noncash information</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Cash paid during the period for interest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for acquisition</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Accretion of redeemable convertible preferred stock</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(13 )</w:t>
            </w: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property and equipment in accounts payable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Issuance of common stock for retention bonus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654,608</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349,177</w:t>
            </w:r>
          </w:p>
        </w:tc>
        <w:tc>
          <w:tcPr>
            <w:tcW w:w="2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385,360</w:t>
            </w:r>
          </w:p>
        </w:tc>
        <w:tc>
          <w:tcPr>
            <w:tcW w:w="100" w:type="dxa"/>
            <w:vAlign w:val="bottom"/>
          </w:tcPr>
          <w:p>
            <w:pPr>
              <w:spacing w:after="0"/>
              <w:rPr>
                <w:sz w:val="18"/>
                <w:szCs w:val="18"/>
                <w:color w:val="auto"/>
              </w:rPr>
            </w:pPr>
          </w:p>
        </w:tc>
      </w:tr>
      <w:tr>
        <w:trPr>
          <w:trHeight w:val="21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20" w:type="dxa"/>
            <w:vAlign w:val="bottom"/>
          </w:tcPr>
          <w:p>
            <w:pPr>
              <w:ind w:left="200"/>
              <w:spacing w:after="0"/>
              <w:rPr>
                <w:sz w:val="20"/>
                <w:szCs w:val="20"/>
                <w:color w:val="auto"/>
              </w:rPr>
            </w:pPr>
            <w:r>
              <w:rPr>
                <w:rFonts w:ascii="Arial" w:cs="Arial" w:eastAsia="Arial" w:hAnsi="Arial"/>
                <w:sz w:val="16"/>
                <w:szCs w:val="16"/>
                <w:color w:val="auto"/>
              </w:rPr>
              <w:t>Cash, cash equivalents and restricted cash</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654,608</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351,177</w:t>
            </w:r>
          </w:p>
        </w:tc>
        <w:tc>
          <w:tcPr>
            <w:tcW w:w="2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389,360</w:t>
            </w:r>
          </w:p>
        </w:tc>
        <w:tc>
          <w:tcPr>
            <w:tcW w:w="10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-170815</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-170815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Overview and Summary of Significant Accounting Policies</w:t>
      </w:r>
    </w:p>
    <w:p>
      <w:pPr>
        <w:spacing w:after="0" w:line="184" w:lineRule="exact"/>
        <w:rPr>
          <w:sz w:val="20"/>
          <w:szCs w:val="20"/>
          <w:color w:val="auto"/>
        </w:rPr>
      </w:pPr>
    </w:p>
    <w:p>
      <w:pPr>
        <w:jc w:val="both"/>
        <w:ind w:right="80" w:firstLine="509"/>
        <w:spacing w:after="0" w:line="252" w:lineRule="auto"/>
        <w:rPr>
          <w:sz w:val="20"/>
          <w:szCs w:val="20"/>
          <w:color w:val="auto"/>
        </w:rPr>
      </w:pPr>
      <w:r>
        <w:rPr>
          <w:rFonts w:ascii="Arial" w:cs="Arial" w:eastAsia="Arial" w:hAnsi="Arial"/>
          <w:sz w:val="18"/>
          <w:szCs w:val="18"/>
          <w:color w:val="auto"/>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16 countries across 5 continents.</w:t>
      </w:r>
    </w:p>
    <w:p>
      <w:pPr>
        <w:spacing w:after="0" w:line="130"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w:t>
      </w:r>
    </w:p>
    <w:p>
      <w:pPr>
        <w:spacing w:after="0" w:line="1" w:lineRule="exact"/>
        <w:rPr>
          <w:sz w:val="20"/>
          <w:szCs w:val="20"/>
          <w:color w:val="auto"/>
        </w:rPr>
      </w:pPr>
    </w:p>
    <w:p>
      <w:pPr>
        <w:ind w:right="420" w:firstLine="8"/>
        <w:spacing w:after="0" w:line="250" w:lineRule="auto"/>
        <w:tabs>
          <w:tab w:leader="none" w:pos="2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next-gen payments platform, (ii) a proprietary global payment network, and (iii) vertical-specific software backed by its deep industry expertise.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Follow-On Public Offering</w:t>
      </w:r>
    </w:p>
    <w:p>
      <w:pPr>
        <w:spacing w:after="0" w:line="18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On August 9, 2023, the Company entered into an Underwriting Agreement with Goldman Sachs &amp; Co. LLC, as representative of the several Underwriters, in connection with the offer and sale by the Company of 8,000,000 shares of voting common stock of the Company, par value $0.0001 per share, at a price to the public of $32.00 per share. In addition, pursuant to the terms of the Underwriting Agreement, the Company granted the Underwriters' Option to purchase up to 1,200,000 additional shares of Common Stock (collectively, the Public Offering).</w:t>
      </w:r>
    </w:p>
    <w:p>
      <w:pPr>
        <w:spacing w:after="0" w:line="139" w:lineRule="exact"/>
        <w:rPr>
          <w:sz w:val="20"/>
          <w:szCs w:val="20"/>
          <w:color w:val="auto"/>
        </w:rPr>
      </w:pPr>
    </w:p>
    <w:p>
      <w:pPr>
        <w:ind w:right="280" w:firstLine="509"/>
        <w:spacing w:after="0" w:line="246" w:lineRule="auto"/>
        <w:rPr>
          <w:sz w:val="20"/>
          <w:szCs w:val="20"/>
          <w:color w:val="auto"/>
        </w:rPr>
      </w:pPr>
      <w:r>
        <w:rPr>
          <w:rFonts w:ascii="Arial" w:cs="Arial" w:eastAsia="Arial" w:hAnsi="Arial"/>
          <w:sz w:val="18"/>
          <w:szCs w:val="18"/>
          <w:color w:val="auto"/>
        </w:rPr>
        <w:t>On August 14, 2023, the Company sold 8,000,000 shares of its voting common stock and on September 12, 2023, the Underwriters exercised the Underwriters’ Option in part and purchased additional 500,000 shares of the Company's voting common stock, in each instance at a price to the public of $32.00 per share. The Company raised $260.1 million in net proceeds, after deducting underwriting discounts and commissions of $10.9 million and other offering costs of $1.1 million.</w:t>
      </w:r>
    </w:p>
    <w:p>
      <w:pPr>
        <w:spacing w:after="0" w:line="136"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The Company intends to use the net proceeds from the Public Offering for general corporate purposes, which may include expanding its current business through acquisitions of, or investments in, other businesses, products or technologies.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(IPO)</w:t>
      </w:r>
    </w:p>
    <w:p>
      <w:pPr>
        <w:spacing w:after="0" w:line="169"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On May 28, 2021, in connection with the Company’s IPO, the Company filed an amended and restated certificate of incorporation, which became effective on that date. The amended and restated certificate of incorporation authorized the issuance of 2,000,000,000 shares of voting common stock, 10,000,000 shares of non-voting common stock and 10,000,000 shares of preferred stock. Each class of stock has a par value of $0.0001 per share.</w:t>
      </w:r>
    </w:p>
    <w:p>
      <w:pPr>
        <w:spacing w:after="0" w:line="136"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On May 28, 2021, the Company completed its IPO, in which the Company issued and sold 12,006,000 shares of voting common stock at a public offering price of $24.00 per share, which included 1,566,000 shares of voting common stock issued pursuant to the exercise in full of the underwriters' option to purchase additional shares. The Company received $263.8 million in net proceeds from the IPO, after deducting underwriting discounts and commissions of $19.4 million and other offering costs of $4.9 million.</w:t>
      </w:r>
    </w:p>
    <w:p>
      <w:pPr>
        <w:spacing w:after="0" w:line="14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Prior to the IPO, the Company issued Series A convertible preferred stock, Series B convertible preferred stock, Series B1-NV convertible preferred stock, Series B1 convertible preferred stock, Series C convertible preferred stock, Series D convertible preferred stock, Series E-1 redeemable convertible preferred stock and Series E-2 redeemable convertible preferred stock. Immediately prior to the closing of the IPO, all shares of the Company’s outstanding convertible preferred stock and redeemable convertible preferred stock, including 182,467 shares of preferred stock issued upon exercise of a warrant immediately prior to the closing of the IPO, were converted into 62,214,406 shares of voting common stock and 5,988,378 shares of non-voting common stock. Prior to the closing of the IPO, the Company had warrants to purchase 190,500 shares of its convertible preferred stock outstanding, such warrants were converted immediately prior to the closing of the IPO into warrants to purchase 190,500 shares of the Company’s voting common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stock and the associated preferred stock warrant liabilities were remeasured to its fair value of $6.3 million and reclassified to additional paid-in capital.</w:t>
      </w:r>
    </w:p>
    <w:p>
      <w:pPr>
        <w:spacing w:after="0" w:line="126"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color w:val="auto"/>
        </w:rPr>
        <w:t>Prior to the IPO, deferred offering costs, which consist of legal, accounting, consulting and other direct fees and costs relating to the IPO, were capitalized in other long-term assets. Upon the completion of the IPO, these costs were offset against the proceeds from the IPO and recorded as a reduction to additional paid-in capital.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6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May 2021, the Company filed an amendment to its amended and restated certificate of incorporation to effect a 3-for-1 forward stock split of its common stock, convertible preferred stock and redeemable convertible preferred stock. In connection with the forward stock split, each issued and outstanding share of common stock, automatically and without action on the part of the holders, became three shares of common stock, each issued and outstanding share of convertible preferred stock, automatically and without action on the part of the holders, became three shares of convertible preferred stock and each issued and outstanding share of redeemable convertible preferred stock, automatically and without action on the part of the holders, became three shares of redeemable convertible preferred stock. The par value per share of common stock, convertible preferred stock and redeemable convertible preferred stock was not adjusted. All references to the convertible preferred stock, redeemable convertible preferred stock, common stock, treasury stock, options to purchase common stock, restricted stock awards, warrants to purchase convertible preferred stock, warrants to purchase common stock, per share amounts and related information contained in the consolidated financial statements have been retroactively adjusted to reflect the effect of the stock split for all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9"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and have been prepared in accordance with generally accepted accounting principles in the United States (GAAP). Intercompany accounts and transactions have been eliminated upon consolidation.</w:t>
      </w:r>
    </w:p>
    <w:p>
      <w:pPr>
        <w:spacing w:after="0" w:line="130"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Beginning with the quarter ended June 30, 2023, the Company included Contingent consideration and Contingent consideration, net of current portion within Accrued expenses and other current liabilities and Other liabilities, respectively, in the Company's consolidated balance sheet. Accrued expenses and other current liabilities and Other liabilities for the year ended December 31, 2022 were recast to conform to the updated presentation.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9"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 xml:space="preserve">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See </w:t>
      </w:r>
      <w:r>
        <w:rPr>
          <w:rFonts w:ascii="Arial" w:cs="Arial" w:eastAsia="Arial" w:hAnsi="Arial"/>
          <w:sz w:val="18"/>
          <w:szCs w:val="18"/>
          <w:i w:val="1"/>
          <w:iCs w:val="1"/>
          <w:color w:val="auto"/>
        </w:rPr>
        <w:t>Note 2 - Revenue and Recognition</w:t>
      </w:r>
      <w:r>
        <w:rPr>
          <w:rFonts w:ascii="Arial" w:cs="Arial" w:eastAsia="Arial" w:hAnsi="Arial"/>
          <w:sz w:val="18"/>
          <w:szCs w:val="18"/>
          <w:color w:val="auto"/>
        </w:rPr>
        <w:t xml:space="preserve"> for information regarding the Company's revenue by geographic area.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and disclosed in the consolidated financial statements and the accompanying notes. Significant estimates and assumptions reflected in these financial statements include, but are not limited to, the valuation of certain stock-based compensation awards, the valuation of the preferred stock warrant liability up until the date of the Company’s IPO, contingent consideration, the valuation of acquired intangible assets and their useful lives, the estimate of credit losses on accounts receivable and unbilled receivables, the impairment assessment of goodwill, intangibles and other long-lived assets and the incremental borrowing rates for operating leases. The Company bases its estimates on historical experience, known trends and other market-specific or other relevant factors that it believes to be reasonable under the circumstances. On an ongoing basis, the Company evaluates its estimates as there may be changes in circumstances, facts and experience. Changes in estimates are recorded in the period in which they become known. Actual results may differ from those estimates or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Israel and Hamas</w:t>
      </w:r>
    </w:p>
    <w:p>
      <w:pPr>
        <w:spacing w:after="0" w:line="169" w:lineRule="exact"/>
        <w:rPr>
          <w:sz w:val="20"/>
          <w:szCs w:val="20"/>
          <w:color w:val="auto"/>
        </w:rPr>
      </w:pPr>
    </w:p>
    <w:p>
      <w:pPr>
        <w:ind w:right="360" w:firstLine="509"/>
        <w:spacing w:after="0" w:line="252" w:lineRule="auto"/>
        <w:rPr>
          <w:sz w:val="20"/>
          <w:szCs w:val="20"/>
          <w:color w:val="auto"/>
        </w:rPr>
      </w:pPr>
      <w:r>
        <w:rPr>
          <w:rFonts w:ascii="Arial" w:cs="Arial" w:eastAsia="Arial" w:hAnsi="Arial"/>
          <w:sz w:val="18"/>
          <w:szCs w:val="18"/>
          <w:color w:val="auto"/>
        </w:rPr>
        <w:t>The Company has an office in Tel Aviv, Israel, which is one of the Company’s software development and product centers. As of the issuance date of these consolidated financial statements, the conflict between Israel and Hamas has not had a material impact on the Company’s revenue, results of operations or financial position. The Company is engaged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 active workforce management and efforts to preserve the health and safety of its Israeli FlyMates. However, since the Tel Aviv office is a healthcare engineering hub, the Company may experience customer service issues if there is a major problem as a result of the conflict and the Company is not able to service its platform on a timely basis. Further, the conflict may create a global challenge in outsourcing or hiring engineering talent.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Russia and Ukraine</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does not have any operations, or long-lived assets, in Ukraine or Russia. As of the issuance date of these consolidated financial statements, the current conflict between Russia and Ukraine has not had a material impact on the Company’s revenue, results of operations or financial position. However, the Company notes Ukraine is a major engineering hub and the Company may from time to time utilize technology resources from Ukraine on a contracted basis. The conflict may create a global challenge in outsourcing or hiring engineering talent. In addition, a prolonged conflict or the spill-over of war into other European countries may in the future have an impact on macroeconomic conditions which could significantly impact the verticals in which the Company has been predominantly focused over the last decade. The Company’s payment volumes, sales cycles and time to implementation could be negatively affected and consequently, the Company’s revenue or results of operations or financial position could be adversely impacted as well.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Inflation did not have a material effect on the Company's cash flows and results of operations during the year ended December 31,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Out-of-period Adjustment</w:t>
      </w:r>
    </w:p>
    <w:p>
      <w:pPr>
        <w:spacing w:after="0" w:line="169"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During the fourth quarter of 2021, the Company identified immaterial errors related to direct and indirect taxes in its historical financial statements. The cumulative effect of the errors generated in the fiscal year 2017 through the third quarter of 2021 was corrected during the fourth quarter of 2021, resulting in an increase to net loss for the fiscal year 2021 of $1.0 million. The Company concluded that the errors were not material to any prior period consolidated financial statements and the correction of the errors was not material to the consolidated financial statements for the year ended December 31,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Clients</w:t>
      </w:r>
    </w:p>
    <w:p>
      <w:pPr>
        <w:spacing w:after="0" w:line="16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Financial instruments that potentially subject the Company to concentration of credit risk consists principally of cash, cash equivalents, accounts receivable, unbilled receivables and funds receivable from payment partners.</w:t>
      </w:r>
    </w:p>
    <w:p>
      <w:pPr>
        <w:spacing w:after="0" w:line="112"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The Company maintains its cash and cash equivalents with financial institutions that management believes are of high credit quality. Our cash equivalents include money market funds, which are AAA-rated and comprised of liquid, high-quality debt securities issued by the U.S. government. The Company's cash and cash equivalents deposited with the financial institutions exceed the Federal Deposit Insurance Corporation (FDIC) insurance limit of $250,000. As part of its cash management process, the Company performs periodic reviews of the credit standing of the financial institutions holding its cash and cash equivalents. Additionally, to mitigate credit risk associated with financial institutions, the Company diversifies its cash and cash equivalents across multiple financial institutions and U.S. Treasury Money Market Funds. U.S. Treasuries, by their nature, create a concentration of credit risk with the U.S. Government. Our access to our cash and cash equivalents and client funds could be significantly impacted in volatile markets given our concentration in government money market funds.</w:t>
      </w:r>
    </w:p>
    <w:p>
      <w:pPr>
        <w:spacing w:after="0" w:line="145"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To manage credit risk related to accounts receivable and unbilled receivables, the Company maintains an allowance for credit losses. The allowance is determined by applying a loss-rate method based on an aging schedule using the Company's historical loss rate. The Company also considers reasonable and supportable current and forecasted information in determining its estimated loss rates, such as external forecasts, macroeconomic trends, or other factors that are associated with the credit quality of the Company’s customer base. The Company did not experience any material credit losses during the years ended December 31, 2023, 2022 and 2021.</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Accounts receivable are derived from revenue earned from clients located in the U.S. and internationally. Significant clients are those that represent 10% or more of accounts receivable, net as set forth in the following table:</w:t>
      </w:r>
    </w:p>
    <w:p>
      <w:pPr>
        <w:spacing w:after="0" w:line="149"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4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r>
      <w:tr>
        <w:trPr>
          <w:trHeight w:val="223"/>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Client A</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13 %</w:t>
            </w:r>
          </w:p>
        </w:tc>
      </w:tr>
      <w:tr>
        <w:trPr>
          <w:trHeight w:val="23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Client B</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23806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total balance.</w:t>
      </w:r>
    </w:p>
    <w:p>
      <w:pPr>
        <w:spacing w:after="0" w:line="166" w:lineRule="exact"/>
        <w:rPr>
          <w:sz w:val="20"/>
          <w:szCs w:val="20"/>
          <w:color w:val="auto"/>
        </w:rPr>
      </w:pPr>
    </w:p>
    <w:p>
      <w:pPr>
        <w:jc w:val="both"/>
        <w:ind w:right="460" w:firstLine="509"/>
        <w:spacing w:after="0" w:line="252" w:lineRule="auto"/>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p>
    <w:p>
      <w:pPr>
        <w:spacing w:after="0" w:line="167"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0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Partner A</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14 %</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Partner B</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15 %</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88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Partner C</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13 %</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Partner D</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11 %</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Partner 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20 %</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-727075</wp:posOffset>
            </wp:positionV>
            <wp:extent cx="7132320" cy="1454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238061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total balance.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years ended December 31, 2023, 2022 and 2021, no client accounted for 10% or more of total revenue.</w:t>
      </w:r>
    </w:p>
    <w:p>
      <w:pPr>
        <w:spacing w:after="0" w:line="184" w:lineRule="exact"/>
        <w:rPr>
          <w:sz w:val="20"/>
          <w:szCs w:val="20"/>
          <w:color w:val="auto"/>
        </w:rPr>
      </w:pPr>
    </w:p>
    <w:p>
      <w:pPr>
        <w:ind w:right="440" w:firstLine="509"/>
        <w:spacing w:after="0" w:line="252" w:lineRule="auto"/>
        <w:rPr>
          <w:sz w:val="20"/>
          <w:szCs w:val="20"/>
          <w:color w:val="auto"/>
        </w:rPr>
      </w:pPr>
      <w:r>
        <w:rPr>
          <w:rFonts w:ascii="Arial" w:cs="Arial" w:eastAsia="Arial" w:hAnsi="Arial"/>
          <w:sz w:val="18"/>
          <w:szCs w:val="18"/>
          <w:color w:val="auto"/>
        </w:rPr>
        <w:t>During the year ended December 31, 2023, revenue from clients located in the United States and Canada (Americas), Europe, the Middle East and Africa (EMEA) and the Asia and Pacific region (APAC) in the aggregate accounted for 55.2%, 30.0% and 14.8% of the Company’s total revenues, respectively.</w:t>
      </w:r>
    </w:p>
    <w:p>
      <w:pPr>
        <w:spacing w:after="0" w:line="130"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During the year ended December 31, 2022, revenue from clients located in Americas, EMEA and APAC in the aggregate accounted for 67.2%, 23.9% and 8.9% of the Company’s total revenues, respectively.</w:t>
      </w:r>
    </w:p>
    <w:p>
      <w:pPr>
        <w:spacing w:after="0" w:line="112"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During the year ended December 31, 2021, revenue from clients located in Americas, EMEA and APAC in the aggregate accounted for 79.4%, 16.9%, and 3.7% of the Company’s total revenues,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Restricted Cash</w:t>
      </w:r>
    </w:p>
    <w:p>
      <w:pPr>
        <w:spacing w:after="0" w:line="169" w:lineRule="exact"/>
        <w:rPr>
          <w:sz w:val="20"/>
          <w:szCs w:val="20"/>
          <w:color w:val="auto"/>
        </w:rPr>
      </w:pPr>
    </w:p>
    <w:p>
      <w:pPr>
        <w:ind w:right="600" w:firstLine="509"/>
        <w:spacing w:after="0" w:line="252" w:lineRule="auto"/>
        <w:rPr>
          <w:sz w:val="20"/>
          <w:szCs w:val="20"/>
          <w:color w:val="auto"/>
        </w:rPr>
      </w:pPr>
      <w:r>
        <w:rPr>
          <w:rFonts w:ascii="Arial" w:cs="Arial" w:eastAsia="Arial" w:hAnsi="Arial"/>
          <w:sz w:val="18"/>
          <w:szCs w:val="18"/>
          <w:color w:val="auto"/>
        </w:rPr>
        <w:t>Cash equivalents consist of short-term, highly liquid investments with stated maturities of three months or less from the date of purchase. Our cash equivalents include money market funds, which are AAA-rated and comprised of liquid, high-quality debt securities issued by the U.S. government.</w:t>
      </w:r>
    </w:p>
    <w:p>
      <w:pPr>
        <w:spacing w:after="0" w:line="144" w:lineRule="exact"/>
        <w:rPr>
          <w:sz w:val="20"/>
          <w:szCs w:val="20"/>
          <w:color w:val="auto"/>
        </w:rPr>
      </w:pPr>
    </w:p>
    <w:p>
      <w:pPr>
        <w:jc w:val="both"/>
        <w:ind w:right="760" w:firstLine="509"/>
        <w:spacing w:after="0" w:line="252" w:lineRule="auto"/>
        <w:rPr>
          <w:sz w:val="20"/>
          <w:szCs w:val="20"/>
          <w:color w:val="auto"/>
        </w:rPr>
      </w:pPr>
      <w:r>
        <w:rPr>
          <w:rFonts w:ascii="Arial" w:cs="Arial" w:eastAsia="Arial" w:hAnsi="Arial"/>
          <w:sz w:val="18"/>
          <w:szCs w:val="18"/>
          <w:color w:val="auto"/>
        </w:rPr>
        <w:t>Restricted cash consists of amounts required to be maintained to cover certain banks’ or clients’ credit risk exposure related to facilitating payments for the Company. As of December 31, 2023 and 2022, the Company had $0 and $2.0 million of restricted cash,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69"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Accounts receivable represent client obligations that are unconditional. Accounts receivable are presented net of an estimated allowance for credit losses for amounts that may not be collectible over the estimated life of the assets. The Company’s accounts receivable do not bear interest and generally does not require collateral or other security to support related receivables. The Company establishes an allowance for credit losses for estimated losses expected from amounts that may not be collectible, through a provision for expected credit losses.</w:t>
      </w:r>
    </w:p>
    <w:p>
      <w:pPr>
        <w:spacing w:after="0" w:line="152" w:lineRule="exact"/>
        <w:rPr>
          <w:sz w:val="20"/>
          <w:szCs w:val="20"/>
          <w:color w:val="auto"/>
        </w:rPr>
      </w:pPr>
    </w:p>
    <w:p>
      <w:pPr>
        <w:ind w:right="400" w:firstLine="509"/>
        <w:spacing w:after="0" w:line="246" w:lineRule="auto"/>
        <w:rPr>
          <w:sz w:val="20"/>
          <w:szCs w:val="20"/>
          <w:color w:val="auto"/>
        </w:rPr>
      </w:pPr>
      <w:r>
        <w:rPr>
          <w:rFonts w:ascii="Arial" w:cs="Arial" w:eastAsia="Arial" w:hAnsi="Arial"/>
          <w:sz w:val="18"/>
          <w:szCs w:val="18"/>
          <w:color w:val="auto"/>
        </w:rPr>
        <w:t xml:space="preserve">On January 1, 2022, Flywire adopted under the modified retrospective approach Accounting Standards Update (ASU) 2016-13, </w:t>
      </w:r>
      <w:r>
        <w:rPr>
          <w:rFonts w:ascii="Arial" w:cs="Arial" w:eastAsia="Arial" w:hAnsi="Arial"/>
          <w:sz w:val="18"/>
          <w:szCs w:val="18"/>
          <w:i w:val="1"/>
          <w:iCs w:val="1"/>
          <w:color w:val="auto"/>
        </w:rPr>
        <w:t xml:space="preserve">Financial Instruments - Credit Losses (Topic 326): Measurement of Credit Losses on Financial Instruments </w:t>
      </w:r>
      <w:r>
        <w:rPr>
          <w:rFonts w:ascii="Arial" w:cs="Arial" w:eastAsia="Arial" w:hAnsi="Arial"/>
          <w:sz w:val="18"/>
          <w:szCs w:val="18"/>
          <w:color w:val="auto"/>
        </w:rPr>
        <w:t>and subsequent related ASUs</w:t>
      </w:r>
      <w:r>
        <w:rPr>
          <w:rFonts w:ascii="Arial" w:cs="Arial" w:eastAsia="Arial" w:hAnsi="Arial"/>
          <w:sz w:val="18"/>
          <w:szCs w:val="18"/>
          <w:i w:val="1"/>
          <w:iCs w:val="1"/>
          <w:color w:val="auto"/>
        </w:rPr>
        <w:t xml:space="preserve"> </w:t>
      </w:r>
      <w:r>
        <w:rPr>
          <w:rFonts w:ascii="Arial" w:cs="Arial" w:eastAsia="Arial" w:hAnsi="Arial"/>
          <w:sz w:val="18"/>
          <w:szCs w:val="18"/>
          <w:color w:val="auto"/>
        </w:rPr>
        <w:t>using January 1, 2022 as the date of initial application. The adoption of ASU 2016-13 did not have a material impact on the Company's consolidated financial statements and disclosures.</w:t>
      </w:r>
    </w:p>
    <w:p>
      <w:pPr>
        <w:sectPr>
          <w:pgSz w:w="11900" w:h="16838" w:orient="portrait"/>
          <w:cols w:equalWidth="0" w:num="1">
            <w:col w:w="11300"/>
          </w:cols>
          <w:pgMar w:left="320" w:top="768" w:right="279" w:bottom="1440" w:gutter="0" w:footer="0" w:header="0"/>
        </w:sectPr>
      </w:pPr>
    </w:p>
    <w:p>
      <w:pPr>
        <w:spacing w:after="0" w:line="6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Following the adoption of ASU 2016-13, the allowance is determined by applying a loss-rate method based on an aging schedule using the Company's historical loss rates. The Company also considers reasonable and supportable current and forecasted information in determining its estimated loss rates, such as external forecasts, macroeconomic trends, or other factors that are associated with the credit quality of the Company’s customer base. The adequacy of the allowance for credit losses is evaluated on a regular basis. Account balances are written off after all means of collection are exhausted and the balance is deemed uncollectible. Subsequent recoveries, if any, are credited to the allowance. Adjustments to the allowance for credit losses are recorded within general and administrative expenses in the consolidated statements of operations and comprehensive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Property and equipment consist primarily of computer equipment and software, internal-use software, furniture and fixtures and leasehold improvements. Property and equipment are stated at historical cost less accumulated depreciation and amortization. Depreciation and amortization are computed using the straight-line method over the estimated useful lives of the assets, which is between three to five years for computer equipment and software, five years for internal-use software, three years for furniture and fixtures, and the lesser of the useful life or remaining non-cancelable term of the lease for leasehold improvements. Costs of maintenance and repairs that do not improve or extend the lives of the respective assets are expensed as incurred. Upon retirement or sale, the cost and related accumulated depreciation are removed from the consolidated balance sheets and the resulting gain or loss is reflected in loss from operations in the consolidated statements of operations and comprehensive loss.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Company continually evaluates the recoverability of long-lived asset (asset group) when events and changes in circumstances indicate that the carrying amount of the long-lived asset group may not be fully recoverable. Factors the Company considers in deciding when to perform an impairment review include significant underperformance of the business in relation to expectations, significant negative industry or economic trends and significant changes or planned changes in the use of the assets. When indicators of impairment are present, the Company compares forecasts of undiscounted future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There were no impairments recorded for the Company’s long-lived assets during any of the periods presented.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69" w:lineRule="exact"/>
        <w:rPr>
          <w:sz w:val="20"/>
          <w:szCs w:val="20"/>
          <w:color w:val="auto"/>
        </w:rPr>
      </w:pPr>
    </w:p>
    <w:p>
      <w:pPr>
        <w:jc w:val="both"/>
        <w:ind w:right="120" w:firstLine="509"/>
        <w:spacing w:after="0" w:line="252" w:lineRule="auto"/>
        <w:rPr>
          <w:sz w:val="20"/>
          <w:szCs w:val="20"/>
          <w:color w:val="auto"/>
        </w:rPr>
      </w:pPr>
      <w:r>
        <w:rPr>
          <w:rFonts w:ascii="Arial" w:cs="Arial" w:eastAsia="Arial" w:hAnsi="Arial"/>
          <w:sz w:val="18"/>
          <w:szCs w:val="18"/>
          <w:color w:val="auto"/>
        </w:rPr>
        <w:t>Intangible assets consist of acquired developed technology, acquired relationships,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14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 estimates the fair value of acquired developed technology and trade name and associated trademarks under the income approach using the relief-from-royalty method. The relief-from-royalty method estimates the cost savings that accrue to the owner of an intangible asset who would otherwise have to pay royalties or a license fee on revenues earned through the use of the asset. The estimated royalty rate is determined based on the assessment of a reasonable royalty rate that a third party would negotiate in an arm’s-length license agreement for the use of the technology, trade name or trademark. The Company estimates the fair value of acquired relationships under the income approach using the multi-period excess earnings method. The multi-period excess earnings method estimates the present value of the incremental after-tax cash flows solely attributable to the intangible asset. The Company values noncompete agreements using the with and without method. This method compares the projected discounted cash flows in two distinct scenarios: first, it assumes that the covenant not-to-compete is in-place and, second, it assumes that the covenant not-to-compete is not in-place. A probability adjustment factor is then applied to the difference between the two scenarios to determine the fair value of the noncompete agreement. The estimated fair values of these intangible assets reflect various assumptions including discount rates, revenue growth rates, operating margins, terminal values and other prospective financial information.</w:t>
      </w:r>
    </w:p>
    <w:p>
      <w:pPr>
        <w:spacing w:after="0" w:line="13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Intangible assets are amortized using a method that reflects the pattern in which the economic benefits of the intangible asset are expected to be realized over their estimated useful lives ranging from one to fifteen years. The useful lives for developed technology are determined based on expectations regarding the evolution of existing technology and future investments. The useful lives for acquired related intangible assets are determined based primarily on forecasted cash flows, which include estimates for the revenues, expenses and customer attrition associated with the assets. The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useful lives of definite-lived trademarks and trade names are based on the Company’s plans to phase out the trademarks and trade names in the applicable markets. The useful lives for noncompete agreements are determined based on the term of the related agreements.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significant residual value is estimated for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Developed for Internal-Use</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 capitalizes costs related to internal-use software during the application development stage including third-party consulting costs and compensation expenses related to FlyMates who devote time to the development of the projects. The Company records software development costs in property and equipment. Costs incurred in the preliminary stages of development activities and post implementation activities are expensed in the period incurred and are included in technology and development expense in the consolidated statements of operations and comprehensive loss. The Company also capitalizes costs related to specific upgrades and enhancements when it is probable the expenditures will result in additional functionality. Once the additional functionality is available for general use, capitalization ceases and the asset begins being amortized. The Company periodically assesses whether triggering events are present to review internal-use software for impairment. Unforeseen circumstances in software development, such as a significant change in the manner in which the software is intended to be used, obsolescence or a significant reduction in revenues due to attrition, could require us to implement alternative plans with respect to a particular effort, which could result in the impairment of previously capitalized software development costs. Software developed for internal-use is amortized straight-line over its estimated useful life of five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Company tests goodwill for impairment on an annual basis on the first day of the fourth quarter or more frequently if events or changes in circumstances indicate that goodwill may be impaired. The Company’s goodwill impairment test is performed at the enterprise level given it is the sole reporting unit. Events that could indicate goodwill impairment and trigger an interim impairment assessment include, but are not limited to, market conditions, economic conditions, entity-specific financial performance and other events such as significant adverse change in legal factors, business climate, operational performance of the business or key personnel, and an adverse action or assessment by a regulator. Goodwill is tested for impairment by first performing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including goodwill. Goodwill is considered impaired if the carrying value of the reporting unit exceeds its fair value. The fair value of the reporting unit is estimated using a combination of income and market approaches. The discounted cash flow method, a form of the income approach, uses expected future operating results and a market participant discount rate. The market approach uses comparable company prices and other relevant information generated by market transactions (either publicly traded entities or mergers and acquisitions) to develop pricing metrics to be applied to historical and expected future operating results of the reporting unit. Failure to achieve these expected results, changes in the discount rate or market pricing metrics, may cause a future impairment of goodwill.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2"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 xml:space="preserve">On January 1, 2022, Flywire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subsequent related ASUs using January 1, 2022 as the date of initial application. ASU 2016-02 sets out the principles for the recognition, measurement, presentation and disclosure of leases for both parties to a contract (i.e., lessees and lessors). The Company elected the modified retrospective transition option which allowed for application of Topic 842 at the adoption date. Therefore, comparative prior period financial information was not adjusted and will continue to be reported under the previous Accounting Standards Codification (ASC) 840, </w:t>
      </w:r>
      <w:r>
        <w:rPr>
          <w:rFonts w:ascii="Arial" w:cs="Arial" w:eastAsia="Arial" w:hAnsi="Arial"/>
          <w:sz w:val="18"/>
          <w:szCs w:val="18"/>
          <w:i w:val="1"/>
          <w:iCs w:val="1"/>
          <w:color w:val="auto"/>
        </w:rPr>
        <w:t>Leases</w:t>
      </w:r>
      <w:r>
        <w:rPr>
          <w:rFonts w:ascii="Arial" w:cs="Arial" w:eastAsia="Arial" w:hAnsi="Arial"/>
          <w:sz w:val="18"/>
          <w:szCs w:val="18"/>
          <w:color w:val="auto"/>
        </w:rPr>
        <w:t>. No cumulative-effect adjustment to the opening accumulated deficit balance as of January 1, 2022 was necessary as a result of adopting the new standard. The Company elected the “package of practical expedients” permitted under the transition guidance which allowed the Company not to reassess (i) whether any expired or existing contracts are, or contain, leases, (ii) the lease classification for any expired or existing leases and (iii) initial direct costs for any existing leases. The Company also elected the practical expedient not to separate lease and non-lease components, as well as the short-term lease recognition exemption and will not recognize right-of-use (ROU) assets or lease liabilities for leases with a term less than 12 months. As a result of the adoption, the Company recognized ROU assets of $3.0 million in Other assets and a corresponding lease liability of $3.6 million in Other liabilities as of January 1, 2022. The ROU assets were adjusted per Topic 842 transition guidance for the existing deferred rent balance.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Leases after the Adoption of ASC 842</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 xml:space="preserve">The new leasing standard requires recognition of leases on the consolidated balance sheets as ROU assets and lease liabilities. ROU assets represent the Company's right to use underlying assets for the lease terms and lease liabilities represent our obligation to make lease payments arising from the leases. ROU assets are included in Other assets and lease liabilities are included in Other liabilities. Lease classification is determined at commencement date. All of the Company's leases are accounted for as operating leases. ROU assets and lease liabilities are recognized at the lease commencement date based on the estimated present value of lease payments over the lease term. As the implicit rate of the leases is not determinable, the Company uses its incremental borrowing rate in determining the present value of the lease payments. ROU assets are adjusted for deferred rent and any lease incentives. Variable lease payments for maintenance, property taxes and other operating expenses are recognized as expense in the period in which the obligation for the payment is incurred. The operating lease expense associated with operating leases is recognized as a single lease cost on a straight-line basis over the lease term and is included in general and administrative expenses in the consolidated statements of operations and comprehensive loss. Refer to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15 - Leases </w:t>
      </w:r>
      <w:r>
        <w:rPr>
          <w:rFonts w:ascii="Arial" w:cs="Arial" w:eastAsia="Arial" w:hAnsi="Arial"/>
          <w:sz w:val="18"/>
          <w:szCs w:val="18"/>
          <w:color w:val="auto"/>
        </w:rPr>
        <w:t>for more details on the Company's operating leases.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Leases for Periods Prior to Adoption of ASC 842</w:t>
      </w:r>
    </w:p>
    <w:p>
      <w:pPr>
        <w:spacing w:after="0" w:line="169" w:lineRule="exact"/>
        <w:rPr>
          <w:sz w:val="20"/>
          <w:szCs w:val="20"/>
          <w:color w:val="auto"/>
        </w:rPr>
      </w:pPr>
    </w:p>
    <w:p>
      <w:pPr>
        <w:ind w:right="340" w:firstLine="509"/>
        <w:spacing w:after="0" w:line="252" w:lineRule="auto"/>
        <w:rPr>
          <w:sz w:val="20"/>
          <w:szCs w:val="20"/>
          <w:color w:val="auto"/>
        </w:rPr>
      </w:pPr>
      <w:r>
        <w:rPr>
          <w:rFonts w:ascii="Arial" w:cs="Arial" w:eastAsia="Arial" w:hAnsi="Arial"/>
          <w:sz w:val="18"/>
          <w:szCs w:val="18"/>
          <w:color w:val="auto"/>
        </w:rPr>
        <w:t>Prior to ASC 842 adoption, operating lease arrangements were recorded off-balance sheet and ROU assets and liabilities were not recognized. Operating lease expense was recognized on a straight-line basis over the term of each lease and free rent periods were recorded as a deferred rent liability.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82"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In determining whether an acquisition should be accounted for as a business combination or an asset acquisition, the Company first determines whether substantially all of the fair value of the gross assets acquired is concentrated in a single identifiable asset or a group of similar identifiable assets. If substantially all of the fair value of the gross assets acquired is concentrated in a single identifiable asset or group of similar identifiable assets, the set is not considered a business acquisition. If substantially all of the fair value of the gross assets acquired is not concentrated in a single identifiable asset or group of similar identifiable assets, the Company further evaluates whether the integrated set of assets and activities include, at a minimum, an input and a substantive process that together significantly contribute to the ability to create outputs. If so, the Company concludes that the integrated set of assets and activities is a business acquisition.</w:t>
      </w:r>
    </w:p>
    <w:p>
      <w:pPr>
        <w:spacing w:after="0" w:line="142" w:lineRule="exact"/>
        <w:rPr>
          <w:sz w:val="20"/>
          <w:szCs w:val="20"/>
          <w:color w:val="auto"/>
        </w:rPr>
      </w:pPr>
    </w:p>
    <w:p>
      <w:pPr>
        <w:jc w:val="both"/>
        <w:ind w:right="140" w:firstLine="509"/>
        <w:spacing w:after="0" w:line="246" w:lineRule="auto"/>
        <w:rPr>
          <w:sz w:val="20"/>
          <w:szCs w:val="20"/>
          <w:color w:val="auto"/>
        </w:rPr>
      </w:pPr>
      <w:r>
        <w:rPr>
          <w:rFonts w:ascii="Arial" w:cs="Arial" w:eastAsia="Arial" w:hAnsi="Arial"/>
          <w:sz w:val="18"/>
          <w:szCs w:val="18"/>
          <w:color w:val="auto"/>
        </w:rPr>
        <w:t>The Company accounts for business acquisitions using the acquisition method of accounting. In accordance with this method,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136" w:lineRule="exact"/>
        <w:rPr>
          <w:sz w:val="20"/>
          <w:szCs w:val="20"/>
          <w:color w:val="auto"/>
        </w:rPr>
      </w:pPr>
    </w:p>
    <w:p>
      <w:pPr>
        <w:ind w:right="160" w:firstLine="509"/>
        <w:spacing w:after="0" w:line="253" w:lineRule="auto"/>
        <w:rPr>
          <w:sz w:val="20"/>
          <w:szCs w:val="20"/>
          <w:color w:val="auto"/>
        </w:rPr>
      </w:pPr>
      <w:r>
        <w:rPr>
          <w:rFonts w:ascii="Arial" w:cs="Arial" w:eastAsia="Arial" w:hAnsi="Arial"/>
          <w:sz w:val="17"/>
          <w:szCs w:val="17"/>
          <w:color w:val="auto"/>
        </w:rPr>
        <w:t xml:space="preserve">The Company early adopted ASU 2021-08, </w:t>
      </w:r>
      <w:r>
        <w:rPr>
          <w:rFonts w:ascii="Arial" w:cs="Arial" w:eastAsia="Arial" w:hAnsi="Arial"/>
          <w:sz w:val="17"/>
          <w:szCs w:val="17"/>
          <w:i w:val="1"/>
          <w:iCs w:val="1"/>
          <w:color w:val="auto"/>
        </w:rPr>
        <w:t>Business Combinations (Topic 805): Accounting for Contract Assets and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from Contracts with Customers </w:t>
      </w:r>
      <w:r>
        <w:rPr>
          <w:rFonts w:ascii="Arial" w:cs="Arial" w:eastAsia="Arial" w:hAnsi="Arial"/>
          <w:sz w:val="17"/>
          <w:szCs w:val="17"/>
          <w:color w:val="auto"/>
        </w:rPr>
        <w:t>as of October 1, 2021. ASU 2021-08 amends ASC 805 to add contract assets and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to the list of exceptions to the recognition and measurement principles that apply to business combinations and to require that an entity (acquirer) recognize and measure contract assets and contract liabilities acquired in a business combination in accordance with Topic</w:t>
      </w:r>
    </w:p>
    <w:p>
      <w:pPr>
        <w:spacing w:after="0" w:line="3" w:lineRule="exact"/>
        <w:rPr>
          <w:sz w:val="20"/>
          <w:szCs w:val="20"/>
          <w:color w:val="auto"/>
        </w:rPr>
      </w:pPr>
    </w:p>
    <w:p>
      <w:pPr>
        <w:ind w:right="460" w:firstLine="8"/>
        <w:spacing w:after="0" w:line="250" w:lineRule="auto"/>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Under ASU 2021-08, contract assets and contract liabilities are accounted as if the acquirer entered into the original contract at the same time and same date as the acquiree.</w:t>
      </w:r>
    </w:p>
    <w:p>
      <w:pPr>
        <w:spacing w:after="0" w:line="144"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Determining the fair value of assets acquired and liabilities assumed is judgmental in nature and can involve the use of significant estimates and assumptions. Fair value and useful life determinations are based on, among other factors, estimates of future expected cash flows, revenue growth rates, royalty rates, operating margins and appropriate discount rates used in computing present values. These estimates may materially impact the net income or loss in periods subsequent to acquisition through depreciation and amortization, and in certain instances through impairment charges, if assets become impaired in the future. Additionally, actual results may vary from these estimates that may result in adjustments to goodwill and acquisition date fair values of assets and liabilities during a measurement period or upon a final determination of asset and liability fair values, whichever comes first. Adjustments to fair values of assets and liabilities made after the end of the measurement period are recorded within operating results.</w:t>
      </w:r>
    </w:p>
    <w:p>
      <w:pPr>
        <w:spacing w:after="0" w:line="14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Contingent consideration in business combinations is recognized at fair value on the acquisition date. Subsequent to the acquisition date, at each reporting date, the contingent consideration is remeasured and changes in the fair value resulting from changes in the underlying inputs are recognized in general and administrative expense in the consolidated statements of operations and comprehensive loss until the contingent consideration is settled.</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 xml:space="preserve">The fair value of the contingent consideration in the Company's consolidated balance sheets was determined using either an option pricing model that reflects the Company’s expectations about the probability of payment based on facts and circumstances that existed at the acquisition closing date or a scenario-based method formed on the likelihoods of achieving each of the milestones. See </w:t>
      </w:r>
      <w:r>
        <w:rPr>
          <w:rFonts w:ascii="Arial" w:cs="Arial" w:eastAsia="Arial" w:hAnsi="Arial"/>
          <w:sz w:val="18"/>
          <w:szCs w:val="18"/>
          <w:i w:val="1"/>
          <w:iCs w:val="1"/>
          <w:color w:val="auto"/>
        </w:rPr>
        <w:t>Note 4 -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for inputs used to fair value contingent consideration.</w:t>
      </w:r>
    </w:p>
    <w:p>
      <w:pPr>
        <w:spacing w:after="0" w:line="14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Transaction costs related to business combinations are expensed as incurred and are included in general and administrative expense in consolidated statements of operations and comprehensive loss.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Acquisition</w:t>
      </w:r>
    </w:p>
    <w:p>
      <w:pPr>
        <w:spacing w:after="0" w:line="169"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The Company measures and recognizes asset acquisitions that are not deemed to be business combinations based on the cost to acquire the assets, which includes transaction costs. Goodwill is not recognized in asset acquisitions.</w:t>
      </w:r>
    </w:p>
    <w:p>
      <w:pPr>
        <w:spacing w:after="0" w:line="126"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Contingent consideration in asset acquisitions payable in the form of cash is recognized when payment becomes probable and reasonably estimable, unless the contingent consideration meets the definition of a derivative, in which case the amount becomes part of the asset acquisition cost when acquired. Upon recognition of the contingent consideration payment, the amount is included in the cost of the acquired asset or group of assets.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9"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left="640" w:right="40"/>
        <w:spacing w:after="0" w:line="252"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30" w:lineRule="exact"/>
        <w:rPr>
          <w:sz w:val="20"/>
          <w:szCs w:val="20"/>
          <w:color w:val="auto"/>
        </w:rPr>
      </w:pPr>
    </w:p>
    <w:p>
      <w:pPr>
        <w:ind w:left="640" w:right="120"/>
        <w:spacing w:after="0" w:line="27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26"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Company’s cash equivalents are carried at fair value (Level 1) as determined according to the fair value hierarchy described above. The Company’s cash equivalents include money market funds, which are measured at fair value using the net asset value (NAV) per share practical expedient. The money market funds, which are AAA-rated are comprised of liquid, high-quality debt securities issued by the U.S. government. Shares in money market funds are purchased and redeemed at the NAV at the time of the purchase or sale, which may be purchased or redeemed on demand, as may be required by the Company. The carrying values of accounts receivable, funds receivable from payment partners, unbilled receivables, prepaid expenses, accounts payable, funds payable to clients and accrued expenses and other current liabilities approximate their respective fair values due to the short-term nature of these assets and liabilities. The Company’s contingent consideration is carried at fair value, determined using Level 3 inputs in the fair value hierarchy.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connection with the Company's financing arrangements, the Company issued warrants to purchase convertible preferred stock to a lender. The warrants to purchase preferred stock provided for net share settlement under which the maximum number of shares that could be issued represented the total amount of shares under the warrant agreements. These warrants were classified as liabilities on the Company's consolidated balance sheets as these were free standing instruments that could require us to transfer an asset upon exercise. The warrant liability associated with these warrants was recorded at fair value on the issuance date of the warrants and was marked to market each reporting period based on changes in the warrants’ fair value calculated using the Black-Scholes model. The preferred stock warrants were converted immediately prior to the closing of the IPO into warrants to purchase shares of the Company’s voting common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stock and the associated preferred stock warrant liabilities were remeasured to its fair value and reclassified to additional paid-in capital. As of December 31, 2023 and 2022, there were no preferred stock warrants outstanding.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6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Company’s reporting currency is the U.S. Dollar. The financial statements of the Company’s foreign subsidiaries are translated from local currency into U.S. dollars using the exchange rate at the balance sheet date for assets and liabilities, and the average exchange rate in effect during the period for revenue and expenses. The functional currency of the Company and its subsidiaries, with the exception of its U.K. and Australian subsidiaries, is the U.S. Dollar. The functional currency for the U.K. and the Australian subsidiaries is considered to be the local currency and, accordingly, translation adjustments for these entities are included as a component of accumulated other comprehensive income (loss) in the Company’s consolidated balance sheets. Gains and losses from the remeasurement of foreign currency transactions into the functional currency are recognized as in the consolidated statements of operations and comprehensive loss.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w:t>
      </w:r>
    </w:p>
    <w:p>
      <w:pPr>
        <w:spacing w:after="0" w:line="182"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The Company generates revenues and incurs expenses by processing payments in foreign currencies. Changes in the value of foreign currencies could impact the Company’s consolidated statements of operations and comprehensive loss. To mitigate the volatility related to fluctuations in the foreign exchange rates, the Company enters into non-deliverable forward foreign currency contracts.</w:t>
      </w:r>
    </w:p>
    <w:p>
      <w:pPr>
        <w:spacing w:after="0" w:line="130" w:lineRule="exact"/>
        <w:rPr>
          <w:sz w:val="20"/>
          <w:szCs w:val="20"/>
          <w:color w:val="auto"/>
        </w:rPr>
      </w:pPr>
    </w:p>
    <w:p>
      <w:pPr>
        <w:ind w:right="100" w:firstLine="559"/>
        <w:spacing w:after="0" w:line="243" w:lineRule="auto"/>
        <w:rPr>
          <w:sz w:val="20"/>
          <w:szCs w:val="20"/>
          <w:color w:val="auto"/>
        </w:rPr>
      </w:pPr>
      <w:r>
        <w:rPr>
          <w:rFonts w:ascii="Arial" w:cs="Arial" w:eastAsia="Arial" w:hAnsi="Arial"/>
          <w:sz w:val="18"/>
          <w:szCs w:val="18"/>
          <w:color w:val="auto"/>
        </w:rPr>
        <w:t>The Company’s foreign currency forward contracts economically hedge certain risk but are not designated as hedges for financial reporting purposes. All changes in the fair value of these derivative instruments are recorded as foreign currency transaction gains or losses and are included as a component of general and administrative in the consolidated statements of operations and comprehensive loss. The Company records all derivative instruments in the consolidated balance sheet at their fair values in prepaid expenses and other current assets and accrued expenses and other current liabilities.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2" w:lineRule="exact"/>
        <w:rPr>
          <w:sz w:val="20"/>
          <w:szCs w:val="20"/>
          <w:color w:val="auto"/>
        </w:rPr>
      </w:pPr>
    </w:p>
    <w:p>
      <w:pPr>
        <w:ind w:right="740" w:firstLine="509"/>
        <w:spacing w:after="0" w:line="252" w:lineRule="auto"/>
        <w:rPr>
          <w:sz w:val="20"/>
          <w:szCs w:val="20"/>
          <w:color w:val="auto"/>
        </w:rPr>
      </w:pPr>
      <w:r>
        <w:rPr>
          <w:rFonts w:ascii="Arial" w:cs="Arial" w:eastAsia="Arial" w:hAnsi="Arial"/>
          <w:sz w:val="18"/>
          <w:szCs w:val="18"/>
          <w:color w:val="auto"/>
        </w:rPr>
        <w:t>Revenue is recognized when a customer obtains control of the promised goods or services, in an amount that reflects the consideration which the entity expects to receive in exchange for those goods or services. In order to achieve this core principle, the Company applies the following five steps:</w:t>
      </w:r>
    </w:p>
    <w:p>
      <w:pPr>
        <w:spacing w:after="0" w:line="130" w:lineRule="exact"/>
        <w:rPr>
          <w:sz w:val="20"/>
          <w:szCs w:val="20"/>
          <w:color w:val="auto"/>
        </w:rPr>
      </w:pPr>
    </w:p>
    <w:p>
      <w:pPr>
        <w:ind w:left="2040" w:hanging="640"/>
        <w:spacing w:after="0"/>
        <w:tabs>
          <w:tab w:leader="none" w:pos="2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70" w:lineRule="exact"/>
        <w:rPr>
          <w:rFonts w:ascii="Arial" w:cs="Arial" w:eastAsia="Arial" w:hAnsi="Arial"/>
          <w:sz w:val="18"/>
          <w:szCs w:val="18"/>
          <w:color w:val="auto"/>
        </w:rPr>
      </w:pPr>
    </w:p>
    <w:p>
      <w:pPr>
        <w:ind w:left="2040" w:hanging="640"/>
        <w:spacing w:after="0"/>
        <w:tabs>
          <w:tab w:leader="none" w:pos="2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84" w:lineRule="exact"/>
        <w:rPr>
          <w:rFonts w:ascii="Arial" w:cs="Arial" w:eastAsia="Arial" w:hAnsi="Arial"/>
          <w:sz w:val="18"/>
          <w:szCs w:val="18"/>
          <w:color w:val="auto"/>
        </w:rPr>
      </w:pPr>
    </w:p>
    <w:p>
      <w:pPr>
        <w:ind w:left="2040" w:hanging="640"/>
        <w:spacing w:after="0"/>
        <w:tabs>
          <w:tab w:leader="none" w:pos="2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70" w:lineRule="exact"/>
        <w:rPr>
          <w:rFonts w:ascii="Arial" w:cs="Arial" w:eastAsia="Arial" w:hAnsi="Arial"/>
          <w:sz w:val="18"/>
          <w:szCs w:val="18"/>
          <w:color w:val="auto"/>
        </w:rPr>
      </w:pPr>
    </w:p>
    <w:p>
      <w:pPr>
        <w:ind w:left="2040" w:hanging="640"/>
        <w:spacing w:after="0"/>
        <w:tabs>
          <w:tab w:leader="none" w:pos="2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70" w:lineRule="exact"/>
        <w:rPr>
          <w:rFonts w:ascii="Arial" w:cs="Arial" w:eastAsia="Arial" w:hAnsi="Arial"/>
          <w:sz w:val="18"/>
          <w:szCs w:val="18"/>
          <w:color w:val="auto"/>
        </w:rPr>
      </w:pPr>
    </w:p>
    <w:p>
      <w:pPr>
        <w:ind w:left="2040" w:hanging="640"/>
        <w:spacing w:after="0"/>
        <w:tabs>
          <w:tab w:leader="none" w:pos="2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derives revenue primarily from transactions and platform and usage-based fees.</w:t>
      </w:r>
    </w:p>
    <w:p>
      <w:pPr>
        <w:spacing w:after="0" w:line="171" w:lineRule="exact"/>
        <w:rPr>
          <w:sz w:val="20"/>
          <w:szCs w:val="20"/>
          <w:color w:val="auto"/>
        </w:rPr>
      </w:pPr>
    </w:p>
    <w:p>
      <w:pPr>
        <w:ind w:left="640" w:right="60" w:firstLine="509"/>
        <w:spacing w:after="0" w:line="238"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 relate to fees charged for payment processing services provided to educational institutions,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and other commercial entities (each a client). The Company’s services relate to facilitating payments from individuals, such as students and patients, and organizations (client’s customer) to clients. Fees charged for payment processing services consist of a rate applied to the monetary value of the payment and can vary based on the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The Company does not recognize the underlying amount of the transaction being settled between the client and the client’s customer as revenue in the consolidated statements of operations and comprehensive loss, as the Company is not the responsible party for fulfilling the obligation between the client and the client’s customer. Therefore, revenue is only recognized for the fee to which the Company is entitled for processing the payment.</w:t>
      </w:r>
    </w:p>
    <w:p>
      <w:pPr>
        <w:spacing w:after="0" w:line="145" w:lineRule="exact"/>
        <w:rPr>
          <w:sz w:val="20"/>
          <w:szCs w:val="20"/>
          <w:color w:val="auto"/>
        </w:rPr>
      </w:pPr>
    </w:p>
    <w:p>
      <w:pPr>
        <w:ind w:left="640" w:right="280" w:firstLine="509"/>
        <w:spacing w:after="0" w:line="271" w:lineRule="auto"/>
        <w:rPr>
          <w:sz w:val="20"/>
          <w:szCs w:val="20"/>
          <w:color w:val="auto"/>
        </w:rPr>
      </w:pPr>
      <w:r>
        <w:rPr>
          <w:rFonts w:ascii="Arial" w:cs="Arial" w:eastAsia="Arial" w:hAnsi="Arial"/>
          <w:sz w:val="18"/>
          <w:szCs w:val="18"/>
          <w:color w:val="auto"/>
        </w:rPr>
        <w:t>The money can be wired directly from the client’s customer to the Company; however, in certain situations when the client’s customer resides in a country where the Company does not have an active bank account, the</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left="640" w:right="200"/>
        <w:spacing w:after="0" w:line="246" w:lineRule="auto"/>
        <w:rPr>
          <w:sz w:val="20"/>
          <w:szCs w:val="20"/>
          <w:color w:val="auto"/>
        </w:rPr>
      </w:pPr>
      <w:r>
        <w:rPr>
          <w:rFonts w:ascii="Arial" w:cs="Arial" w:eastAsia="Arial" w:hAnsi="Arial"/>
          <w:sz w:val="18"/>
          <w:szCs w:val="18"/>
          <w:color w:val="auto"/>
        </w:rPr>
        <w:t>Company uses third-party service providers (Partners) to collect wired funds before remitting the funds to the Company. On a recurring basis, the Partner invoices the Company a fee for each payment processed and deposited into the Company’s bank account. The fee paid to Partners as well as any foreign exchange banking fees paid by the Company are reflected in the payment processing services costs line in the consolidated statements of operations and comprehensive loss.</w:t>
      </w:r>
    </w:p>
    <w:p>
      <w:pPr>
        <w:spacing w:after="0" w:line="149" w:lineRule="exact"/>
        <w:rPr>
          <w:sz w:val="20"/>
          <w:szCs w:val="20"/>
          <w:color w:val="auto"/>
        </w:rPr>
      </w:pPr>
    </w:p>
    <w:p>
      <w:pPr>
        <w:ind w:left="640" w:right="160" w:firstLine="509"/>
        <w:spacing w:after="0" w:line="241" w:lineRule="auto"/>
        <w:rPr>
          <w:sz w:val="20"/>
          <w:szCs w:val="20"/>
          <w:color w:val="auto"/>
        </w:rPr>
      </w:pPr>
      <w:r>
        <w:rPr>
          <w:rFonts w:ascii="Arial" w:cs="Arial" w:eastAsia="Arial" w:hAnsi="Arial"/>
          <w:sz w:val="18"/>
          <w:szCs w:val="18"/>
          <w:color w:val="auto"/>
        </w:rPr>
        <w:t>Once a Partner receives funds from a client’s customer, the Company has the right to receive those funds from the Partner. The funds are not remitted to the Company immediately. When the Partner receives funds from the client’s customer, the Company records a receivable, which is included in funds receivables from payment partners, and a corresponding liability, included in funds payable to clients, in the consolidated balance sheets. The amounts are generally collected or paid within one to 30 days. Partners report to the Company the funds received from the client’s customer on a daily basis. Revenue in transactions where Partners are involved is not recognized until the payment is remitted to clients.</w:t>
      </w:r>
    </w:p>
    <w:p>
      <w:pPr>
        <w:spacing w:after="0" w:line="142" w:lineRule="exact"/>
        <w:rPr>
          <w:sz w:val="20"/>
          <w:szCs w:val="20"/>
          <w:color w:val="auto"/>
        </w:rPr>
      </w:pPr>
    </w:p>
    <w:p>
      <w:pPr>
        <w:ind w:left="640" w:right="20" w:firstLine="509"/>
        <w:spacing w:after="0" w:line="261" w:lineRule="auto"/>
        <w:rPr>
          <w:sz w:val="20"/>
          <w:szCs w:val="20"/>
          <w:color w:val="auto"/>
        </w:rPr>
      </w:pPr>
      <w:r>
        <w:rPr>
          <w:rFonts w:ascii="Arial" w:cs="Arial" w:eastAsia="Arial" w:hAnsi="Arial"/>
          <w:sz w:val="17"/>
          <w:szCs w:val="17"/>
          <w:color w:val="auto"/>
        </w:rPr>
        <w:t>The Company also earns revenue from fees charged to credit card service providers for marketing arrangements in which the Company performs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 Marketing services provided leverages the Company’s existing network and transaction processing platform; therefore, these arrangements are considered part of the Company’s ordinary business activities.</w:t>
      </w:r>
    </w:p>
    <w:p>
      <w:pPr>
        <w:spacing w:after="0" w:line="124" w:lineRule="exact"/>
        <w:rPr>
          <w:sz w:val="20"/>
          <w:szCs w:val="20"/>
          <w:color w:val="auto"/>
        </w:rPr>
      </w:pPr>
    </w:p>
    <w:p>
      <w:pPr>
        <w:ind w:left="640" w:right="240" w:firstLine="509"/>
        <w:spacing w:after="0" w:line="266" w:lineRule="auto"/>
        <w:rPr>
          <w:sz w:val="20"/>
          <w:szCs w:val="20"/>
          <w:color w:val="auto"/>
        </w:rPr>
      </w:pPr>
      <w:r>
        <w:rPr>
          <w:rFonts w:ascii="Arial" w:cs="Arial" w:eastAsia="Arial" w:hAnsi="Arial"/>
          <w:sz w:val="17"/>
          <w:szCs w:val="17"/>
          <w:color w:val="auto"/>
        </w:rPr>
        <w:t>In certain circumstances, the Company provides marketing services to financial institutions that are considered both a client (for marketing services) and a service provider (for processing payments). Each one of these services are negotiated separately, each agreement is for distinct service and they are priced at fair value; therefore, fees included in the marketing arrangements are accounted for as revenue, while fees paid by the Company are accounted for as payment processing services cost.</w:t>
      </w:r>
    </w:p>
    <w:p>
      <w:pPr>
        <w:spacing w:after="0" w:line="131" w:lineRule="exact"/>
        <w:rPr>
          <w:sz w:val="20"/>
          <w:szCs w:val="20"/>
          <w:color w:val="auto"/>
        </w:rPr>
      </w:pPr>
    </w:p>
    <w:p>
      <w:pPr>
        <w:jc w:val="both"/>
        <w:ind w:left="640" w:right="140" w:firstLine="509"/>
        <w:spacing w:after="0" w:line="246" w:lineRule="auto"/>
        <w:rPr>
          <w:sz w:val="20"/>
          <w:szCs w:val="20"/>
          <w:color w:val="auto"/>
        </w:rPr>
      </w:pPr>
      <w:r>
        <w:rPr>
          <w:rFonts w:ascii="Arial" w:cs="Arial" w:eastAsia="Arial" w:hAnsi="Arial"/>
          <w:sz w:val="18"/>
          <w:szCs w:val="18"/>
          <w:color w:val="auto"/>
        </w:rPr>
        <w:t xml:space="preserve">The Company also earns revenue from interest on funds held for customers, which do not represent revenues recognized in the scope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the Company processes payment transactions, customer funds are initially deposited into the Company’s bank accounts that are separate from the Company’s operating cash accounts until remitted to the customers. Interest is earned from interest bearing deposit accounts.</w:t>
      </w:r>
    </w:p>
    <w:p>
      <w:pPr>
        <w:spacing w:after="0" w:line="136" w:lineRule="exact"/>
        <w:rPr>
          <w:sz w:val="20"/>
          <w:szCs w:val="20"/>
          <w:color w:val="auto"/>
        </w:rPr>
      </w:pPr>
    </w:p>
    <w:p>
      <w:pPr>
        <w:ind w:left="640" w:right="40" w:firstLine="509"/>
        <w:spacing w:after="0" w:line="246" w:lineRule="auto"/>
        <w:rPr>
          <w:sz w:val="20"/>
          <w:szCs w:val="20"/>
          <w:color w:val="auto"/>
        </w:rPr>
      </w:pPr>
      <w:r>
        <w:rPr>
          <w:rFonts w:ascii="Arial" w:cs="Arial" w:eastAsia="Arial" w:hAnsi="Arial"/>
          <w:sz w:val="18"/>
          <w:szCs w:val="18"/>
          <w:i w:val="1"/>
          <w:iCs w:val="1"/>
          <w:color w:val="auto"/>
        </w:rPr>
        <w:t xml:space="preserve">Platform and usage-based fee revenue </w:t>
      </w:r>
      <w:r>
        <w:rPr>
          <w:rFonts w:ascii="Arial" w:cs="Arial" w:eastAsia="Arial" w:hAnsi="Arial"/>
          <w:sz w:val="18"/>
          <w:szCs w:val="18"/>
          <w:color w:val="auto"/>
        </w:rPr>
        <w:t>- relate to fees earned for utilizing the Company’s platform to collect their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from client’s customers, fees collected on payment plans established by the client for obligations due by client’s customer, subscription fees and fees related to printing and mailing statements. Fees charged consist of a fixed fee and a variable fee determined based on volume of transactions processed through the Company’s platform.</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Performance Obligations</w:t>
      </w:r>
    </w:p>
    <w:p>
      <w:pPr>
        <w:spacing w:after="0" w:line="182"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Substantially all of the Company’s arrangements represent a single promise to provide continuous access to the Company’s platform to perform payment processing services, cash collection optimization services, marketing, printing and mailing services, on an as-needed basis.</w:t>
      </w:r>
    </w:p>
    <w:p>
      <w:pPr>
        <w:spacing w:after="0" w:line="130"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As each day of providing these services is substantially the same and the client simultaneously receives and consumes the benefits as services are provided, these services are viewed as a single performance obligation comprised of a series of distinct daily services. The Company satisfies its performance obligation as these services are provided. Revenue is recognized in the month the service is complete.</w:t>
      </w:r>
    </w:p>
    <w:p>
      <w:pPr>
        <w:spacing w:after="0" w:line="130"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126"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The Company considers implementation services as an activity to fulfill a contract, rather than a distinct performance obligation as the client does not obtain benefits from the implementation service alone. The Company charges an immaterial amount for implementation services.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8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Company’s contracts contain variable consideration as the amount the Company expects to receive in a contract is based on the occurrence or non-occurrence of future events, such as processing services performed as a transaction-based pricing arrangement. The variable consideration relates specifically to the Company’s effort to transfer each distinct daily service, as such the Company allocates the variable consideration earned to the distinct day in which those activities are performed and it recognizes these fees as revenue in period earned, at which point the variable amount is known and it does not require estimation.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Terms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payment terms vary by type of client, client’s customer and services offered and ranges between one and 60 days.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Typically, the Company charges either a fixed fee, a fixed fee per transaction or percentage of transaction value or a combination of both.</w:t>
      </w:r>
    </w:p>
    <w:p>
      <w:pPr>
        <w:spacing w:after="0" w:line="166"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The Company does not assess whether a significant financing component exists if the period between performance obligations under the contract and payment is one year or less. None of the Company’s contracts contain a significant financing component as of December 31, 2023, 2022 and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 Recognition Policies</w:t>
      </w:r>
    </w:p>
    <w:p>
      <w:pPr>
        <w:spacing w:after="0" w:line="16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Company incurs costs in processing payments which may include banking, credit card processing, foreign currency translation, partner fees, printing and mailing fees.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69"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 Revenue and Recognition</w:t>
      </w:r>
      <w:r>
        <w:rPr>
          <w:rFonts w:ascii="Arial" w:cs="Arial" w:eastAsia="Arial" w:hAnsi="Arial"/>
          <w:sz w:val="18"/>
          <w:szCs w:val="18"/>
          <w:color w:val="auto"/>
        </w:rPr>
        <w:t xml:space="preserve"> for additional information on revenue recognition.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69"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to our FlyMates who provide implementation services to its clients.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8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Technology and development includes (a) costs incurred in connection with the development of the Company’s transaction processing and payments platform, new solutions, and the improvement of existing solutions, including the amortization of software and website development costs incurred in developing transaction processing and payments platform, which are capitalized, and acquired developed technology, (b) site operations and other infrastructure costs incurred to support the transaction processing and payments platform, (c) amortization related to capitalized cost to fulfill a contract, (d) personnel-related expenses, including salaries, stock based compensation and other expenses, (e) hardware and software engineering, consultant services and other costs associated with the Company’s technology platform and products, (f) research materials and facilities and (g) depreciation and maintenance expense.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69" w:lineRule="exact"/>
        <w:rPr>
          <w:sz w:val="20"/>
          <w:szCs w:val="20"/>
          <w:color w:val="auto"/>
        </w:rPr>
      </w:pPr>
    </w:p>
    <w:p>
      <w:pPr>
        <w:ind w:right="780" w:firstLine="509"/>
        <w:spacing w:after="0" w:line="271" w:lineRule="auto"/>
        <w:rPr>
          <w:sz w:val="20"/>
          <w:szCs w:val="20"/>
          <w:color w:val="auto"/>
        </w:rPr>
      </w:pPr>
      <w:r>
        <w:rPr>
          <w:rFonts w:ascii="Arial" w:cs="Arial" w:eastAsia="Arial" w:hAnsi="Arial"/>
          <w:sz w:val="18"/>
          <w:szCs w:val="18"/>
          <w:color w:val="auto"/>
        </w:rPr>
        <w:t>Selling and marketing expenses consist of personnel-related expenses, including stock-based compensation expense, sales commissions, amortization of acquired customer relationship intangible assets, marketing program</w:t>
      </w:r>
    </w:p>
    <w:p>
      <w:pPr>
        <w:spacing w:after="0" w:line="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8" w:right="41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expenses, travel-related expenses and costs to market and promote the Company's solutions through advertisements, marketing events, partnership arrangements, and direct client acquisition.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9"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82"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Advertising costs are expensed as incurred and are included in selling and marketing expenses in the consolidated statements of operations and comprehensive loss. Advertising expenses were $6.6 million, $4.9 million and $3.2 million for the years ended December 31, 2023, 2022 and 2021,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jc w:val="both"/>
        <w:ind w:right="560" w:firstLine="509"/>
        <w:spacing w:after="0" w:line="301" w:lineRule="auto"/>
        <w:rPr>
          <w:sz w:val="20"/>
          <w:szCs w:val="20"/>
          <w:color w:val="auto"/>
        </w:rPr>
      </w:pPr>
      <w:r>
        <w:rPr>
          <w:rFonts w:ascii="Arial" w:cs="Arial" w:eastAsia="Arial" w:hAnsi="Arial"/>
          <w:sz w:val="17"/>
          <w:szCs w:val="17"/>
          <w:color w:val="auto"/>
        </w:rPr>
        <w:t>The Company recognizes compensation cost for all stock-based compensation awards made to employees, net of an estimated forfeiture rate and recognizes compensation cost only for those shares expected to vest over the requisite service period of the award.</w:t>
      </w:r>
    </w:p>
    <w:p>
      <w:pPr>
        <w:spacing w:after="0" w:line="103"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The Company determines compensation expense associated with restricted stock units and restricted stock awards based on the fair value of the Company's common stock on the date of the grant.</w:t>
      </w:r>
    </w:p>
    <w:p>
      <w:pPr>
        <w:spacing w:after="0" w:line="112"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The Company determines compensation expense associated with options to purchase shares of common stock and Employee Stock Purchase Plan (ESPP) based on the grant date fair value method using the Black-Scholes valuation model.</w:t>
      </w:r>
    </w:p>
    <w:p>
      <w:pPr>
        <w:spacing w:after="0" w:line="112"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The Black-Scholes valuation model requires judgments and estimates. Such estimates include the exercise price, expected volatility, expected term, risk free rate and expected dividend yield. Any changes to those estimates may have a significant impact on the stock-based compensation expense recorded and could materially impact the Company’s results of operations.</w:t>
      </w:r>
    </w:p>
    <w:p>
      <w:pPr>
        <w:spacing w:after="0" w:line="14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Prior to the Company's IPO, the fair value of shares of common stock was determined by the Company’s board of directors, with input from management and the assistance of a third-party valuation specialist. The Company’s board of directors exercised judgment in determining the estimated fair value of the Company’s common stock on the date of grant based on a number of objective and subjective factors, including the Company’s operating and financial performance, external market conditions affecting the Company’s industry sector, an analysis of publicly traded peer companies, the prices at which the Company sold shares of convertible preferred stock, the superior rights and preferences of securities senior to the Company’s common stock at the time of each grant, and the likelihood of achieving a liquidity event such as an IPO or sale of the Company. Following the Company’s IPO, its board of directors no longer estimate the fair value of the Company’s common stock as the fair value of the Company’s common stock is determined based on the closing quoted market price of the Company’s common stock.</w:t>
      </w:r>
    </w:p>
    <w:p>
      <w:pPr>
        <w:spacing w:after="0" w:line="141"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The expected volatility is estimated based on the historical volatility of the Company’s common stock. However, since the Company’s IPO occurred in 2021, the Company lacked sufficient Company-specific historical and implied volatility information for its stock options granted in 2022 and 2021; therefore, the Company estimated its expected stock volatility based on the historical volatility of publicly traded peer companies.</w:t>
      </w:r>
    </w:p>
    <w:p>
      <w:pPr>
        <w:spacing w:after="0" w:line="136" w:lineRule="exact"/>
        <w:rPr>
          <w:sz w:val="20"/>
          <w:szCs w:val="20"/>
          <w:color w:val="auto"/>
        </w:rPr>
      </w:pPr>
    </w:p>
    <w:p>
      <w:pPr>
        <w:jc w:val="both"/>
        <w:ind w:right="380" w:firstLine="509"/>
        <w:spacing w:after="0" w:line="252" w:lineRule="auto"/>
        <w:rPr>
          <w:sz w:val="20"/>
          <w:szCs w:val="20"/>
          <w:color w:val="auto"/>
        </w:rPr>
      </w:pPr>
      <w:r>
        <w:rPr>
          <w:rFonts w:ascii="Arial" w:cs="Arial" w:eastAsia="Arial" w:hAnsi="Arial"/>
          <w:sz w:val="18"/>
          <w:szCs w:val="18"/>
          <w:color w:val="auto"/>
        </w:rPr>
        <w:t>The expected term represents the period that stock-based awards are expected to be outstanding. The expected term for options grants is determined using the simplified method. The simplified method deems the term to be the average of the time-to-vesting and the contractual life of the stock-based awards.</w:t>
      </w:r>
    </w:p>
    <w:p>
      <w:pPr>
        <w:spacing w:after="0" w:line="144"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risk-free interest rate is determined by reference to the U.S. Treasury yield curve in effect at the time of grant of the award for time periods approximately equal to the expected term of the award.</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Expected dividend yield is zero based on the fact that the Company does not have a history of declaring or paying cash dividends.</w:t>
      </w:r>
    </w:p>
    <w:p>
      <w:pPr>
        <w:spacing w:after="0" w:line="17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Compensation expense is recognized using a straight-line amortization method over the requisite service period of the award, which is generally the vesting term of four years for stock options and restricted stock awards, one to four</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years for restricted stock units and the offering period of 6 months for ESPP. The Company has elected to estimate the expected forfeiture rate and recognize expense only for those shares expected to vest. The expected forfeiture rate is estimated based on historical experience, which was determined to be 5% for the year ending December 31, 2023.</w:t>
      </w:r>
    </w:p>
    <w:p>
      <w:pPr>
        <w:spacing w:after="0" w:line="144"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temporary differences between the financial statement and the tax basis of assets and liabilities, as measured by enacted tax rates anticipated to be in effect when these differences are expected to reverse.</w:t>
      </w:r>
    </w:p>
    <w:p>
      <w:pPr>
        <w:spacing w:after="0" w:line="144"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The measurement of deferred tax assets is reduced by a valuation allowance if, based upon available evidence, it is more-likely-than-not that some or all of the deferred tax assets will not be realized. The Company classifies deferred tax assets and liabilities as noncurrent within the consolidated balance sheets.</w:t>
      </w:r>
    </w:p>
    <w:p>
      <w:pPr>
        <w:spacing w:after="0" w:line="130"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Company accounts for uncertain tax positions using a two-step process to determine the amount of tax benefit to be recognized. First, the tax position is evaluated to determine the likelihood that it will be sustained upon external examination. If the tax position is deemed “more-likely-than -not”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Interest and penalties related to uncertain tax positions are recognized in the provision for income taxes.</w:t>
      </w:r>
    </w:p>
    <w:p>
      <w:pPr>
        <w:spacing w:after="0" w:line="139"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Company accounts for the earnings of its foreign subsidiaries, if any, as permanently reinvested and therefore does not provide for U.S. income taxes that could result from the distribution of those earnings to the U.S. parent.</w:t>
      </w:r>
    </w:p>
    <w:p>
      <w:pPr>
        <w:spacing w:after="0" w:line="126" w:lineRule="exact"/>
        <w:rPr>
          <w:sz w:val="20"/>
          <w:szCs w:val="20"/>
          <w:color w:val="auto"/>
        </w:rPr>
      </w:pPr>
    </w:p>
    <w:p>
      <w:pPr>
        <w:ind w:right="140" w:firstLine="509"/>
        <w:spacing w:after="0" w:line="301" w:lineRule="auto"/>
        <w:rPr>
          <w:sz w:val="20"/>
          <w:szCs w:val="20"/>
          <w:color w:val="auto"/>
        </w:rPr>
      </w:pPr>
      <w:r>
        <w:rPr>
          <w:rFonts w:ascii="Arial" w:cs="Arial" w:eastAsia="Arial" w:hAnsi="Arial"/>
          <w:sz w:val="17"/>
          <w:szCs w:val="17"/>
          <w:color w:val="auto"/>
        </w:rPr>
        <w:t>The Company is open to future tax examinations from 2018 to the present; however, carryforward attributes that were generated prior to 2018 may still be adjusted upon examination by federal, state or local tax authorities to the extent they will be used in a future period.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9" w:lineRule="exact"/>
        <w:rPr>
          <w:sz w:val="20"/>
          <w:szCs w:val="20"/>
          <w:color w:val="auto"/>
        </w:rPr>
      </w:pPr>
    </w:p>
    <w:p>
      <w:pPr>
        <w:ind w:right="300" w:firstLine="509"/>
        <w:spacing w:after="0" w:line="252"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 comprehensive loss for the Company equals its net loss plus changes in foreign currency translation for all periods presented.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follows the two-class method when computing net income (loss) per share as the Company has issued shares that meet the definition of participating securities. Prior to the automatic conversion of all of its convertible preferred stock and redeemable convertible preferred stock into voting and non-voting common stock upon the completion of the IPO, the Company considered all series of its preferred stock and unvested common stock to be participating securities as the holders of such stock had the right to receive nonforfeitable dividends on a pari passu basis in the event that a dividend was paid on common stock. Under the two-class method, the net income (loss) attributable to common stockholders was not allocated to the convertible preferred stock or the redeemable convertible preferred stock as the preferred stockholders did not have a contractual obligation to share in the Company’s losses.</w:t>
      </w:r>
    </w:p>
    <w:p>
      <w:pPr>
        <w:spacing w:after="0" w:line="14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shares of common stock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weighted-average number of common shares outstanding, including all potentially dilutive common shares, if the effect of such shares is dilutive.</w:t>
      </w:r>
    </w:p>
    <w:p>
      <w:pPr>
        <w:spacing w:after="0" w:line="155" w:lineRule="exact"/>
        <w:rPr>
          <w:sz w:val="20"/>
          <w:szCs w:val="20"/>
          <w:color w:val="auto"/>
        </w:rPr>
      </w:pPr>
    </w:p>
    <w:p>
      <w:pPr>
        <w:ind w:right="320" w:firstLine="509"/>
        <w:spacing w:after="0" w:line="252"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loss attributable to common stockholders for the years ended December 31, 2023, 2022 and 2021; accordingly, basic net loss per share attributable to common stockholders was the same as diluted net loss per share attributable to common stockholders.</w:t>
      </w:r>
    </w:p>
    <w:p>
      <w:pPr>
        <w:spacing w:after="0" w:line="126"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loss per share attributable to common stockholders are, therefore, the same for both voting and non-voting common stock on both individual and combined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ASU was issued by the Financial Accounting Standards Board (FASB) and adopted by Flywire during the year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w:t>
      </w:r>
    </w:p>
    <w:p>
      <w:pPr>
        <w:spacing w:after="0" w:line="16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 xml:space="preserve">ASU 2020-04, </w:t>
      </w:r>
      <w:r>
        <w:rPr>
          <w:rFonts w:ascii="Arial" w:cs="Arial" w:eastAsia="Arial" w:hAnsi="Arial"/>
          <w:sz w:val="18"/>
          <w:szCs w:val="18"/>
          <w:i w:val="1"/>
          <w:iCs w:val="1"/>
          <w:color w:val="auto"/>
        </w:rPr>
        <w:t>Reference Rate Reform (Topic 848): Facilitation of the Effects of Reference Rate Reform on Financial Reporting</w:t>
      </w:r>
      <w:r>
        <w:rPr>
          <w:rFonts w:ascii="Arial" w:cs="Arial" w:eastAsia="Arial" w:hAnsi="Arial"/>
          <w:sz w:val="18"/>
          <w:szCs w:val="18"/>
          <w:color w:val="auto"/>
        </w:rPr>
        <w:t xml:space="preserve">: ASU 2020-04 provides optional guidance to ease the potential burden in accounting for (or recognizing the effects of) reference rate reform on financial reporting in response to concerns about structural risks of the cessation of London Interbank Offered Rate (LIBOR). It also provides optional expedients and exceptions for applying GAAP to contracts, hedging relationships and other transactions affected by reference rate reform if certain criteria are met. ASU 2020-04 applies only to contracts and hedging relationships that reference LIBOR or another reference rate expected to be discontinued due to reference rate reform. The Company adopted ASU 2020-04 as of June 30, 2023. The adoption of this standard did not have a material impact on Flywire's consolidated financial statements. Refer to </w:t>
      </w:r>
      <w:r>
        <w:rPr>
          <w:rFonts w:ascii="Arial" w:cs="Arial" w:eastAsia="Arial" w:hAnsi="Arial"/>
          <w:sz w:val="18"/>
          <w:szCs w:val="18"/>
          <w:i w:val="1"/>
          <w:iCs w:val="1"/>
          <w:color w:val="auto"/>
        </w:rPr>
        <w:t>Note 10 - Debt</w:t>
      </w:r>
      <w:r>
        <w:rPr>
          <w:rFonts w:ascii="Arial" w:cs="Arial" w:eastAsia="Arial" w:hAnsi="Arial"/>
          <w:sz w:val="18"/>
          <w:szCs w:val="18"/>
          <w:color w:val="auto"/>
        </w:rPr>
        <w:t xml:space="preserve"> for additional details on the transition from the LIBOR benchmark rate to the Secured Overnight Financing Rate (SOFR) benchmark rate.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 as of December 31, 2023</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ASU 2023-07</w:t>
      </w:r>
      <w:r>
        <w:rPr>
          <w:rFonts w:ascii="Arial" w:cs="Arial" w:eastAsia="Arial" w:hAnsi="Arial"/>
          <w:sz w:val="18"/>
          <w:szCs w:val="18"/>
          <w:i w:val="1"/>
          <w:iCs w:val="1"/>
          <w:color w:val="auto"/>
        </w:rPr>
        <w:t>, Segment Reporting (Topic 280): Improvements to Reportable Segment Disclosures:</w:t>
      </w:r>
      <w:r>
        <w:rPr>
          <w:rFonts w:ascii="Arial" w:cs="Arial" w:eastAsia="Arial" w:hAnsi="Arial"/>
          <w:sz w:val="18"/>
          <w:szCs w:val="18"/>
          <w:color w:val="auto"/>
        </w:rPr>
        <w:t xml:space="preserve"> ASU 2023-07 improves reportable segment disclosure requirements, primarily through enhanced disclosures about significant segment expenses. ASU also enhances interim disclosure requirements, clarifies circumstances in which an entity can disclose multiple segment measures of profit or loss, provides new segment disclosure requirements for entities with a single reportable and contains other disclosure requirements. ASU 2023-07 is effective for Flywire for the annual period beginning on January 1, 2024 and interim periods beginning on January 1, 2025. Early adoption is permitted. ASU 2023-07 should be applied retrospectively to all prior periods presented in the financial statements. The Company is currently evaluating the impact of this standard on its consolidated financial statements and disclosures.</w:t>
      </w:r>
    </w:p>
    <w:p>
      <w:pPr>
        <w:spacing w:after="0" w:line="156"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 xml:space="preserve">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requires public business entities to disclose on an annual basis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In addition, ASU 2023-09 requires disclosure pertaining to taxes paid, net of refunds received, to be disaggregated for federal, state, and foreign taxes and further disaggregated for specific jurisdictions to the extent the related amounts exceed a quantitative threshold. ASU 2023-09 is effective for the Company for the annual period beginning on January 1, 2025. Early adoption is permitted. ASU 2023-09 should be applied on a prospective basis. However, companies have the option to apply the standard retrospectively. The Company is currently evaluating the impact of this standard on its consolidated financial statements and disclosures.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and Recognition</w:t>
      </w:r>
    </w:p>
    <w:p>
      <w:pPr>
        <w:spacing w:after="0" w:line="171"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The following table presents revenue disaggregated by geographical area and major solutions. The categorization of revenue by geographical location is determined based on location of where the client resides.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82"/>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Primary geographical markets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Americas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222,580</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194,429</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159,621</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EMEA</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120,840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69,185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34,072</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APAC</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59,674</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7,456</w:t>
            </w:r>
          </w:p>
        </w:tc>
        <w:tc>
          <w:tcPr>
            <w:tcW w:w="100" w:type="dxa"/>
            <w:vAlign w:val="bottom"/>
          </w:tcPr>
          <w:p>
            <w:pPr>
              <w:spacing w:after="0"/>
              <w:rPr>
                <w:sz w:val="19"/>
                <w:szCs w:val="19"/>
                <w:color w:val="auto"/>
              </w:rPr>
            </w:pPr>
          </w:p>
        </w:tc>
      </w:tr>
      <w:tr>
        <w:trPr>
          <w:trHeight w:val="263"/>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403,094</w:t>
            </w:r>
          </w:p>
        </w:tc>
        <w:tc>
          <w:tcPr>
            <w:tcW w:w="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289,375</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201,149</w:t>
            </w:r>
          </w:p>
        </w:tc>
        <w:tc>
          <w:tcPr>
            <w:tcW w:w="100" w:type="dxa"/>
            <w:vAlign w:val="bottom"/>
            <w:shd w:val="clear" w:color="auto" w:fill="CFF0FC"/>
          </w:tcPr>
          <w:p>
            <w:pPr>
              <w:spacing w:after="0"/>
              <w:rPr>
                <w:sz w:val="22"/>
                <w:szCs w:val="22"/>
                <w:color w:val="auto"/>
              </w:rPr>
            </w:pPr>
          </w:p>
        </w:tc>
      </w:tr>
      <w:tr>
        <w:trPr>
          <w:trHeight w:val="210"/>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Major solutions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Transactions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329,721</w:t>
            </w:r>
          </w:p>
        </w:tc>
        <w:tc>
          <w:tcPr>
            <w:tcW w:w="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224,149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147,994</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Platform and usage-based fees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73,373</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65,226</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53,155</w:t>
            </w:r>
          </w:p>
        </w:tc>
        <w:tc>
          <w:tcPr>
            <w:tcW w:w="100" w:type="dxa"/>
            <w:vAlign w:val="bottom"/>
          </w:tcPr>
          <w:p>
            <w:pPr>
              <w:spacing w:after="0"/>
              <w:rPr>
                <w:sz w:val="19"/>
                <w:szCs w:val="19"/>
                <w:color w:val="auto"/>
              </w:rPr>
            </w:pPr>
          </w:p>
        </w:tc>
      </w:tr>
      <w:tr>
        <w:trPr>
          <w:trHeight w:val="263"/>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403,094</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289,375</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201,149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-641350</wp:posOffset>
            </wp:positionV>
            <wp:extent cx="768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-624205</wp:posOffset>
            </wp:positionV>
            <wp:extent cx="76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-641350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-624205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from Contracts with Clients</w:t>
      </w:r>
    </w:p>
    <w:p>
      <w:pPr>
        <w:spacing w:after="0" w:line="18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timing of revenue recognition, billing and cash collection results in billed receivables, unbilled receivables and deferred revenue on the consolidated balance sheet.</w:t>
      </w:r>
    </w:p>
    <w:p>
      <w:pPr>
        <w:spacing w:after="0" w:line="112"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color w:val="auto"/>
        </w:rPr>
        <w:t>When fees are received prior to transferring services to the client under the terms of a contract, deferred revenue, which is a contract liability, is recorded. Contract liabilities are recognized as revenue when services are performed and all other revenue recognition criteria have been met.</w:t>
      </w:r>
    </w:p>
    <w:p>
      <w:pPr>
        <w:spacing w:after="0" w:line="130"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In certain instances, the Company delivers services in advance of billing. In this case the Company recognizes unbilled receivables which is not a contract asset as the Company has an unconditional right for payment.</w:t>
      </w:r>
    </w:p>
    <w:p>
      <w:pPr>
        <w:spacing w:after="0" w:line="126"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clients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960" w:type="dxa"/>
            <w:vAlign w:val="bottom"/>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18,215</w:t>
            </w:r>
          </w:p>
        </w:tc>
        <w:tc>
          <w:tcPr>
            <w:tcW w:w="124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10,689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 current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5,223</w:t>
            </w:r>
          </w:p>
        </w:tc>
        <w:tc>
          <w:tcPr>
            <w:tcW w:w="100" w:type="dxa"/>
            <w:vAlign w:val="bottom"/>
            <w:shd w:val="clear" w:color="auto" w:fill="CFF0FC"/>
          </w:tcPr>
          <w:p>
            <w:pPr>
              <w:spacing w:after="0"/>
              <w:rPr>
                <w:sz w:val="19"/>
                <w:szCs w:val="19"/>
                <w:color w:val="auto"/>
              </w:rPr>
            </w:pP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color w:val="auto"/>
              </w:rPr>
              <w:t>Deferred revenue – non-current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For the year ended December 31, 2023, the Company recognized $4.8 million in revenue from amounts that were included in deferred revenue as of December 31, 2022.</w:t>
      </w:r>
    </w:p>
    <w:p>
      <w:pPr>
        <w:spacing w:after="0" w:line="126"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For the year ended December 31, 2022, the Company recognized $3.7 million in revenue from amounts that were included in deferred revenue as of December 31, 2021.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69"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The Company has performance obligations associated with certain clients' contracts for future services that have not yet been recognized as revenue. As of December 31, 2023, the aggregate amount of transaction price allocated to performance obligations that are unsatisfied or partially unsatisfied, including deferred revenue, was approximately $16.5 million. Of the total remaining performance obligations, the Company expects to recognize approximately 55.4% within a year and 44.6% over the next two to five years thereafter. Actual amounts and timing of revenue recognized may differ due to subsequent contract modifications, renewals and/or terminations.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6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Incremental costs for obtaining contracts that are deemed recoverable are capitalized as contract costs and are included in other assets in the consolidated balance sheets. Such costs result from the payment of sales incentives and totaled $3.5 million, $4.0 million and $0.4 million as of December 31, 2023, 2022 and 2021, respectively. Capitalized sales incentives are amortized over the period of benefits, which the Company has determined to be three years. The amortization is included in selling and marketing expense line in the consolidated statements of operations and comprehensive loss, and totaled $1.2 million, $0.4 million and less than $0.1 million for the years ended December 31, 2023, 2022 and 2021, respectively.</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Costs to fulfill a contract are capitalized when they relate directly to an existing contract or specific anticipated contract, generate or enhance resources that will be used to fulfill performance obligations and are recoverable. Such costs primarily represent set-up and implementation costs, which include any direct cost incurred at inception of a contract. The Company capitalized $2.3 million, $2.0 million and $1.4 million of costs in 2023, 2022 and 2021, respectively within other assets on the consolidated balance sheets. These capitalized costs are amortized on a straight-line basis over the expected contract life, which generally is five years, starting on go-live date. The amortization is included in technology and development expense line in the consolidated statements of operations and comprehensive loss, and totaled $0.6 million, $1.8 million and $0.2 million for the years ended December 31, 2023, 2022 and 2021, respectively. Included in the amortization expense for the year ended December 31, 2022 is $1.5 million resulting from the impairment of customer set-up costs associated with technology integration. There was no impairment of capitalized contract costs during the years ended December 31, 2023 and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Allowance for Credit Losses</w:t>
      </w:r>
    </w:p>
    <w:p>
      <w:pPr>
        <w:spacing w:after="0" w:line="171"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Company maintains an allowance for credit losses for accounts receivable and unbilled receivables. Changes in the allowance for credit losses for the years ended December 31, 2023, 2022 and 2021 were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 at the beginning of the year</w:t>
            </w:r>
          </w:p>
        </w:tc>
        <w:tc>
          <w:tcPr>
            <w:tcW w:w="90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(212 )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(481 )</w:t>
            </w: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Provision for expected credit losses</w:t>
            </w:r>
          </w:p>
        </w:tc>
        <w:tc>
          <w:tcPr>
            <w:tcW w:w="900" w:type="dxa"/>
            <w:vAlign w:val="bottom"/>
          </w:tcPr>
          <w:p>
            <w:pPr>
              <w:spacing w:after="0"/>
              <w:rPr>
                <w:sz w:val="19"/>
                <w:szCs w:val="19"/>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8"/>
                <w:szCs w:val="18"/>
                <w:color w:val="auto"/>
              </w:rPr>
              <w:t>(326 )</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(152 )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(165 )</w:t>
            </w:r>
          </w:p>
        </w:tc>
      </w:tr>
      <w:tr>
        <w:trPr>
          <w:trHeight w:val="229"/>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Write-offs, net of recoveries</w:t>
            </w:r>
          </w:p>
        </w:tc>
        <w:tc>
          <w:tcPr>
            <w:tcW w:w="9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Allowance for credit losses at the end of the year</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28"/>
              <w:spacing w:after="0"/>
              <w:rPr>
                <w:sz w:val="20"/>
                <w:szCs w:val="20"/>
                <w:color w:val="auto"/>
              </w:rPr>
            </w:pPr>
            <w:r>
              <w:rPr>
                <w:rFonts w:ascii="Arial" w:cs="Arial" w:eastAsia="Arial" w:hAnsi="Arial"/>
                <w:sz w:val="18"/>
                <w:szCs w:val="18"/>
                <w:color w:val="auto"/>
              </w:rPr>
              <w:t>(534 )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(212 )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(106 )</w:t>
            </w:r>
          </w:p>
        </w:tc>
      </w:tr>
      <w:tr>
        <w:trPr>
          <w:trHeight w:val="20"/>
        </w:trPr>
        <w:tc>
          <w:tcPr>
            <w:tcW w:w="6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-179070</wp:posOffset>
            </wp:positionV>
            <wp:extent cx="768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-179070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71"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as of December 31, 2023 and 2022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Measured at NAV</w:t>
            </w:r>
          </w:p>
        </w:tc>
        <w:tc>
          <w:tcPr>
            <w:tcW w:w="860" w:type="dxa"/>
            <w:vAlign w:val="bottom"/>
          </w:tcPr>
          <w:p>
            <w:pPr>
              <w:spacing w:after="0"/>
              <w:rPr>
                <w:sz w:val="14"/>
                <w:szCs w:val="14"/>
                <w:color w:val="auto"/>
              </w:rPr>
            </w:pPr>
          </w:p>
        </w:tc>
        <w:tc>
          <w:tcPr>
            <w:tcW w:w="344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rPr>
              <w:t>Measured at Fair Value as of December 31, 2023:</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Pr>
          <w:p>
            <w:pPr>
              <w:spacing w:after="0"/>
              <w:rPr>
                <w:sz w:val="14"/>
                <w:szCs w:val="14"/>
                <w:color w:val="auto"/>
              </w:rPr>
            </w:pPr>
          </w:p>
        </w:tc>
        <w:tc>
          <w:tcPr>
            <w:tcW w:w="3440" w:type="dxa"/>
            <w:vAlign w:val="bottom"/>
            <w:gridSpan w:val="9"/>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ind w:right="21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372,912</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6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30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372,912</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ind w:right="654"/>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ind w:right="635"/>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635"/>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551"/>
        </w:trPr>
        <w:tc>
          <w:tcPr>
            <w:tcW w:w="438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Measured at NAV</w:t>
            </w:r>
          </w:p>
        </w:tc>
        <w:tc>
          <w:tcPr>
            <w:tcW w:w="860" w:type="dxa"/>
            <w:vAlign w:val="bottom"/>
          </w:tcPr>
          <w:p>
            <w:pPr>
              <w:spacing w:after="0"/>
              <w:rPr>
                <w:sz w:val="24"/>
                <w:szCs w:val="24"/>
                <w:color w:val="auto"/>
              </w:rPr>
            </w:pPr>
          </w:p>
        </w:tc>
        <w:tc>
          <w:tcPr>
            <w:tcW w:w="344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rPr>
              <w:t>Measured at Fair Value as of December 31, 2022:</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Pr>
          <w:p>
            <w:pPr>
              <w:spacing w:after="0"/>
              <w:rPr>
                <w:sz w:val="14"/>
                <w:szCs w:val="14"/>
                <w:color w:val="auto"/>
              </w:rPr>
            </w:pPr>
          </w:p>
        </w:tc>
        <w:tc>
          <w:tcPr>
            <w:tcW w:w="3440" w:type="dxa"/>
            <w:vAlign w:val="bottom"/>
            <w:gridSpan w:val="9"/>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ind w:right="2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9,145</w:t>
            </w:r>
          </w:p>
        </w:tc>
        <w:tc>
          <w:tcPr>
            <w:tcW w:w="2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35"/>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9,145</w:t>
            </w:r>
          </w:p>
        </w:tc>
        <w:tc>
          <w:tcPr>
            <w:tcW w:w="260" w:type="dxa"/>
            <w:vAlign w:val="bottom"/>
          </w:tcPr>
          <w:p>
            <w:pPr>
              <w:spacing w:after="0"/>
              <w:rPr>
                <w:sz w:val="19"/>
                <w:szCs w:val="19"/>
                <w:color w:val="auto"/>
              </w:rPr>
            </w:pP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35"/>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6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635"/>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-1968500</wp:posOffset>
            </wp:positionV>
            <wp:extent cx="768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-1951355</wp:posOffset>
            </wp:positionV>
            <wp:extent cx="768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-1968500</wp:posOffset>
            </wp:positionV>
            <wp:extent cx="768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-1951355</wp:posOffset>
            </wp:positionV>
            <wp:extent cx="768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-1968500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-1951355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-1968500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-1951355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-1951355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-795655</wp:posOffset>
            </wp:positionV>
            <wp:extent cx="768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-795655</wp:posOffset>
            </wp:positionV>
            <wp:extent cx="768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-795655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-795655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-24765</wp:posOffset>
            </wp:positionV>
            <wp:extent cx="768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-7620</wp:posOffset>
            </wp:positionV>
            <wp:extent cx="768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-24765</wp:posOffset>
            </wp:positionV>
            <wp:extent cx="768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-7620</wp:posOffset>
            </wp:positionV>
            <wp:extent cx="768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-24765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-7620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years ended December 31, 2023, 2022 and 2021, there were no transfers between Level 1, Level 2 or Level 3.</w:t>
      </w:r>
    </w:p>
    <w:p>
      <w:pPr>
        <w:sectPr>
          <w:pgSz w:w="11900" w:h="16838" w:orient="portrait"/>
          <w:cols w:equalWidth="0" w:num="1">
            <w:col w:w="11240"/>
          </w:cols>
          <w:pgMar w:left="320" w:top="768"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StudyLink</w:t>
      </w:r>
    </w:p>
    <w:p>
      <w:pPr>
        <w:spacing w:after="0" w:line="169"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 xml:space="preserve">The fair value of the contingent consideration related to the revenue and volume of money movement milestones was determined using an option pricing model and the fair value of the contingent consideration related to the cross-selling and engineering implementation milestones was determined using a scenario-based method. Refer to </w:t>
      </w:r>
      <w:r>
        <w:rPr>
          <w:rFonts w:ascii="Arial" w:cs="Arial" w:eastAsia="Arial" w:hAnsi="Arial"/>
          <w:sz w:val="18"/>
          <w:szCs w:val="18"/>
          <w:i w:val="1"/>
          <w:iCs w:val="1"/>
          <w:color w:val="auto"/>
        </w:rPr>
        <w:t>Note 8 - Business Combinations</w:t>
      </w:r>
      <w:r>
        <w:rPr>
          <w:rFonts w:ascii="Arial" w:cs="Arial" w:eastAsia="Arial" w:hAnsi="Arial"/>
          <w:sz w:val="18"/>
          <w:szCs w:val="18"/>
          <w:color w:val="auto"/>
        </w:rPr>
        <w:t xml:space="preserve"> for additional details on the StudyLink acquisition. The following table presents the unobservable inputs incorporated into the valuation of contingent consideration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Year Ended December 31, 2023</w:t>
            </w:r>
          </w:p>
        </w:tc>
      </w:tr>
      <w:tr>
        <w:trPr>
          <w:trHeight w:val="223"/>
        </w:trPr>
        <w:tc>
          <w:tcPr>
            <w:tcW w:w="8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rate</w:t>
            </w:r>
          </w:p>
        </w:tc>
        <w:tc>
          <w:tcPr>
            <w:tcW w:w="2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 - 7.5%</w:t>
            </w:r>
          </w:p>
        </w:tc>
      </w:tr>
      <w:tr>
        <w:trPr>
          <w:trHeight w:val="239"/>
        </w:trPr>
        <w:tc>
          <w:tcPr>
            <w:tcW w:w="8400" w:type="dxa"/>
            <w:vAlign w:val="bottom"/>
          </w:tcPr>
          <w:p>
            <w:pPr>
              <w:ind w:left="20"/>
              <w:spacing w:after="0"/>
              <w:rPr>
                <w:sz w:val="20"/>
                <w:szCs w:val="20"/>
                <w:color w:val="auto"/>
              </w:rPr>
            </w:pPr>
            <w:r>
              <w:rPr>
                <w:rFonts w:ascii="Arial" w:cs="Arial" w:eastAsia="Arial" w:hAnsi="Arial"/>
                <w:sz w:val="18"/>
                <w:szCs w:val="18"/>
                <w:color w:val="auto"/>
              </w:rPr>
              <w:t>Probability of successful achievement*</w:t>
            </w:r>
          </w:p>
        </w:tc>
        <w:tc>
          <w:tcPr>
            <w:tcW w:w="2840" w:type="dxa"/>
            <w:vAlign w:val="bottom"/>
          </w:tcPr>
          <w:p>
            <w:pPr>
              <w:jc w:val="right"/>
              <w:spacing w:after="0"/>
              <w:rPr>
                <w:sz w:val="20"/>
                <w:szCs w:val="20"/>
                <w:color w:val="auto"/>
              </w:rPr>
            </w:pPr>
            <w:r>
              <w:rPr>
                <w:rFonts w:ascii="Arial" w:cs="Arial" w:eastAsia="Arial" w:hAnsi="Arial"/>
                <w:sz w:val="18"/>
                <w:szCs w:val="18"/>
                <w:color w:val="auto"/>
              </w:rPr>
              <w:t>29% - 95%</w:t>
            </w:r>
          </w:p>
        </w:tc>
      </w:tr>
    </w:tbl>
    <w:p>
      <w:pPr>
        <w:spacing w:after="0" w:line="160"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Increases or decreases in the discount rate would result in a lower or higher fair value measurement, respectively. Increases or decreases in any of the probabilities of success in which the revenue, volume, cross-selling and the engineering implementation milestones are expected to be achieved would result in higher or lower fair value measurement,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Cohort Go</w:t>
      </w:r>
    </w:p>
    <w:p>
      <w:pPr>
        <w:spacing w:after="0" w:line="169"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 xml:space="preserve">During the years ended December 31, 2023 and 2022, the Company made a payment of contingent consideration of $1.7 million and $0.5 million, respectively, in the form of cash, based on Cohort Go's successful and timely achievement of the contracted milestones. No additional contingent consideration is due or payable with respect to the Cohort Go acquisition. Refer to </w:t>
      </w:r>
      <w:r>
        <w:rPr>
          <w:rFonts w:ascii="Arial" w:cs="Arial" w:eastAsia="Arial" w:hAnsi="Arial"/>
          <w:sz w:val="18"/>
          <w:szCs w:val="18"/>
          <w:i w:val="1"/>
          <w:iCs w:val="1"/>
          <w:color w:val="auto"/>
        </w:rPr>
        <w:t>Note 8 - Business Combinations</w:t>
      </w:r>
      <w:r>
        <w:rPr>
          <w:rFonts w:ascii="Arial" w:cs="Arial" w:eastAsia="Arial" w:hAnsi="Arial"/>
          <w:sz w:val="18"/>
          <w:szCs w:val="18"/>
          <w:color w:val="auto"/>
        </w:rPr>
        <w:t xml:space="preserve"> for additional details on the Cohort Go acquisition.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the contingent consideration related to the Cohort Go acquisition was determined using a scenario-based method.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unobservable inputs incorporated into the valuation of contingent consideration as of December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60" w:type="dxa"/>
            <w:vAlign w:val="bottom"/>
            <w:vMerge w:val="restart"/>
          </w:tcPr>
          <w:p>
            <w:pPr>
              <w:ind w:left="20"/>
              <w:spacing w:after="0"/>
              <w:rPr>
                <w:sz w:val="20"/>
                <w:szCs w:val="20"/>
                <w:color w:val="auto"/>
              </w:rPr>
            </w:pPr>
            <w:r>
              <w:rPr>
                <w:rFonts w:ascii="Arial" w:cs="Arial" w:eastAsia="Arial" w:hAnsi="Arial"/>
                <w:sz w:val="18"/>
                <w:szCs w:val="18"/>
                <w:color w:val="auto"/>
              </w:rPr>
              <w:t>Discount rate</w:t>
            </w:r>
          </w:p>
        </w:tc>
        <w:tc>
          <w:tcPr>
            <w:tcW w:w="2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Year Ended December 31, 2022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360" w:type="dxa"/>
            <w:vAlign w:val="bottom"/>
            <w:vMerge w:val="continue"/>
          </w:tcPr>
          <w:p>
            <w:pPr>
              <w:spacing w:after="0"/>
              <w:rPr>
                <w:sz w:val="19"/>
                <w:szCs w:val="19"/>
                <w:color w:val="auto"/>
              </w:rPr>
            </w:pP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39"/>
        </w:trPr>
        <w:tc>
          <w:tcPr>
            <w:tcW w:w="8360" w:type="dxa"/>
            <w:vAlign w:val="bottom"/>
          </w:tcPr>
          <w:p>
            <w:pPr>
              <w:ind w:left="20"/>
              <w:spacing w:after="0"/>
              <w:rPr>
                <w:sz w:val="20"/>
                <w:szCs w:val="20"/>
                <w:color w:val="auto"/>
              </w:rPr>
            </w:pPr>
            <w:r>
              <w:rPr>
                <w:rFonts w:ascii="Arial" w:cs="Arial" w:eastAsia="Arial" w:hAnsi="Arial"/>
                <w:sz w:val="18"/>
                <w:szCs w:val="18"/>
                <w:color w:val="auto"/>
              </w:rPr>
              <w:t>Probability of successful achievement*</w:t>
            </w:r>
          </w:p>
        </w:tc>
        <w:tc>
          <w:tcPr>
            <w:tcW w:w="2780" w:type="dxa"/>
            <w:vAlign w:val="bottom"/>
          </w:tcPr>
          <w:p>
            <w:pPr>
              <w:jc w:val="right"/>
              <w:spacing w:after="0"/>
              <w:rPr>
                <w:sz w:val="20"/>
                <w:szCs w:val="20"/>
                <w:color w:val="auto"/>
              </w:rPr>
            </w:pPr>
            <w:r>
              <w:rPr>
                <w:rFonts w:ascii="Arial" w:cs="Arial" w:eastAsia="Arial" w:hAnsi="Arial"/>
                <w:sz w:val="18"/>
                <w:szCs w:val="18"/>
                <w:color w:val="auto"/>
              </w:rPr>
              <w:t>75% - 100%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238061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180" w:lineRule="exact"/>
        <w:rPr>
          <w:sz w:val="20"/>
          <w:szCs w:val="20"/>
          <w:color w:val="auto"/>
        </w:rPr>
      </w:pPr>
    </w:p>
    <w:p>
      <w:pPr>
        <w:ind w:right="220" w:firstLine="559"/>
        <w:spacing w:after="0" w:line="252" w:lineRule="auto"/>
        <w:rPr>
          <w:sz w:val="20"/>
          <w:szCs w:val="20"/>
          <w:color w:val="auto"/>
        </w:rPr>
      </w:pPr>
      <w:r>
        <w:rPr>
          <w:rFonts w:ascii="Arial" w:cs="Arial" w:eastAsia="Arial" w:hAnsi="Arial"/>
          <w:sz w:val="18"/>
          <w:szCs w:val="18"/>
          <w:color w:val="auto"/>
        </w:rPr>
        <w:t>Increases or decreases in the discount rate would result in a lower or higher fair value measurement, respectively. Increases or decreases in any of the probabilities of success in which the specific post-acquisition milestones were expected to be achieved would result in a higher or lower fair value measurement,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WPM</w:t>
      </w:r>
    </w:p>
    <w:p>
      <w:pPr>
        <w:spacing w:after="0" w:line="16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 xml:space="preserve">Pursuant to the terms of the business combination agreement, contingent consideration was potentially payable at various intervals through March 2024 in the form of cash or up to approximately 225,000 shares of common stock, at Flywire's option, and was dependent upon the Company's achievement of specified minimum payment volume targets and integration targets. As of December 31, 2023, no contingent consideration is due or payable with respect to the WPM acquisition. For the year ended December 31, 2022, the Company paid $0.4 million in contingent consideration related to the completion of integration targets. There was no contingent consideration paid during the year ended December 31, 2021. Refer to </w:t>
      </w:r>
      <w:r>
        <w:rPr>
          <w:rFonts w:ascii="Arial" w:cs="Arial" w:eastAsia="Arial" w:hAnsi="Arial"/>
          <w:sz w:val="18"/>
          <w:szCs w:val="18"/>
          <w:i w:val="1"/>
          <w:iCs w:val="1"/>
          <w:color w:val="auto"/>
        </w:rPr>
        <w:t>Note 8 - Business Combinations</w:t>
      </w:r>
      <w:r>
        <w:rPr>
          <w:rFonts w:ascii="Arial" w:cs="Arial" w:eastAsia="Arial" w:hAnsi="Arial"/>
          <w:sz w:val="18"/>
          <w:szCs w:val="18"/>
          <w:color w:val="auto"/>
        </w:rPr>
        <w:t xml:space="preserve"> for additional details on the WPM acquisition.</w:t>
      </w:r>
    </w:p>
    <w:p>
      <w:pPr>
        <w:spacing w:after="0" w:line="155"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 fair value of the contingent consideration related to the payment volume targets was determined using an option pricing model and the fair value of the contingent consideration related to the integration targets was determined using a scenario-based method. The following table presents the unobservable inputs incorporated into the valuation of contingent consideration related to the WPM acquisition as of December 31,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Market price of risk adjustment for revenue</w:t>
            </w:r>
          </w:p>
        </w:tc>
        <w:tc>
          <w:tcPr>
            <w:tcW w:w="3560" w:type="dxa"/>
            <w:vAlign w:val="bottom"/>
          </w:tcPr>
          <w:p>
            <w:pPr>
              <w:spacing w:after="0"/>
              <w:rPr>
                <w:sz w:val="16"/>
                <w:szCs w:val="16"/>
                <w:color w:val="auto"/>
              </w:rPr>
            </w:pPr>
          </w:p>
        </w:tc>
        <w:tc>
          <w:tcPr>
            <w:tcW w:w="3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Year Ended December 31, 2022</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6840" w:type="dxa"/>
            <w:vAlign w:val="bottom"/>
            <w:gridSpan w:val="4"/>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Revenue volatility</w:t>
            </w:r>
          </w:p>
        </w:tc>
        <w:tc>
          <w:tcPr>
            <w:tcW w:w="6840" w:type="dxa"/>
            <w:vAlign w:val="bottom"/>
            <w:gridSpan w:val="4"/>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Probability of successful achievement*</w:t>
            </w:r>
          </w:p>
        </w:tc>
        <w:tc>
          <w:tcPr>
            <w:tcW w:w="6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 - 100%</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Arial" w:cs="Arial" w:eastAsia="Arial" w:hAnsi="Arial"/>
                <w:sz w:val="18"/>
                <w:szCs w:val="18"/>
                <w:color w:val="auto"/>
              </w:rPr>
              <w:t>Performance period</w:t>
            </w:r>
          </w:p>
        </w:tc>
        <w:tc>
          <w:tcPr>
            <w:tcW w:w="3560" w:type="dxa"/>
            <w:vAlign w:val="bottom"/>
          </w:tcPr>
          <w:p>
            <w:pPr>
              <w:spacing w:after="0"/>
              <w:rPr>
                <w:sz w:val="20"/>
                <w:szCs w:val="20"/>
                <w:color w:val="auto"/>
              </w:rPr>
            </w:pPr>
          </w:p>
        </w:tc>
        <w:tc>
          <w:tcPr>
            <w:tcW w:w="3220" w:type="dxa"/>
            <w:vAlign w:val="bottom"/>
            <w:gridSpan w:val="2"/>
          </w:tcPr>
          <w:p>
            <w:pPr>
              <w:jc w:val="right"/>
              <w:ind w:right="120"/>
              <w:spacing w:after="0"/>
              <w:rPr>
                <w:sz w:val="20"/>
                <w:szCs w:val="20"/>
                <w:color w:val="auto"/>
              </w:rPr>
            </w:pPr>
            <w:r>
              <w:rPr>
                <w:rFonts w:ascii="Arial" w:cs="Arial" w:eastAsia="Arial" w:hAnsi="Arial"/>
                <w:sz w:val="18"/>
                <w:szCs w:val="18"/>
                <w:color w:val="auto"/>
              </w:rPr>
              <w:t>1.25 years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4"/>
        </w:trPr>
        <w:tc>
          <w:tcPr>
            <w:tcW w:w="4460" w:type="dxa"/>
            <w:vAlign w:val="bottom"/>
          </w:tcPr>
          <w:p>
            <w:pPr>
              <w:spacing w:after="0"/>
              <w:rPr>
                <w:sz w:val="24"/>
                <w:szCs w:val="24"/>
                <w:color w:val="auto"/>
              </w:rPr>
            </w:pPr>
          </w:p>
        </w:tc>
        <w:tc>
          <w:tcPr>
            <w:tcW w:w="3560" w:type="dxa"/>
            <w:vAlign w:val="bottom"/>
          </w:tcPr>
          <w:p>
            <w:pPr>
              <w:jc w:val="right"/>
              <w:ind w:right="2150"/>
              <w:spacing w:after="0"/>
              <w:rPr>
                <w:sz w:val="20"/>
                <w:szCs w:val="20"/>
                <w:color w:val="auto"/>
              </w:rPr>
            </w:pPr>
            <w:r>
              <w:rPr>
                <w:rFonts w:ascii="Arial" w:cs="Arial" w:eastAsia="Arial" w:hAnsi="Arial"/>
                <w:sz w:val="18"/>
                <w:szCs w:val="18"/>
                <w:color w:val="auto"/>
              </w:rPr>
              <w:t>132</w:t>
            </w: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1"/>
        </w:trPr>
        <w:tc>
          <w:tcPr>
            <w:tcW w:w="44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-1403350</wp:posOffset>
            </wp:positionV>
            <wp:extent cx="7132320" cy="1454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238061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3806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180"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Increases or decreases in expectations regarding the level at which payment volumes were expected to be achieved would result in a higher or lower fair value measurement, respectively. Increases or decreases in the market price of risk adjustment of revenue would result in a decrease or increase in the fair value measurement, respectively. Increases or decreases in the revenue volatility would result in a decrease or increase in the fair value measurement, respectively.</w:t>
      </w:r>
    </w:p>
    <w:p>
      <w:pPr>
        <w:spacing w:after="0" w:line="136"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 following table summarizes the changes in the carrying value of the contingent consideration for the years ended December 31, 2023, 2022 and 2021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37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Additions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19"/>
                <w:szCs w:val="19"/>
                <w:color w:val="auto"/>
              </w:rPr>
            </w:pPr>
          </w:p>
        </w:tc>
      </w:tr>
      <w:tr>
        <w:trPr>
          <w:trHeight w:val="229"/>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Change in fair value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(2,805 )</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 paid*</w:t>
            </w:r>
          </w:p>
        </w:tc>
        <w:tc>
          <w:tcPr>
            <w:tcW w:w="320" w:type="dxa"/>
            <w:vAlign w:val="bottom"/>
          </w:tcPr>
          <w:p>
            <w:pPr>
              <w:spacing w:after="0"/>
              <w:rPr>
                <w:sz w:val="19"/>
                <w:szCs w:val="19"/>
                <w:color w:val="auto"/>
              </w:rPr>
            </w:pPr>
          </w:p>
        </w:tc>
        <w:tc>
          <w:tcPr>
            <w:tcW w:w="1300" w:type="dxa"/>
            <w:vAlign w:val="bottom"/>
            <w:gridSpan w:val="2"/>
          </w:tcPr>
          <w:p>
            <w:pPr>
              <w:jc w:val="right"/>
              <w:ind w:right="119"/>
              <w:spacing w:after="0"/>
              <w:rPr>
                <w:sz w:val="20"/>
                <w:szCs w:val="20"/>
                <w:color w:val="auto"/>
              </w:rPr>
            </w:pPr>
            <w:r>
              <w:rPr>
                <w:rFonts w:ascii="Arial" w:cs="Arial" w:eastAsia="Arial" w:hAnsi="Arial"/>
                <w:sz w:val="18"/>
                <w:szCs w:val="18"/>
                <w:color w:val="auto"/>
              </w:rPr>
              <w:t>(1,674 )</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(8,664 )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(7,012 )</w:t>
            </w:r>
          </w:p>
        </w:tc>
      </w:tr>
      <w:tr>
        <w:trPr>
          <w:trHeight w:val="229"/>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(203 )</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23"/>
        </w:trPr>
        <w:tc>
          <w:tcPr>
            <w:tcW w:w="662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tcBorders>
              <w:top w:val="single" w:sz="8" w:color="CFF0FC"/>
            </w:tcBorders>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376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-281940</wp:posOffset>
            </wp:positionV>
            <wp:extent cx="768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-281940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ind w:left="120" w:firstLine="8"/>
        <w:spacing w:after="0" w:line="248" w:lineRule="auto"/>
        <w:tabs>
          <w:tab w:leader="none" w:pos="216" w:val="left"/>
        </w:tabs>
        <w:numPr>
          <w:ilvl w:val="0"/>
          <w:numId w:val="56"/>
        </w:numPr>
        <w:rPr>
          <w:rFonts w:ascii="Arial" w:cs="Arial" w:eastAsia="Arial" w:hAnsi="Arial"/>
          <w:sz w:val="14"/>
          <w:szCs w:val="14"/>
          <w:color w:val="auto"/>
        </w:rPr>
      </w:pPr>
      <w:r>
        <w:rPr>
          <w:rFonts w:ascii="Arial" w:cs="Arial" w:eastAsia="Arial" w:hAnsi="Arial"/>
          <w:sz w:val="14"/>
          <w:szCs w:val="14"/>
          <w:color w:val="auto"/>
        </w:rPr>
        <w:t>For the years ended December 31, 2023 and 2021, contingent consideration paid has been bifurcated between the financing and operating sections of the consolidated statement of cash flows. Amounts paid up to the fair value initially recorded in purchase accounting is reported in the financing section of the consolidated statement of cash flows, while any excess is reported in the operating section of the consolidated statement of cash flows. For the year ended December 31, 2022, contingent consideration paid has been bifurcated among the investing, financing and operating sections of the consolidated statement of cash flows. Contingent consideration paid within three months after the acquisition date of Cohort Go is reported in the investing section of the consolidated statement of cash flows given the proximity to the acquisition date. Amounts paid up to the fair value initially recorded in purchase accounting is reported in the financing section of the consolidated statement of cash flows, while any excess is reported in the operating section of the consolidated statement of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Instruments</w:t>
      </w:r>
    </w:p>
    <w:p>
      <w:pPr>
        <w:spacing w:after="0" w:line="171"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December 31, 2023 and 2022, the Company had 12,737 and 11,816 open foreign exchange contracts, respectively. As of December 31, 2023 and 2022, the Company had foreign currency forward contracts outstanding with a notional amount of $36.1 million and $54.7 million, respectively.</w:t>
      </w:r>
    </w:p>
    <w:p>
      <w:pPr>
        <w:spacing w:after="0" w:line="158"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Company records all derivative instruments in the consolidated balance sheets at their fair values. For the year ended December 31, 2023, the Company recorded an asset of less than $0.1 million and for the year ended December 31, 2022, the Company recorded a liability of $0.1 million related to outstanding foreign exchange contracts. The Company recognized a loss of $2.0 million, $1.6 million and $0.8 million during the years ended December 31, 2023, 2022 and 2021, respectively, which was included in the general and administrative line within the consolidated statements of operations and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Accrued Expenses and Other Current Liabilities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49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employee compensation and related taxes</w:t>
            </w:r>
          </w:p>
        </w:tc>
        <w:tc>
          <w:tcPr>
            <w:tcW w:w="376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19,748</w:t>
            </w:r>
          </w:p>
        </w:tc>
        <w:tc>
          <w:tcPr>
            <w:tcW w:w="124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16,944</w:t>
            </w:r>
          </w:p>
        </w:tc>
        <w:tc>
          <w:tcPr>
            <w:tcW w:w="100" w:type="dxa"/>
            <w:vAlign w:val="bottom"/>
            <w:shd w:val="clear" w:color="auto" w:fill="CFF0FC"/>
          </w:tcPr>
          <w:p>
            <w:pPr>
              <w:spacing w:after="0"/>
              <w:rPr>
                <w:sz w:val="19"/>
                <w:szCs w:val="19"/>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2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4,193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r>
      <w:tr>
        <w:trPr>
          <w:trHeight w:val="22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income and other non-employee related taxes</w:t>
            </w:r>
          </w:p>
        </w:tc>
        <w:tc>
          <w:tcPr>
            <w:tcW w:w="28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FF0FC"/>
          </w:tcPr>
          <w:p>
            <w:pPr>
              <w:spacing w:after="0"/>
              <w:rPr>
                <w:sz w:val="19"/>
                <w:szCs w:val="19"/>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2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r>
      <w:tr>
        <w:trPr>
          <w:trHeight w:val="22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8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FF0FC"/>
          </w:tcPr>
          <w:p>
            <w:pPr>
              <w:spacing w:after="0"/>
              <w:rPr>
                <w:sz w:val="19"/>
                <w:szCs w:val="19"/>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28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2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100" w:type="dxa"/>
            <w:vAlign w:val="bottom"/>
          </w:tcPr>
          <w:p>
            <w:pPr>
              <w:spacing w:after="0"/>
              <w:rPr>
                <w:sz w:val="19"/>
                <w:szCs w:val="19"/>
                <w:color w:val="auto"/>
              </w:rPr>
            </w:pPr>
          </w:p>
        </w:tc>
      </w:tr>
      <w:tr>
        <w:trPr>
          <w:trHeight w:val="263"/>
        </w:trPr>
        <w:tc>
          <w:tcPr>
            <w:tcW w:w="4940" w:type="dxa"/>
            <w:vAlign w:val="bottom"/>
            <w:shd w:val="clear" w:color="auto" w:fill="CFF0FC"/>
          </w:tcPr>
          <w:p>
            <w:pPr>
              <w:spacing w:after="0"/>
              <w:rPr>
                <w:sz w:val="22"/>
                <w:szCs w:val="22"/>
                <w:color w:val="auto"/>
              </w:rPr>
            </w:pPr>
          </w:p>
        </w:tc>
        <w:tc>
          <w:tcPr>
            <w:tcW w:w="376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43,315</w:t>
            </w:r>
          </w:p>
        </w:tc>
        <w:tc>
          <w:tcPr>
            <w:tcW w:w="124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34,423</w:t>
            </w:r>
          </w:p>
        </w:tc>
        <w:tc>
          <w:tcPr>
            <w:tcW w:w="100" w:type="dxa"/>
            <w:vAlign w:val="bottom"/>
            <w:shd w:val="clear" w:color="auto" w:fill="CFF0FC"/>
          </w:tcPr>
          <w:p>
            <w:pPr>
              <w:spacing w:after="0"/>
              <w:rPr>
                <w:sz w:val="22"/>
                <w:szCs w:val="22"/>
                <w:color w:val="auto"/>
              </w:rPr>
            </w:pPr>
          </w:p>
        </w:tc>
      </w:tr>
      <w:tr>
        <w:trPr>
          <w:trHeight w:val="524"/>
        </w:trPr>
        <w:tc>
          <w:tcPr>
            <w:tcW w:w="4940" w:type="dxa"/>
            <w:vAlign w:val="bottom"/>
            <w:tcBorders>
              <w:top w:val="single" w:sz="8" w:color="CFF0FC"/>
            </w:tcBorders>
          </w:tcPr>
          <w:p>
            <w:pPr>
              <w:spacing w:after="0"/>
              <w:rPr>
                <w:sz w:val="24"/>
                <w:szCs w:val="24"/>
                <w:color w:val="auto"/>
              </w:rPr>
            </w:pPr>
          </w:p>
        </w:tc>
        <w:tc>
          <w:tcPr>
            <w:tcW w:w="2800" w:type="dxa"/>
            <w:vAlign w:val="bottom"/>
            <w:tcBorders>
              <w:top w:val="single" w:sz="8" w:color="CFF0FC"/>
            </w:tcBorders>
          </w:tcPr>
          <w:p>
            <w:pPr>
              <w:jc w:val="right"/>
              <w:ind w:right="1870"/>
              <w:spacing w:after="0"/>
              <w:rPr>
                <w:sz w:val="20"/>
                <w:szCs w:val="20"/>
                <w:color w:val="auto"/>
              </w:rPr>
            </w:pPr>
            <w:r>
              <w:rPr>
                <w:rFonts w:ascii="Arial" w:cs="Arial" w:eastAsia="Arial" w:hAnsi="Arial"/>
                <w:sz w:val="18"/>
                <w:szCs w:val="18"/>
                <w:color w:val="auto"/>
              </w:rPr>
              <w:t>133</w:t>
            </w: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18"/>
        </w:trPr>
        <w:tc>
          <w:tcPr>
            <w:tcW w:w="49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-838200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-821055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 net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as of the dates presented (dollars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Estimated Useful Life</w:t>
            </w: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37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4"/>
                <w:szCs w:val="14"/>
                <w:i w:val="1"/>
                <w:iCs w:val="1"/>
                <w:color w:val="auto"/>
              </w:rPr>
              <w:t>(Years)</w:t>
            </w:r>
          </w:p>
        </w:tc>
        <w:tc>
          <w:tcPr>
            <w:tcW w:w="300" w:type="dxa"/>
            <w:vAlign w:val="bottom"/>
          </w:tcPr>
          <w:p>
            <w:pPr>
              <w:spacing w:after="0"/>
              <w:rPr>
                <w:sz w:val="15"/>
                <w:szCs w:val="15"/>
                <w:color w:val="auto"/>
              </w:rPr>
            </w:pPr>
          </w:p>
        </w:tc>
        <w:tc>
          <w:tcPr>
            <w:tcW w:w="9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6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3 - 5</w:t>
            </w:r>
          </w:p>
        </w:tc>
        <w:tc>
          <w:tcPr>
            <w:tcW w:w="1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w:t>
            </w:r>
          </w:p>
        </w:tc>
        <w:tc>
          <w:tcPr>
            <w:tcW w:w="26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3,195</w:t>
            </w:r>
          </w:p>
        </w:tc>
        <w:tc>
          <w:tcPr>
            <w:tcW w:w="100" w:type="dxa"/>
            <w:vAlign w:val="bottom"/>
            <w:shd w:val="clear" w:color="auto" w:fill="CFF0FC"/>
          </w:tcPr>
          <w:p>
            <w:pPr>
              <w:spacing w:after="0"/>
              <w:rPr>
                <w:sz w:val="19"/>
                <w:szCs w:val="19"/>
                <w:color w:val="auto"/>
              </w:rPr>
            </w:pP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Internal-use software</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18,135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13,131</w:t>
            </w:r>
          </w:p>
        </w:tc>
        <w:tc>
          <w:tcPr>
            <w:tcW w:w="100" w:type="dxa"/>
            <w:vAlign w:val="bottom"/>
          </w:tcPr>
          <w:p>
            <w:pPr>
              <w:spacing w:after="0"/>
              <w:rPr>
                <w:sz w:val="19"/>
                <w:szCs w:val="19"/>
                <w:color w:val="auto"/>
              </w:rPr>
            </w:pPr>
          </w:p>
        </w:tc>
      </w:tr>
      <w:tr>
        <w:trPr>
          <w:trHeight w:val="229"/>
        </w:trPr>
        <w:tc>
          <w:tcPr>
            <w:tcW w:w="6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FF0FC"/>
          </w:tcPr>
          <w:p>
            <w:pPr>
              <w:spacing w:after="0"/>
              <w:rPr>
                <w:sz w:val="19"/>
                <w:szCs w:val="19"/>
                <w:color w:val="auto"/>
              </w:rPr>
            </w:pPr>
          </w:p>
        </w:tc>
      </w:tr>
      <w:tr>
        <w:trPr>
          <w:trHeight w:val="197"/>
        </w:trPr>
        <w:tc>
          <w:tcPr>
            <w:tcW w:w="638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Leasehold improvements</w:t>
            </w:r>
          </w:p>
        </w:tc>
        <w:tc>
          <w:tcPr>
            <w:tcW w:w="1980" w:type="dxa"/>
            <w:vAlign w:val="bottom"/>
            <w:gridSpan w:val="2"/>
          </w:tcPr>
          <w:p>
            <w:pPr>
              <w:jc w:val="center"/>
              <w:ind w:right="140"/>
              <w:spacing w:after="0" w:line="197" w:lineRule="exact"/>
              <w:rPr>
                <w:sz w:val="20"/>
                <w:szCs w:val="20"/>
                <w:color w:val="auto"/>
              </w:rPr>
            </w:pPr>
            <w:r>
              <w:rPr>
                <w:rFonts w:ascii="Arial" w:cs="Arial" w:eastAsia="Arial" w:hAnsi="Arial"/>
                <w:sz w:val="18"/>
                <w:szCs w:val="18"/>
                <w:color w:val="auto"/>
                <w:w w:val="99"/>
              </w:rPr>
              <w:t>Shorter of lease term</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37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or useful life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5,431</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4,704</w:t>
            </w:r>
          </w:p>
        </w:tc>
        <w:tc>
          <w:tcPr>
            <w:tcW w:w="100" w:type="dxa"/>
            <w:vAlign w:val="bottom"/>
          </w:tcPr>
          <w:p>
            <w:pPr>
              <w:spacing w:after="0"/>
              <w:rPr>
                <w:sz w:val="20"/>
                <w:szCs w:val="20"/>
                <w:color w:val="auto"/>
              </w:rPr>
            </w:pPr>
          </w:p>
        </w:tc>
      </w:tr>
      <w:tr>
        <w:trPr>
          <w:trHeight w:val="229"/>
        </w:trPr>
        <w:tc>
          <w:tcPr>
            <w:tcW w:w="6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1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FF0FC"/>
          </w:tcPr>
          <w:p>
            <w:pPr>
              <w:spacing w:after="0"/>
              <w:rPr>
                <w:sz w:val="19"/>
                <w:szCs w:val="19"/>
                <w:color w:val="auto"/>
              </w:rPr>
            </w:pPr>
          </w:p>
        </w:tc>
      </w:tr>
      <w:tr>
        <w:trPr>
          <w:trHeight w:val="223"/>
        </w:trPr>
        <w:tc>
          <w:tcPr>
            <w:tcW w:w="3760" w:type="dxa"/>
            <w:vAlign w:val="bottom"/>
            <w:tcBorders>
              <w:top w:val="single" w:sz="8" w:color="CFF0FC"/>
            </w:tcBorders>
          </w:tcPr>
          <w:p>
            <w:pPr>
              <w:spacing w:after="0"/>
              <w:rPr>
                <w:sz w:val="19"/>
                <w:szCs w:val="19"/>
                <w:color w:val="auto"/>
              </w:rPr>
            </w:pPr>
          </w:p>
        </w:tc>
        <w:tc>
          <w:tcPr>
            <w:tcW w:w="2620" w:type="dxa"/>
            <w:vAlign w:val="bottom"/>
            <w:tcBorders>
              <w:top w:val="single" w:sz="8" w:color="CFF0FC"/>
            </w:tcBorders>
          </w:tcPr>
          <w:p>
            <w:pPr>
              <w:spacing w:after="0"/>
              <w:rPr>
                <w:sz w:val="19"/>
                <w:szCs w:val="19"/>
                <w:color w:val="auto"/>
              </w:rPr>
            </w:pPr>
          </w:p>
        </w:tc>
        <w:tc>
          <w:tcPr>
            <w:tcW w:w="18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28,159</w:t>
            </w:r>
          </w:p>
        </w:tc>
        <w:tc>
          <w:tcPr>
            <w:tcW w:w="26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22,213</w:t>
            </w:r>
          </w:p>
        </w:tc>
        <w:tc>
          <w:tcPr>
            <w:tcW w:w="100" w:type="dxa"/>
            <w:vAlign w:val="bottom"/>
            <w:tcBorders>
              <w:top w:val="single" w:sz="8" w:color="CFF0FC"/>
            </w:tcBorders>
          </w:tcPr>
          <w:p>
            <w:pPr>
              <w:spacing w:after="0"/>
              <w:rPr>
                <w:sz w:val="19"/>
                <w:szCs w:val="19"/>
                <w:color w:val="auto"/>
              </w:rPr>
            </w:pPr>
          </w:p>
        </w:tc>
      </w:tr>
      <w:tr>
        <w:trPr>
          <w:trHeight w:val="229"/>
        </w:trPr>
        <w:tc>
          <w:tcPr>
            <w:tcW w:w="6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(13,025 )</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(8,896 )</w:t>
            </w:r>
          </w:p>
        </w:tc>
      </w:tr>
      <w:tr>
        <w:trPr>
          <w:trHeight w:val="223"/>
        </w:trPr>
        <w:tc>
          <w:tcPr>
            <w:tcW w:w="3760" w:type="dxa"/>
            <w:vAlign w:val="bottom"/>
            <w:tcBorders>
              <w:top w:val="single" w:sz="8" w:color="CFF0FC"/>
            </w:tcBorders>
          </w:tcPr>
          <w:p>
            <w:pPr>
              <w:spacing w:after="0"/>
              <w:rPr>
                <w:sz w:val="19"/>
                <w:szCs w:val="19"/>
                <w:color w:val="auto"/>
              </w:rPr>
            </w:pPr>
          </w:p>
        </w:tc>
        <w:tc>
          <w:tcPr>
            <w:tcW w:w="2620" w:type="dxa"/>
            <w:vAlign w:val="bottom"/>
            <w:tcBorders>
              <w:top w:val="single" w:sz="8" w:color="CFF0FC"/>
            </w:tcBorders>
          </w:tcPr>
          <w:p>
            <w:pPr>
              <w:spacing w:after="0"/>
              <w:rPr>
                <w:sz w:val="19"/>
                <w:szCs w:val="19"/>
                <w:color w:val="auto"/>
              </w:rPr>
            </w:pPr>
          </w:p>
        </w:tc>
        <w:tc>
          <w:tcPr>
            <w:tcW w:w="18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15,134</w:t>
            </w:r>
          </w:p>
        </w:tc>
        <w:tc>
          <w:tcPr>
            <w:tcW w:w="260" w:type="dxa"/>
            <w:vAlign w:val="bottom"/>
            <w:tcBorders>
              <w:top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13,317</w:t>
            </w:r>
          </w:p>
        </w:tc>
        <w:tc>
          <w:tcPr>
            <w:tcW w:w="100" w:type="dxa"/>
            <w:vAlign w:val="bottom"/>
            <w:tcBorders>
              <w:top w:val="single" w:sz="8" w:color="CFF0FC"/>
            </w:tcBorders>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376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6109970</wp:posOffset>
            </wp:positionH>
            <wp:positionV relativeFrom="paragraph">
              <wp:posOffset>-572770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-572770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-273050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-273050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 For the year ended December 31, 2023, accumulated depreciation and amortization expense included $(167) thousand of computer disposals</w:t>
      </w:r>
    </w:p>
    <w:p>
      <w:pPr>
        <w:spacing w:after="0" w:line="15" w:lineRule="exact"/>
        <w:rPr>
          <w:sz w:val="20"/>
          <w:szCs w:val="20"/>
          <w:color w:val="auto"/>
        </w:rPr>
      </w:pPr>
    </w:p>
    <w:p>
      <w:pPr>
        <w:ind w:right="300"/>
        <w:spacing w:after="0" w:line="263" w:lineRule="auto"/>
        <w:rPr>
          <w:sz w:val="20"/>
          <w:szCs w:val="20"/>
          <w:color w:val="auto"/>
        </w:rPr>
      </w:pPr>
      <w:r>
        <w:rPr>
          <w:rFonts w:ascii="Arial" w:cs="Arial" w:eastAsia="Arial" w:hAnsi="Arial"/>
          <w:sz w:val="14"/>
          <w:szCs w:val="14"/>
          <w:color w:val="auto"/>
        </w:rPr>
        <w:t>and $54 thousand of foreign currency translation adjustments. For the year ended December 31, 2022, accumulated depreciation and amortization expense included $(208) thousand of computer disposals and $(222) thousand of foreign currency translation adjustments.</w:t>
      </w:r>
    </w:p>
    <w:p>
      <w:pPr>
        <w:spacing w:after="0" w:line="136"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Depreciation of property and equipment and amortization of internal-used software was $4.2 million, $3.2 million and $2.3 million for the years ended December 31, 2023, 2022 and 2021, respectively.</w:t>
      </w:r>
    </w:p>
    <w:p>
      <w:pPr>
        <w:spacing w:after="0" w:line="112"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 Company capitalized $5.0 million and $5.7 million in costs related to internal-use software during the years ended December 31, 2023 and 2022.</w:t>
      </w:r>
    </w:p>
    <w:p>
      <w:pPr>
        <w:spacing w:after="0" w:line="112"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As of December 31, 2023 and 2022, the carrying value of internal-used software was $12.7 million and $10.6 million, respectively. Amortization expense related to internal-used software was $2.9 million, $1.6 million and $0.8 for the years ended December 31, 2023, 2022 and 2021,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property and equipment, net based on geography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Long-lived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U.S.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13,503</w:t>
            </w:r>
          </w:p>
        </w:tc>
        <w:tc>
          <w:tcPr>
            <w:tcW w:w="7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11,655</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U.K.</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countries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15,134</w:t>
            </w:r>
          </w:p>
        </w:tc>
        <w:tc>
          <w:tcPr>
            <w:tcW w:w="28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Business Combinations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StudyLink</w:t>
      </w:r>
    </w:p>
    <w:p>
      <w:pPr>
        <w:spacing w:after="0" w:line="16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On November 3, 2023, Flywire, through one if its Australian entities Flywire Pacific Pty Ltd., acquired all of the issued and outstanding shares of StudyLink,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was intended to accelerate the Company's success in the Australian higher education market and enhance the Company's value proposition to payers, universities and agents in the higher education ecosystem. The acquisition of StudyLink has been accounted for as a business combination.</w:t>
      </w:r>
    </w:p>
    <w:p>
      <w:pPr>
        <w:spacing w:after="0" w:line="155" w:lineRule="exact"/>
        <w:rPr>
          <w:sz w:val="20"/>
          <w:szCs w:val="20"/>
          <w:color w:val="auto"/>
        </w:rPr>
      </w:pPr>
    </w:p>
    <w:p>
      <w:pPr>
        <w:jc w:val="both"/>
        <w:ind w:right="60" w:firstLine="509"/>
        <w:spacing w:after="0" w:line="252" w:lineRule="auto"/>
        <w:rPr>
          <w:sz w:val="20"/>
          <w:szCs w:val="20"/>
          <w:color w:val="auto"/>
        </w:rPr>
      </w:pPr>
      <w:r>
        <w:rPr>
          <w:rFonts w:ascii="Arial" w:cs="Arial" w:eastAsia="Arial" w:hAnsi="Arial"/>
          <w:sz w:val="18"/>
          <w:szCs w:val="18"/>
          <w:color w:val="auto"/>
        </w:rPr>
        <w:t>The finalization of the purchase accounting assessment is subject to net working capital adjustment completion. As a result, during the measurement period, which may be up to one year from the acquisition date, the Company may record a net working capital adjustment with a corresponding offset to goodwill to reflect additional information received</w:t>
      </w:r>
    </w:p>
    <w:p>
      <w:pPr>
        <w:sectPr>
          <w:pgSz w:w="11900" w:h="16838" w:orient="portrait"/>
          <w:cols w:equalWidth="0" w:num="1">
            <w:col w:w="11240"/>
          </w:cols>
          <w:pgMar w:left="320" w:top="768" w:right="33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620"/>
        <w:spacing w:after="0" w:line="252" w:lineRule="auto"/>
        <w:rPr>
          <w:sz w:val="20"/>
          <w:szCs w:val="20"/>
          <w:color w:val="auto"/>
        </w:rPr>
      </w:pPr>
      <w:r>
        <w:rPr>
          <w:rFonts w:ascii="Arial" w:cs="Arial" w:eastAsia="Arial" w:hAnsi="Arial"/>
          <w:sz w:val="18"/>
          <w:szCs w:val="18"/>
          <w:color w:val="auto"/>
        </w:rPr>
        <w:t>about facts and circumstances which existed at the date of acquisition. The Company records adjustments to the assets acquired and liabilities assumed subsequent to the purchase price allocation period in the Company’s operating results in the period in which the adjustments are determined. Any potential adjustments made could be material in relation to the preliminary values presented.</w:t>
      </w:r>
    </w:p>
    <w:p>
      <w:pPr>
        <w:spacing w:after="0" w:line="144" w:lineRule="exact"/>
        <w:rPr>
          <w:sz w:val="20"/>
          <w:szCs w:val="20"/>
          <w:color w:val="auto"/>
        </w:rPr>
      </w:pPr>
    </w:p>
    <w:p>
      <w:pPr>
        <w:ind w:right="800" w:firstLine="509"/>
        <w:spacing w:after="0" w:line="271" w:lineRule="auto"/>
        <w:rPr>
          <w:sz w:val="20"/>
          <w:szCs w:val="20"/>
          <w:color w:val="auto"/>
        </w:rPr>
      </w:pPr>
      <w:r>
        <w:rPr>
          <w:rFonts w:ascii="Arial" w:cs="Arial" w:eastAsia="Arial" w:hAnsi="Arial"/>
          <w:sz w:val="18"/>
          <w:szCs w:val="18"/>
          <w:color w:val="auto"/>
        </w:rPr>
        <w:t>Pursuant to the terms of the business combination agreement, the Company acquired StudyLink for estimated total purchase consideration of approximately $37.6 million or $35.5 million, net of cash acquired, which consisted of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72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32,764</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Estimated fair value of contingent consideration</w:t>
            </w: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19"/>
                <w:szCs w:val="19"/>
                <w:color w:val="auto"/>
              </w:rPr>
            </w:pPr>
          </w:p>
        </w:tc>
      </w:tr>
      <w:tr>
        <w:trPr>
          <w:trHeight w:val="263"/>
        </w:trPr>
        <w:tc>
          <w:tcPr>
            <w:tcW w:w="92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purchase consideration, net of cash acquired</w:t>
            </w:r>
          </w:p>
        </w:tc>
        <w:tc>
          <w:tcPr>
            <w:tcW w:w="72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Contingent consideration, which totals up to approximately $2.7 million, represents additional payments that Flywire may be required to make in the future which are dependent upon StudyLink's successful achievement of revenue, volume, cross-selling and engineering implementation milestones and is subject to exchange rate fluctuation adjustment between the U.S. Dollar and Australian Dollar. A portion of contingent consideration can be paid in the form of cash or shares of common stock, at the Company's option.</w:t>
      </w:r>
    </w:p>
    <w:p>
      <w:pPr>
        <w:spacing w:after="0" w:line="149" w:lineRule="exact"/>
        <w:rPr>
          <w:sz w:val="20"/>
          <w:szCs w:val="20"/>
          <w:color w:val="auto"/>
        </w:rPr>
      </w:pPr>
    </w:p>
    <w:p>
      <w:pPr>
        <w:ind w:right="420" w:firstLine="509"/>
        <w:spacing w:after="0" w:line="274" w:lineRule="auto"/>
        <w:rPr>
          <w:sz w:val="20"/>
          <w:szCs w:val="20"/>
          <w:color w:val="auto"/>
        </w:rPr>
      </w:pPr>
      <w:r>
        <w:rPr>
          <w:rFonts w:ascii="Arial" w:cs="Arial" w:eastAsia="Arial" w:hAnsi="Arial"/>
          <w:sz w:val="17"/>
          <w:szCs w:val="17"/>
          <w:color w:val="auto"/>
        </w:rPr>
        <w:t>Additional payments in the form of shares of common stock will be made based on the continuing employment of a key employee; accordingly, the fair value of $2.4 million, or approximately 84,000 shares of common stock, have been excluded from the purchase consideration. These shares are fixed on the date of acquisition and payable only in common stock, therefore are equity-classified.</w:t>
      </w:r>
    </w:p>
    <w:p>
      <w:pPr>
        <w:spacing w:after="0" w:line="113" w:lineRule="exact"/>
        <w:rPr>
          <w:sz w:val="20"/>
          <w:szCs w:val="20"/>
          <w:color w:val="auto"/>
        </w:rPr>
      </w:pPr>
    </w:p>
    <w:p>
      <w:pPr>
        <w:ind w:right="180" w:firstLine="559"/>
        <w:spacing w:after="0" w:line="252" w:lineRule="auto"/>
        <w:rPr>
          <w:sz w:val="20"/>
          <w:szCs w:val="20"/>
          <w:color w:val="auto"/>
        </w:rPr>
      </w:pPr>
      <w:r>
        <w:rPr>
          <w:rFonts w:ascii="Arial" w:cs="Arial" w:eastAsia="Arial" w:hAnsi="Arial"/>
          <w:sz w:val="18"/>
          <w:szCs w:val="18"/>
          <w:color w:val="auto"/>
        </w:rPr>
        <w:t>During the year ended December 31, 2023, the Company expensed $0.2 million in personnel costs associated with retention of the key employee. These personnel costs are included in the Company’s consolidated statements of operations and comprehensive loss and a liability is recorded in accrued expenses and other current liabilities on the consolidated balance sheet.</w:t>
      </w:r>
    </w:p>
    <w:p>
      <w:pPr>
        <w:spacing w:after="0" w:line="130"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During the year ended December 31, 2023, the Company incurred $0.7 million in transaction costs, which are included in general and administrative expenses in the consolidated statements of operations and comprehensive loss.</w:t>
      </w:r>
    </w:p>
    <w:p>
      <w:pPr>
        <w:spacing w:after="0" w:line="126"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The table summarizes the preliminary allocation of the purchase consideration to the assets acquired and liabilities assumed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2,762</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20,705</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19,553</w:t>
            </w:r>
          </w:p>
        </w:tc>
        <w:tc>
          <w:tcPr>
            <w:tcW w:w="100" w:type="dxa"/>
            <w:vAlign w:val="bottom"/>
          </w:tcPr>
          <w:p>
            <w:pPr>
              <w:spacing w:after="0"/>
              <w:rPr>
                <w:sz w:val="19"/>
                <w:szCs w:val="19"/>
                <w:color w:val="auto"/>
              </w:rPr>
            </w:pPr>
          </w:p>
        </w:tc>
      </w:tr>
      <w:tr>
        <w:trPr>
          <w:trHeight w:val="223"/>
        </w:trPr>
        <w:tc>
          <w:tcPr>
            <w:tcW w:w="92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r>
      <w:tr>
        <w:trPr>
          <w:trHeight w:val="229"/>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2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w:t>
            </w:r>
          </w:p>
        </w:tc>
        <w:tc>
          <w:tcPr>
            <w:tcW w:w="100" w:type="dxa"/>
            <w:vAlign w:val="bottom"/>
          </w:tcPr>
          <w:p>
            <w:pPr>
              <w:spacing w:after="0"/>
              <w:rPr>
                <w:sz w:val="19"/>
                <w:szCs w:val="19"/>
                <w:color w:val="auto"/>
              </w:rPr>
            </w:pPr>
          </w:p>
        </w:tc>
      </w:tr>
      <w:tr>
        <w:trPr>
          <w:trHeight w:val="22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37,573</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80"/>
              <w:spacing w:after="0"/>
              <w:rPr>
                <w:sz w:val="20"/>
                <w:szCs w:val="20"/>
                <w:color w:val="auto"/>
              </w:rPr>
            </w:pPr>
            <w:r>
              <w:rPr>
                <w:rFonts w:ascii="Arial" w:cs="Arial" w:eastAsia="Arial" w:hAnsi="Arial"/>
                <w:sz w:val="18"/>
                <w:szCs w:val="18"/>
                <w:color w:val="auto"/>
              </w:rPr>
              <w:t>Less: cash acquired</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r>
      <w:tr>
        <w:trPr>
          <w:trHeight w:val="263"/>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 less cash acquired</w:t>
            </w: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520" w:firstLine="509"/>
        <w:spacing w:after="0" w:line="252" w:lineRule="auto"/>
        <w:rPr>
          <w:sz w:val="20"/>
          <w:szCs w:val="20"/>
          <w:color w:val="auto"/>
        </w:rPr>
      </w:pPr>
      <w:r>
        <w:rPr>
          <w:rFonts w:ascii="Arial" w:cs="Arial" w:eastAsia="Arial" w:hAnsi="Arial"/>
          <w:sz w:val="18"/>
          <w:szCs w:val="18"/>
          <w:color w:val="auto"/>
        </w:rPr>
        <w:t>Goodwill arising from the acquisition of $20.7 million was attributable to the assembled workforce of StudyLink and the synergies expected to arise from the acquisition. The Company expects that no goodwill from this acquisition will be deductible for income tax purposes.</w:t>
      </w:r>
    </w:p>
    <w:p>
      <w:pPr>
        <w:spacing w:after="0" w:line="144"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The following table reflects the estimated fair values of the identified intangible assets of StudyLink and their respective weighted-average estimated amortization periods.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rPr>
              <w:t>Estimated Fair</w:t>
            </w:r>
          </w:p>
        </w:tc>
        <w:tc>
          <w:tcPr>
            <w:tcW w:w="24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7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Values</w:t>
            </w:r>
          </w:p>
        </w:tc>
        <w:tc>
          <w:tcPr>
            <w:tcW w:w="24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100" w:type="dxa"/>
            <w:vAlign w:val="bottom"/>
          </w:tcPr>
          <w:p>
            <w:pPr>
              <w:spacing w:after="0"/>
              <w:rPr>
                <w:sz w:val="16"/>
                <w:szCs w:val="16"/>
                <w:color w:val="auto"/>
              </w:rPr>
            </w:pPr>
          </w:p>
        </w:tc>
      </w:tr>
      <w:tr>
        <w:trPr>
          <w:trHeight w:val="182"/>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7,397</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12,027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2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Name/Trademark</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19,553</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-179070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The results of StudyLink have been included in the consolidated financial statements since the date of the acquisition. StudyLink contributed $1.4 million in platform revenue during the year ended December 31, 2023. The Company has not disclosed net income or loss since the acquisition date as the business was fully integrated into the consolidated Company’s operations and therefore it was impracticable to determine this amount.</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Financial Information</w:t>
      </w:r>
    </w:p>
    <w:p>
      <w:pPr>
        <w:spacing w:after="0" w:line="17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following unaudited pro forma financial information shows the results of the Company’s operations for the years ended December 31, 2023 and 2022 as if the acquisition had occurred on January 1, 2022.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StudyLink. The unaudited pro forma information reflects the effects of applying the Company’s accounting policies and certain pro forma adjustments to the combined historical financial information of the Company and StudyLink. The pro forma adjustments include:</w:t>
      </w:r>
    </w:p>
    <w:p>
      <w:pPr>
        <w:spacing w:after="0" w:line="74" w:lineRule="exact"/>
        <w:rPr>
          <w:sz w:val="20"/>
          <w:szCs w:val="20"/>
          <w:color w:val="auto"/>
        </w:rPr>
      </w:pPr>
    </w:p>
    <w:p>
      <w:pPr>
        <w:ind w:left="1020" w:hanging="504"/>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amortization expense associated with the estimated fair value of identified intangible assets;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employee compensation expense for StudyLink employees;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 costs;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estimated tax impact of the above items.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Year Ended December 31, 2023</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Year Ended December 31, 2022</w:t>
            </w:r>
          </w:p>
        </w:tc>
        <w:tc>
          <w:tcPr>
            <w:tcW w:w="100" w:type="dxa"/>
            <w:vAlign w:val="bottom"/>
          </w:tcPr>
          <w:p>
            <w:pPr>
              <w:spacing w:after="0"/>
              <w:rPr>
                <w:sz w:val="16"/>
                <w:szCs w:val="16"/>
                <w:color w:val="auto"/>
              </w:rPr>
            </w:pPr>
          </w:p>
        </w:tc>
      </w:tr>
      <w:tr>
        <w:trPr>
          <w:trHeight w:val="182"/>
        </w:trPr>
        <w:tc>
          <w:tcPr>
            <w:tcW w:w="5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Pro Forma</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5"/>
                <w:szCs w:val="15"/>
                <w:color w:val="auto"/>
              </w:rPr>
            </w:pPr>
          </w:p>
        </w:tc>
      </w:tr>
      <w:tr>
        <w:trPr>
          <w:trHeight w:val="182"/>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403,094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409,161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289,375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295,325</w:t>
            </w:r>
          </w:p>
        </w:tc>
        <w:tc>
          <w:tcPr>
            <w:tcW w:w="100" w:type="dxa"/>
            <w:vAlign w:val="bottom"/>
            <w:shd w:val="clear" w:color="auto" w:fill="CFF0FC"/>
          </w:tcPr>
          <w:p>
            <w:pPr>
              <w:spacing w:after="0"/>
              <w:rPr>
                <w:sz w:val="19"/>
                <w:szCs w:val="19"/>
                <w:color w:val="auto"/>
              </w:rPr>
            </w:pPr>
          </w:p>
        </w:tc>
      </w:tr>
      <w:tr>
        <w:trPr>
          <w:trHeight w:val="239"/>
        </w:trPr>
        <w:tc>
          <w:tcPr>
            <w:tcW w:w="5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(8,566 )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(10,369 )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(39,347 )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(41,824 )</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Cohort Go</w:t>
      </w:r>
    </w:p>
    <w:p>
      <w:pPr>
        <w:spacing w:after="0" w:line="169"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On July 13, 2022, Flywire acquired all of the issued and outstanding shares of Cohort Go, an Australian-based education payments provider that simplifies the student recruitment process by bringing together students, agents and essential student services such as health insurance into one platform. The acquisition of Cohort Go contributed to the Company's global expansion and accelerated the growth of Flywire's agent related revenue, in which Flywire partners with agents who refer students to the Company. The agent related revenue is reported as transaction revenue for Flywire, while the health insurance related revenue is reported as platform revenue. The acquisition of Cohort Go has been accounted for as a business combination.</w:t>
      </w:r>
    </w:p>
    <w:p>
      <w:pPr>
        <w:spacing w:after="0" w:line="14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During the fourth quarter of 2022, the cash consideration, net of cash acquired and the purchase price allocation was adjusted to reflect a working capital true-up and a change to the deferred tax liability, which was due to additional tax basis associated with the acquired technology intangible asset. This resulted in a $0.2 million increase in the cash consideration, net of cash acquired, a $1.4 million decrease to deferred tax liability and a $1.2 million decrease to goodwill from the quarter ended September 30, 2022 to the year ended December 31, 2022. The adjusted purchase price allocation is reflected in the consolidated balance sheet as of December 31, 2022 and purchase price allocation below.</w:t>
      </w:r>
    </w:p>
    <w:p>
      <w:pPr>
        <w:spacing w:after="0" w:line="155" w:lineRule="exact"/>
        <w:rPr>
          <w:sz w:val="20"/>
          <w:szCs w:val="20"/>
          <w:color w:val="auto"/>
        </w:rPr>
      </w:pPr>
    </w:p>
    <w:p>
      <w:pPr>
        <w:ind w:right="760" w:firstLine="509"/>
        <w:spacing w:after="0" w:line="271" w:lineRule="auto"/>
        <w:rPr>
          <w:sz w:val="20"/>
          <w:szCs w:val="20"/>
          <w:color w:val="auto"/>
        </w:rPr>
      </w:pPr>
      <w:r>
        <w:rPr>
          <w:rFonts w:ascii="Arial" w:cs="Arial" w:eastAsia="Arial" w:hAnsi="Arial"/>
          <w:sz w:val="18"/>
          <w:szCs w:val="18"/>
          <w:color w:val="auto"/>
        </w:rPr>
        <w:t>Pursuant to the terms of the business combination agreement, the Company acquired Cohort Go for estimated total purchase consideration of $33.0 million or $23.1 million, net of cash acquired, which consisted of (in thousands):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07"/>
        </w:trPr>
        <w:tc>
          <w:tcPr>
            <w:tcW w:w="92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400" w:type="dxa"/>
            <w:vAlign w:val="bottom"/>
            <w:tcBorders>
              <w:top w:val="single" w:sz="8" w:color="0000FF"/>
            </w:tcBorders>
          </w:tcPr>
          <w:p>
            <w:pPr>
              <w:spacing w:after="0"/>
              <w:rPr>
                <w:sz w:val="18"/>
                <w:szCs w:val="18"/>
                <w:color w:val="auto"/>
              </w:rPr>
            </w:pPr>
          </w:p>
        </w:tc>
        <w:tc>
          <w:tcPr>
            <w:tcW w:w="7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9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7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17,140</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Estimated fair value of shares of common stock</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19"/>
                <w:szCs w:val="19"/>
                <w:color w:val="auto"/>
              </w:rPr>
            </w:pPr>
          </w:p>
        </w:tc>
      </w:tr>
      <w:tr>
        <w:trPr>
          <w:trHeight w:val="229"/>
        </w:trPr>
        <w:tc>
          <w:tcPr>
            <w:tcW w:w="92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Estimated fair value of contingent consideration</w:t>
            </w:r>
          </w:p>
        </w:tc>
        <w:tc>
          <w:tcPr>
            <w:tcW w:w="7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00" w:type="dxa"/>
            <w:vAlign w:val="bottom"/>
            <w:gridSpan w:val="2"/>
          </w:tcPr>
          <w:p>
            <w:pPr>
              <w:ind w:left="280"/>
              <w:spacing w:after="0"/>
              <w:rPr>
                <w:sz w:val="20"/>
                <w:szCs w:val="20"/>
                <w:color w:val="auto"/>
              </w:rPr>
            </w:pPr>
            <w:r>
              <w:rPr>
                <w:rFonts w:ascii="Arial" w:cs="Arial" w:eastAsia="Arial" w:hAnsi="Arial"/>
                <w:sz w:val="18"/>
                <w:szCs w:val="18"/>
                <w:color w:val="auto"/>
              </w:rPr>
              <w:t>Total purchase consideration, net of cash acquired</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23,122</w:t>
            </w:r>
          </w:p>
        </w:tc>
        <w:tc>
          <w:tcPr>
            <w:tcW w:w="100" w:type="dxa"/>
            <w:vAlign w:val="bottom"/>
          </w:tcPr>
          <w:p>
            <w:pPr>
              <w:spacing w:after="0"/>
              <w:rPr>
                <w:sz w:val="19"/>
                <w:szCs w:val="19"/>
                <w:color w:val="auto"/>
              </w:rPr>
            </w:pPr>
          </w:p>
        </w:tc>
      </w:tr>
      <w:tr>
        <w:trPr>
          <w:trHeight w:val="20"/>
        </w:trPr>
        <w:tc>
          <w:tcPr>
            <w:tcW w:w="14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Contingent consideration, which totaled up to $1.7 million represented additional payments that Flywire was required to make, in the form of cash or shares of common stock at the Company's option, which were dependent upon Cohort Go's achievement of specific post-acquisition milestones and were subject to exchange rate fluctuation adjustment between the U.S. Dollar and Australian Dollar. The contingent consideration of $1.7 million was assessed at acquisition date. Subsequent to the acquisition date, at each reporting date, the contingent consideration was remeasured and changes in the fair value resulting from a change in the underlying inputs were recognized in general and administrative expense in the consolidated statements of operations and comprehensive loss. During the years ended December 31, 2023 and 2022, the Company made a payment of contingent consideration of $1.7 million and $0.5 million, respectively, in the form of cash, based on Cohort Go's successful and timely achievement of the contracted milestones. No additional contingent consideration is due or payable with respect to the Cohort Go acquisition.</w:t>
      </w:r>
    </w:p>
    <w:p>
      <w:pPr>
        <w:spacing w:after="0" w:line="154"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During the year ended December 31, 2022, the Company incurred $0.6 million in transaction costs, which are included in general and administrative expenses in the consolidated statements of operations and comprehensive loss.</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table summarizes the allocation of the purchase consideration to the assets acquired and liabilities assumed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9,880</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Funds receivable from payment partners</w:t>
            </w:r>
          </w:p>
        </w:tc>
        <w:tc>
          <w:tcPr>
            <w:tcW w:w="7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16,197</w:t>
            </w:r>
          </w:p>
        </w:tc>
        <w:tc>
          <w:tcPr>
            <w:tcW w:w="100" w:type="dxa"/>
            <w:vAlign w:val="bottom"/>
          </w:tcPr>
          <w:p>
            <w:pPr>
              <w:spacing w:after="0"/>
              <w:rPr>
                <w:sz w:val="19"/>
                <w:szCs w:val="19"/>
                <w:color w:val="auto"/>
              </w:rPr>
            </w:pPr>
          </w:p>
        </w:tc>
      </w:tr>
      <w:tr>
        <w:trPr>
          <w:trHeight w:val="229"/>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Identifiable intangible assets</w:t>
            </w:r>
          </w:p>
        </w:tc>
        <w:tc>
          <w:tcPr>
            <w:tcW w:w="7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00" w:type="dxa"/>
            <w:vAlign w:val="bottom"/>
          </w:tcPr>
          <w:p>
            <w:pPr>
              <w:ind w:left="14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47,618</w:t>
            </w:r>
          </w:p>
        </w:tc>
        <w:tc>
          <w:tcPr>
            <w:tcW w:w="100" w:type="dxa"/>
            <w:vAlign w:val="bottom"/>
          </w:tcPr>
          <w:p>
            <w:pPr>
              <w:spacing w:after="0"/>
              <w:rPr>
                <w:sz w:val="19"/>
                <w:szCs w:val="19"/>
                <w:color w:val="auto"/>
              </w:rPr>
            </w:pPr>
          </w:p>
        </w:tc>
      </w:tr>
      <w:tr>
        <w:trPr>
          <w:trHeight w:val="223"/>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7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5,012</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Funds payable to clients</w:t>
            </w:r>
          </w:p>
        </w:tc>
        <w:tc>
          <w:tcPr>
            <w:tcW w:w="7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r>
      <w:tr>
        <w:trPr>
          <w:trHeight w:val="229"/>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0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14,616</w:t>
            </w:r>
          </w:p>
        </w:tc>
        <w:tc>
          <w:tcPr>
            <w:tcW w:w="100" w:type="dxa"/>
            <w:vAlign w:val="bottom"/>
          </w:tcPr>
          <w:p>
            <w:pPr>
              <w:spacing w:after="0"/>
              <w:rPr>
                <w:sz w:val="19"/>
                <w:szCs w:val="19"/>
                <w:color w:val="auto"/>
              </w:rPr>
            </w:pPr>
          </w:p>
        </w:tc>
      </w:tr>
      <w:tr>
        <w:trPr>
          <w:trHeight w:val="223"/>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7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33,002</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80"/>
              <w:spacing w:after="0"/>
              <w:rPr>
                <w:sz w:val="20"/>
                <w:szCs w:val="20"/>
                <w:color w:val="auto"/>
              </w:rPr>
            </w:pPr>
            <w:r>
              <w:rPr>
                <w:rFonts w:ascii="Arial" w:cs="Arial" w:eastAsia="Arial" w:hAnsi="Arial"/>
                <w:sz w:val="18"/>
                <w:szCs w:val="18"/>
                <w:color w:val="auto"/>
              </w:rPr>
              <w:t>Less: cash acquired</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9,880</w:t>
            </w:r>
          </w:p>
        </w:tc>
        <w:tc>
          <w:tcPr>
            <w:tcW w:w="100" w:type="dxa"/>
            <w:vAlign w:val="bottom"/>
          </w:tcPr>
          <w:p>
            <w:pPr>
              <w:spacing w:after="0"/>
              <w:rPr>
                <w:sz w:val="19"/>
                <w:szCs w:val="19"/>
                <w:color w:val="auto"/>
              </w:rPr>
            </w:pPr>
          </w:p>
        </w:tc>
      </w:tr>
      <w:tr>
        <w:trPr>
          <w:trHeight w:val="263"/>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 less cash acquired</w:t>
            </w: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-1523365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480" w:firstLine="509"/>
        <w:spacing w:after="0" w:line="252" w:lineRule="auto"/>
        <w:rPr>
          <w:sz w:val="20"/>
          <w:szCs w:val="20"/>
          <w:color w:val="auto"/>
        </w:rPr>
      </w:pPr>
      <w:r>
        <w:rPr>
          <w:rFonts w:ascii="Arial" w:cs="Arial" w:eastAsia="Arial" w:hAnsi="Arial"/>
          <w:sz w:val="18"/>
          <w:szCs w:val="18"/>
          <w:color w:val="auto"/>
        </w:rPr>
        <w:t>Goodwill arising from the acquisition of $16.2 million was attributable to the assembled workforce of Cohort Go and the synergies expected to arise from the acquisition. The Company expects that no goodwill from this acquisition will be deductible for income tax purposes.</w:t>
      </w:r>
    </w:p>
    <w:p>
      <w:pPr>
        <w:spacing w:after="0" w:line="130"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following table reflects the estimated fair values of the identified intangible assets of Cohort Go and their respective weighted-average estimated amortization periods.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99"/>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99"/>
              <w:spacing w:after="0"/>
              <w:rPr>
                <w:sz w:val="20"/>
                <w:szCs w:val="20"/>
                <w:color w:val="auto"/>
              </w:rPr>
            </w:pPr>
            <w:r>
              <w:rPr>
                <w:rFonts w:ascii="Arial" w:cs="Arial" w:eastAsia="Arial" w:hAnsi="Arial"/>
                <w:sz w:val="14"/>
                <w:szCs w:val="14"/>
                <w:b w:val="1"/>
                <w:bCs w:val="1"/>
                <w:color w:val="auto"/>
              </w:rPr>
              <w:t>Fair Values</w:t>
            </w:r>
          </w:p>
        </w:tc>
        <w:tc>
          <w:tcPr>
            <w:tcW w:w="22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7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100" w:type="dxa"/>
            <w:vAlign w:val="bottom"/>
          </w:tcPr>
          <w:p>
            <w:pPr>
              <w:spacing w:after="0"/>
              <w:rPr>
                <w:sz w:val="16"/>
                <w:szCs w:val="16"/>
                <w:color w:val="auto"/>
              </w:rPr>
            </w:pPr>
          </w:p>
        </w:tc>
      </w:tr>
      <w:tr>
        <w:trPr>
          <w:trHeight w:val="182"/>
        </w:trPr>
        <w:tc>
          <w:tcPr>
            <w:tcW w:w="7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99"/>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r>
      <w:tr>
        <w:trPr>
          <w:trHeight w:val="22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5,356</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Agent and customer relationships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11,052</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63"/>
        </w:trPr>
        <w:tc>
          <w:tcPr>
            <w:tcW w:w="77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16,408</w:t>
            </w:r>
          </w:p>
        </w:tc>
        <w:tc>
          <w:tcPr>
            <w:tcW w:w="22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50" w:lineRule="exact"/>
        <w:rPr>
          <w:sz w:val="20"/>
          <w:szCs w:val="20"/>
          <w:color w:val="auto"/>
        </w:rPr>
      </w:pPr>
    </w:p>
    <w:p>
      <w:pPr>
        <w:ind w:right="300" w:firstLine="509"/>
        <w:spacing w:after="0" w:line="246" w:lineRule="auto"/>
        <w:rPr>
          <w:sz w:val="20"/>
          <w:szCs w:val="20"/>
          <w:color w:val="auto"/>
        </w:rPr>
      </w:pPr>
      <w:r>
        <w:rPr>
          <w:rFonts w:ascii="Arial" w:cs="Arial" w:eastAsia="Arial" w:hAnsi="Arial"/>
          <w:sz w:val="18"/>
          <w:szCs w:val="18"/>
          <w:color w:val="auto"/>
        </w:rPr>
        <w:t>The results of Cohort Go have been included in the consolidated financial statements since the date of the acquisition. Cohort Go contributed $16.6 million in transaction revenue and $10.4 million in platform revenue during the year ended December 31, 2023 and $6.4 million in transaction revenue and $3.3 million in platform revenue during the year ended December 31, 2022. The Company has not disclosed net income or loss since the acquisition date as the</w:t>
      </w:r>
    </w:p>
    <w:p>
      <w:pPr>
        <w:sectPr>
          <w:pgSz w:w="11900" w:h="16838" w:orient="portrait"/>
          <w:cols w:equalWidth="0" w:num="1">
            <w:col w:w="11240"/>
          </w:cols>
          <w:pgMar w:left="320" w:top="755" w:right="33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business was fully integrated into the consolidated Company’s operations and therefore it was impracticable to determine this amount.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Financial Information</w:t>
      </w:r>
    </w:p>
    <w:p>
      <w:pPr>
        <w:spacing w:after="0" w:line="17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following unaudited pro forma financial information shows the results of the Company’s operations for the years ended December 31, 2022 and 2021 as if the acquisition had occurred on January 1, 2021.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Cohort Go. The unaudited pro forma information reflects the effects of applying the Company’s accounting policies and a pro forma adjustment to the combined historical financial information of the Company and Cohort Go, which includes incremental amortization expense associated with the estimated fair value of identified intangible assets.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Year Ended December 31, 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Year Ended December 31, 2021</w:t>
            </w:r>
          </w:p>
        </w:tc>
        <w:tc>
          <w:tcPr>
            <w:tcW w:w="100" w:type="dxa"/>
            <w:vAlign w:val="bottom"/>
          </w:tcPr>
          <w:p>
            <w:pPr>
              <w:spacing w:after="0"/>
              <w:rPr>
                <w:sz w:val="16"/>
                <w:szCs w:val="16"/>
                <w:color w:val="auto"/>
              </w:rPr>
            </w:pPr>
          </w:p>
        </w:tc>
      </w:tr>
      <w:tr>
        <w:trPr>
          <w:trHeight w:val="182"/>
        </w:trPr>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Pro Forma</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5"/>
                <w:szCs w:val="15"/>
                <w:color w:val="auto"/>
              </w:rPr>
            </w:pPr>
          </w:p>
        </w:tc>
      </w:tr>
      <w:tr>
        <w:trPr>
          <w:trHeight w:val="182"/>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289,375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301,892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201,149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213,576</w:t>
            </w:r>
          </w:p>
        </w:tc>
        <w:tc>
          <w:tcPr>
            <w:tcW w:w="100" w:type="dxa"/>
            <w:vAlign w:val="bottom"/>
            <w:shd w:val="clear" w:color="auto" w:fill="CFF0FC"/>
          </w:tcPr>
          <w:p>
            <w:pPr>
              <w:spacing w:after="0"/>
              <w:rPr>
                <w:sz w:val="19"/>
                <w:szCs w:val="19"/>
                <w:color w:val="auto"/>
              </w:rPr>
            </w:pPr>
          </w:p>
        </w:tc>
      </w:tr>
      <w:tr>
        <w:trPr>
          <w:trHeight w:val="239"/>
        </w:trPr>
        <w:tc>
          <w:tcPr>
            <w:tcW w:w="5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(39,347 )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(37,798 )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(28,085 )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(30,155 )</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WPM</w:t>
      </w:r>
    </w:p>
    <w:p>
      <w:pPr>
        <w:spacing w:after="0" w:line="169"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On December 14, 2021, Flywire completed its acquisition of WPM, a leading software provider that enables seamless and secure receivables payment experiences for universities and colleges across the U.K. The acquisition of WPM was intended to build on Flywire’s existing education payments business and to further accelerate the Company's market share in the U.K. education sector. The acquisition of WPM has been accounted for as a business combination.</w:t>
      </w:r>
    </w:p>
    <w:p>
      <w:pPr>
        <w:spacing w:after="0" w:line="13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Pursuant to the terms of the business combination agreement, the Company acquired all outstanding equity of WPM for estimated total purchase price of $59.6 million, which consisted of $56.1 million in cash consideration, net of cash acquired and $3.5 million in estimated fair value of contingent consideration, which was potentially payable at various intervals through March 2024 in the form of cash or up to approximately 225,000 shares of common stock, at Flywire's option and was dependent upon the Company's achievement of specified minimum payment volume targets and integration targets. Certain amounts were also tied to continued employment of key employees.</w:t>
      </w:r>
    </w:p>
    <w:p>
      <w:pPr>
        <w:spacing w:after="0" w:line="152" w:lineRule="exact"/>
        <w:rPr>
          <w:sz w:val="20"/>
          <w:szCs w:val="20"/>
          <w:color w:val="auto"/>
        </w:rPr>
      </w:pPr>
    </w:p>
    <w:p>
      <w:pPr>
        <w:ind w:right="60" w:firstLine="559"/>
        <w:spacing w:after="0" w:line="252" w:lineRule="auto"/>
        <w:rPr>
          <w:sz w:val="20"/>
          <w:szCs w:val="20"/>
          <w:color w:val="auto"/>
        </w:rPr>
      </w:pPr>
      <w:r>
        <w:rPr>
          <w:rFonts w:ascii="Arial" w:cs="Arial" w:eastAsia="Arial" w:hAnsi="Arial"/>
          <w:sz w:val="18"/>
          <w:szCs w:val="18"/>
          <w:color w:val="auto"/>
        </w:rPr>
        <w:t>As of December 31, 2023, no contingent consideration is due or payable with respect to the WPM acquisition. For the year ended December 31, 2022, the Company paid $0.4 million in contingent consideration related to the completion of integration targets. There was no contingent consideration paid during the year ended December 31, 2021.</w:t>
      </w:r>
    </w:p>
    <w:p>
      <w:pPr>
        <w:spacing w:after="0" w:line="130" w:lineRule="exact"/>
        <w:rPr>
          <w:sz w:val="20"/>
          <w:szCs w:val="20"/>
          <w:color w:val="auto"/>
        </w:rPr>
      </w:pPr>
    </w:p>
    <w:p>
      <w:pPr>
        <w:ind w:right="100" w:firstLine="559"/>
        <w:spacing w:after="0" w:line="241" w:lineRule="auto"/>
        <w:rPr>
          <w:sz w:val="20"/>
          <w:szCs w:val="20"/>
          <w:color w:val="auto"/>
        </w:rPr>
      </w:pPr>
      <w:r>
        <w:rPr>
          <w:rFonts w:ascii="Arial" w:cs="Arial" w:eastAsia="Arial" w:hAnsi="Arial"/>
          <w:sz w:val="18"/>
          <w:szCs w:val="18"/>
          <w:color w:val="auto"/>
        </w:rPr>
        <w:t>During the year ended December 31, 2023, the Company expensed $0.7 million in personnel costs associated with retention of key employees. These personnel costs have been paid through shares of Flywire common stock issued in January 2023, July 2023 and January 2024. During the year ended December 31, 2022 and 2021, the Company expensed $0.9 million and less than $0.1 million, respectively, in personnel costs associated with the retention portion of key employees. These personnel costs are included in the Company’s consolidated statements of operations and comprehensive loss and a liability is recorded in accrued expenses and other current liabilities on the consolidated balance sheet.</w:t>
      </w:r>
    </w:p>
    <w:p>
      <w:pPr>
        <w:spacing w:after="0" w:line="142" w:lineRule="exact"/>
        <w:rPr>
          <w:sz w:val="20"/>
          <w:szCs w:val="20"/>
          <w:color w:val="auto"/>
        </w:rPr>
      </w:pPr>
    </w:p>
    <w:p>
      <w:pPr>
        <w:ind w:right="180" w:firstLine="509"/>
        <w:spacing w:after="0" w:line="301" w:lineRule="auto"/>
        <w:rPr>
          <w:sz w:val="20"/>
          <w:szCs w:val="20"/>
          <w:color w:val="auto"/>
        </w:rPr>
      </w:pPr>
      <w:r>
        <w:rPr>
          <w:rFonts w:ascii="Arial" w:cs="Arial" w:eastAsia="Arial" w:hAnsi="Arial"/>
          <w:sz w:val="17"/>
          <w:szCs w:val="17"/>
          <w:color w:val="auto"/>
        </w:rPr>
        <w:t>During the year ended December 31, 2022 and 2021, the Company incurred $0.1 million and $0.6 million, respectively, in transaction costs, which are included in general and administrative expenses in the consolidated statements of operations and comprehensive loss.</w:t>
      </w:r>
    </w:p>
    <w:p>
      <w:pPr>
        <w:spacing w:after="0" w:line="103"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The results of WPM have been included in the consolidated financial statements since the date of the acquisition. WPM contributed $6.3 million, $6.4 million and $0.3 million in platform revenue during the years ended December 31, 2023, 2022 and 2021, respectively. The Company has not disclosed net income or loss since the acquisition date as the business was fully integrated into the consolidated Company’s operations and therefore it was impracticable to determine this amount. The Company has not disclosed unaudited pro forma financial information that shows the results of the Company’s operations for the year ended December 31, 2021 as if the acquisition had occurred on January 1, 2020 as the historical results of WPM were not material to the Company’s consolidated financial statements in any period presented.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Acquired Intangible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 following table summarizes the changes in the carrying amount of goodwill for the years ended December 31, 2023 and 2022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r>
      <w:tr>
        <w:trPr>
          <w:trHeight w:val="182"/>
        </w:trPr>
        <w:tc>
          <w:tcPr>
            <w:tcW w:w="774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97,766</w:t>
            </w:r>
          </w:p>
        </w:tc>
        <w:tc>
          <w:tcPr>
            <w:tcW w:w="6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85,841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Goodwill related to acquisitions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20,705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16,197</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(4,272 )</w:t>
            </w:r>
          </w:p>
        </w:tc>
      </w:tr>
      <w:tr>
        <w:trPr>
          <w:trHeight w:val="223"/>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121,646</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97,766</w:t>
            </w:r>
          </w:p>
        </w:tc>
        <w:tc>
          <w:tcPr>
            <w:tcW w:w="100" w:type="dxa"/>
            <w:vAlign w:val="bottom"/>
            <w:tcBorders>
              <w:top w:val="single" w:sz="8" w:color="CFF0FC"/>
            </w:tcBorders>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-179070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Acquired intangible assets subject to amortization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Weighted</w:t>
            </w:r>
          </w:p>
        </w:tc>
      </w:tr>
      <w:tr>
        <w:trPr>
          <w:trHeight w:val="162"/>
        </w:trPr>
        <w:tc>
          <w:tcPr>
            <w:tcW w:w="3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Gross Carrying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Arial" w:cs="Arial" w:eastAsia="Arial" w:hAnsi="Arial"/>
                <w:sz w:val="14"/>
                <w:szCs w:val="14"/>
                <w:b w:val="1"/>
                <w:bCs w:val="1"/>
                <w:color w:val="auto"/>
                <w:w w:val="99"/>
              </w:rPr>
              <w:t>Net Carrying</w:t>
            </w:r>
          </w:p>
        </w:tc>
        <w:tc>
          <w:tcPr>
            <w:tcW w:w="2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Life</w:t>
            </w:r>
          </w:p>
        </w:tc>
      </w:tr>
      <w:tr>
        <w:trPr>
          <w:trHeight w:val="185"/>
        </w:trPr>
        <w:tc>
          <w:tcPr>
            <w:tcW w:w="37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23"/>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(21,446 )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Acquired Relationships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104,007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(14,143 )</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89,864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9"/>
                <w:szCs w:val="19"/>
                <w:color w:val="auto"/>
              </w:rPr>
            </w:pPr>
          </w:p>
        </w:tc>
      </w:tr>
      <w:tr>
        <w:trPr>
          <w:trHeight w:val="229"/>
        </w:trPr>
        <w:tc>
          <w:tcPr>
            <w:tcW w:w="58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Trade Name/Trademark</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143,767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(35,589 )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108,178</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376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-281940</wp:posOffset>
            </wp:positionV>
            <wp:extent cx="7683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-281940</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-281940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jc w:val="both"/>
        <w:ind w:left="120" w:right="6600" w:firstLine="8"/>
        <w:spacing w:after="0" w:line="284" w:lineRule="auto"/>
        <w:tabs>
          <w:tab w:leader="none" w:pos="216"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$(750) thousand of foreign currency translation adjustments. ** Includes $(41) thousand of foreign currency translation adjustments.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Weighted</w:t>
            </w:r>
          </w:p>
        </w:tc>
      </w:tr>
      <w:tr>
        <w:trPr>
          <w:trHeight w:val="162"/>
        </w:trPr>
        <w:tc>
          <w:tcPr>
            <w:tcW w:w="3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Gross Carrying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Arial" w:cs="Arial" w:eastAsia="Arial" w:hAnsi="Arial"/>
                <w:sz w:val="14"/>
                <w:szCs w:val="14"/>
                <w:b w:val="1"/>
                <w:bCs w:val="1"/>
                <w:color w:val="auto"/>
                <w:w w:val="99"/>
              </w:rPr>
              <w:t>Net Carrying</w:t>
            </w:r>
          </w:p>
        </w:tc>
        <w:tc>
          <w:tcPr>
            <w:tcW w:w="2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Life</w:t>
            </w:r>
          </w:p>
        </w:tc>
      </w:tr>
      <w:tr>
        <w:trPr>
          <w:trHeight w:val="185"/>
        </w:trPr>
        <w:tc>
          <w:tcPr>
            <w:tcW w:w="37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23"/>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31,848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(15,429 )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Acquired Relationships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90,612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(9,423 )</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81,189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r>
      <w:tr>
        <w:trPr>
          <w:trHeight w:val="229"/>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Non-Compete Agreement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(461 )</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FF0FC"/>
          </w:tcPr>
          <w:p>
            <w:pPr>
              <w:spacing w:after="0"/>
              <w:rPr>
                <w:sz w:val="19"/>
                <w:szCs w:val="19"/>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3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122,929</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(25,313 )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97,616</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3760" w:type="dxa"/>
            <w:vAlign w:val="bottom"/>
            <w:tcBorders>
              <w:bottom w:val="single" w:sz="8" w:color="auto"/>
            </w:tcBorders>
          </w:tcPr>
          <w:p>
            <w:pPr>
              <w:spacing w:after="0"/>
              <w:rPr>
                <w:sz w:val="10"/>
                <w:szCs w:val="10"/>
                <w:color w:val="auto"/>
              </w:rPr>
            </w:pPr>
          </w:p>
        </w:tc>
        <w:tc>
          <w:tcPr>
            <w:tcW w:w="2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-273050</wp:posOffset>
            </wp:positionV>
            <wp:extent cx="768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-273050</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-273050</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ind w:left="120" w:right="6480" w:firstLine="8"/>
        <w:spacing w:after="0" w:line="284" w:lineRule="auto"/>
        <w:tabs>
          <w:tab w:leader="none" w:pos="216"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$(3,416) thousand of foreign currency translation adjustments. ** Includes $154 thousand of foreign currency translation adjustments.</w:t>
      </w:r>
    </w:p>
    <w:p>
      <w:pPr>
        <w:spacing w:after="0" w:line="122" w:lineRule="exact"/>
        <w:rPr>
          <w:sz w:val="20"/>
          <w:szCs w:val="20"/>
          <w:color w:val="auto"/>
        </w:rPr>
      </w:pPr>
    </w:p>
    <w:p>
      <w:pPr>
        <w:ind w:right="680" w:firstLine="509"/>
        <w:spacing w:after="0" w:line="271" w:lineRule="auto"/>
        <w:rPr>
          <w:sz w:val="20"/>
          <w:szCs w:val="20"/>
          <w:color w:val="auto"/>
        </w:rPr>
      </w:pPr>
      <w:r>
        <w:rPr>
          <w:rFonts w:ascii="Arial" w:cs="Arial" w:eastAsia="Arial" w:hAnsi="Arial"/>
          <w:sz w:val="18"/>
          <w:szCs w:val="18"/>
          <w:color w:val="auto"/>
        </w:rPr>
        <w:t>Amortization expense for the years ended December 31, 2023, 2022 and 2021 was $11.5 million, $9.1 million and $6.7 million, respectively.</w:t>
      </w:r>
    </w:p>
    <w:p>
      <w:pPr>
        <w:spacing w:after="0" w:line="112" w:lineRule="exact"/>
        <w:rPr>
          <w:sz w:val="20"/>
          <w:szCs w:val="20"/>
          <w:color w:val="auto"/>
        </w:rPr>
      </w:pPr>
    </w:p>
    <w:p>
      <w:pPr>
        <w:ind w:right="820" w:firstLine="509"/>
        <w:spacing w:after="0" w:line="271" w:lineRule="auto"/>
        <w:rPr>
          <w:sz w:val="20"/>
          <w:szCs w:val="20"/>
          <w:color w:val="auto"/>
        </w:rPr>
      </w:pPr>
      <w:r>
        <w:rPr>
          <w:rFonts w:ascii="Arial" w:cs="Arial" w:eastAsia="Arial" w:hAnsi="Arial"/>
          <w:sz w:val="18"/>
          <w:szCs w:val="18"/>
          <w:color w:val="auto"/>
        </w:rPr>
        <w:t>As of December 31, 2023, the estimated annual amortization expense of intangible assets for each of the next five years and thereafter is expected to be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Expense</w:t>
            </w:r>
          </w:p>
        </w:tc>
      </w:tr>
      <w:tr>
        <w:trPr>
          <w:trHeight w:val="22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11,984</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12,245</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11,521</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10,947</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50,883</w:t>
            </w:r>
          </w:p>
        </w:tc>
        <w:tc>
          <w:tcPr>
            <w:tcW w:w="100" w:type="dxa"/>
            <w:vAlign w:val="bottom"/>
          </w:tcPr>
          <w:p>
            <w:pPr>
              <w:spacing w:after="0"/>
              <w:rPr>
                <w:sz w:val="19"/>
                <w:szCs w:val="19"/>
                <w:color w:val="auto"/>
              </w:rPr>
            </w:pPr>
          </w:p>
        </w:tc>
      </w:tr>
      <w:tr>
        <w:trPr>
          <w:trHeight w:val="263"/>
        </w:trPr>
        <w:tc>
          <w:tcPr>
            <w:tcW w:w="9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108,178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69"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On July 29, 2021, the Company entered into a three-year senior secured Revolving Credit Facility with three banks for a total commitment of $50.0 million. The Revolving Credit Facility includes a $5.0 million letter of credit sub-facility and a $5.0 million swingline sub-facility, with available borrowings under the Revolving Credit Facility reduced by the amount of any letters of credit and swingline borrowings outstanding from time to time. The Revolving Credit Facility is guaranteed by Flywire’s material domestic subsidiaries.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Revolving Credit Facility consists of ABR loans or Eurodollar Borrowings, at the Company’s option.</w:t>
      </w:r>
    </w:p>
    <w:p>
      <w:pPr>
        <w:spacing w:after="0" w:line="184"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On June 23, 2023, the Company executed the First Amendment to the Revolving Credit Facility to transition determination of the interest rate from the LIBOR benchmark rate to the SOFR benchmark rate effective June 30, 2023.</w:t>
      </w:r>
    </w:p>
    <w:p>
      <w:pPr>
        <w:spacing w:after="0" w:line="112"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In accordance with the First Amendment, ABR loans bear interest at the ABR plus the applicable rate. Eurodollar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based on (x) the Term SOFR, plus (y) the applicable spread adjustment ranging from 0.11448% to 0.71513% depending on the length of the SOFR interest period, multiplied by (z) the Statutory Reserve Rate. The applicable rate is based upon the Company’s liquidity as of the most recent consolidated financial information and ranges from 0.75% to 2.25%.</w:t>
      </w:r>
    </w:p>
    <w:p>
      <w:pPr>
        <w:spacing w:after="0" w:line="14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Prior to the First Amendment, ABR loans bore interest at the ABR plus the applicable rate. Eurodollar Borrowings bore interest at the Adjusted LIBOR for the interest period plus the applicable rate. The ABR rate was based on the greatest of (a) the Prime Rate, (b) the Federal Funds Effective Rate plus 1/2 of 1%, or (c) the Adjusted LIBOR for a one month interest period, plus 1%. The adjusted LIBOR was based on (x) the LIBOR for such interest period, multiplied by (y) the Statutory Reserve Rate. The applicable rate was based upon the Company’s liquidity as of the most recent consolidated financial information and ranged from 0.75% to 2.25%.</w:t>
      </w:r>
    </w:p>
    <w:p>
      <w:pPr>
        <w:spacing w:after="0" w:line="152"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The Revolving Credit Facility incurs a commitment fee ranging from 0.25% to 0.35% based upon the Company’s liquidity as of the most recent consolidated financial information assessed on the average undrawn portion of the available commitment.</w:t>
      </w:r>
    </w:p>
    <w:p>
      <w:pPr>
        <w:spacing w:after="0" w:line="11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Revolving Credit Facility becoming immediately due and payable and termination of the commitments. The Company was in compliance with all covenants associated with the Revolving Credit Facility as of December 31, 2023 and 2022.</w:t>
      </w:r>
    </w:p>
    <w:p>
      <w:pPr>
        <w:spacing w:after="0" w:line="144"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On July 29, 2021, the Company drew $25.9 million on the Revolving Credit Facility and used the proceeds to prepay its then existing LSA of $25.0 million. One of the lenders in the Revolving Credit Facility was the existing debt holder under the LSA entered into in 2018 and amended in 2020. In connection with the transaction, the Company incurred $0.3 million in debt issuance costs and $0.1 million in debt discount. Debt issuance costs related to new lenders in the syndication are amortized on a straight-line basis over the term of the Revolving Credit Facility. Debt issuance costs related to the existing lender in the syndication were expensed. The exchange of the LSA term loan with the Revolving Credit Facility from the same lender was accounted for as a modification. Prior to entering into the Revolving Credit Facility, debt issuance costs and debt discounts relate to the LSA were amortized to interest expense using the effective interest method over the repayment term of the debt and were presented as an offset to the outstanding debt balance on the consolidated balance sheets. Upon the execution of the Revolving Credit Facility, debt issuance costs and debt discount are amortized on a straight-line basis over the contractual term of the agreement and are presented as a component of other assets on the Company's consolidated balance sheets.</w:t>
      </w:r>
    </w:p>
    <w:p>
      <w:pPr>
        <w:spacing w:after="0" w:line="159"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On October 28, 2022, the Company repaid the $25.9 million outstanding under the Revolving Credit Facility. Following the repayment, the Company continued to have access to a total commitment of $50.0 million under the</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Facility. As of December 31, 2023 and 2022, there was no outstanding indebtedness under the Revolving Credit Facility.</w:t>
      </w:r>
    </w:p>
    <w:p>
      <w:pPr>
        <w:spacing w:after="0" w:line="184"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Interest expense for the years ended December 31, 2023, 2022 and 2021 was $0.4 million, $1.2 million and $2.0 million, respectively. Included in interest expense for the years ended December 31, 2023, 2022 and 2021 is $0.3 million, $0.3 million and $0.3 million of amortization of debt issuance cost and debt discount,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January 16, 2018, the Company entered into the LSA with a financial institution for a $25.0 million loan with interest at a rate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8.5% per annum. The LSA maturity date was January 22, 2022. The Company incurred debt issuance costs of $0.2 million in connection with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the LSA, which were amortized to interest expense, using the effective interest method, over the term of the loan.</w:t>
      </w:r>
    </w:p>
    <w:p>
      <w:pPr>
        <w:spacing w:after="0" w:line="16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On May 18, 2020, the Company entered into an amendment to refinance the LSA. As part of the amendment, the financial institution re-advanced $4.2 million of principal paid on the loan through May 1, 2020. The final maturity date of the LSA was extended to May 2025. The new stated interest rate was at a floating per annum rate equal to the greater of (i) 5.25% above the prime rate; or (ii) 8.50%. The LSA was interest only until May 2023. Beginning on June 1, 2023, the Company would make 24 equal principal payments. The Company incurred $0.2 million in commitment fees from the financial institution to close the refinancing. These commitment fees were recorded as a reduction to the loan balance on the balance sheet.</w:t>
      </w:r>
    </w:p>
    <w:p>
      <w:pPr>
        <w:spacing w:after="0" w:line="142"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On July 29, 2021, the Company drew $25.9 million on its Revolving Credit Facility and used the proceeds to prepay the $25.0 million LSA. In connection with the transaction, the Company incurred $0.4 million of prepayment costs.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82"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In addition to the unused letter of credit under the Revolving Credit Facility, as of December 31, 2023, the Company had an outstanding and unused letter of credit in the amount of approximately $0.7 million for the purpose of protecting a third-party service provider against default on payroll payments. The letter of credit expires upon notice.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(Deficit)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2" w:lineRule="exact"/>
        <w:rPr>
          <w:sz w:val="20"/>
          <w:szCs w:val="20"/>
          <w:color w:val="auto"/>
        </w:rPr>
      </w:pPr>
    </w:p>
    <w:p>
      <w:pPr>
        <w:jc w:val="both"/>
        <w:ind w:right="780" w:firstLine="509"/>
        <w:spacing w:after="0" w:line="252" w:lineRule="auto"/>
        <w:rPr>
          <w:sz w:val="20"/>
          <w:szCs w:val="20"/>
          <w:color w:val="auto"/>
        </w:rPr>
      </w:pPr>
      <w:r>
        <w:rPr>
          <w:rFonts w:ascii="Arial" w:cs="Arial" w:eastAsia="Arial" w:hAnsi="Arial"/>
          <w:sz w:val="18"/>
          <w:szCs w:val="18"/>
          <w:color w:val="auto"/>
        </w:rPr>
        <w:t>In connection with the IPO, the Company’s current amended and restated certificate of incorporation became effective, which authorizes the issuance of 10,000,000 shares of undesignated preferred stock with a par value of $0.0001 per share with rights and preferences, including voting rights, designated from time to time by the 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connection with the IPO, the Company’s current amended and restated certificate of incorporation authorizes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 As of December 31, 2023 and 2022, no cash dividends have been declared or paid.</w:t>
      </w:r>
    </w:p>
    <w:p>
      <w:pPr>
        <w:spacing w:after="0" w:line="156"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Holders of the Company's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transferred by the holder. Other than in the event of such transfers, shares of non-voting common stock shall not be convertible into any other security.</w:t>
      </w:r>
    </w:p>
    <w:p>
      <w:pPr>
        <w:spacing w:after="0" w:line="126"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During the year ended December 31, 2022, 4,115,058 shares of the Company's non-voting common stock converted into shares of common stock on a one-to-one basis upon the sale of such shares.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69"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The Company may issue treasury stock to cover the exercise of stock options and vesting of restricted stock units related to equity incentive plans. The Company issued 2,677 treasury shares at an average cost of $0.32 per share during the year ended December 31, 2023. No treasury shares were issued during the year ended December 31, 2022. The Company intends to issue treasury shares as long as an adequate number of those shares is available.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Follow-On Public Offering</w:t>
      </w:r>
    </w:p>
    <w:p>
      <w:pPr>
        <w:spacing w:after="0" w:line="169"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On August 14, 2023, the Company sold 8,000,000 shares of its voting common stock and on September 12, 2023, the Underwriters exercised the Underwriters’ Option in part and purchased an additional 500,000 shares of the Company's voting common stock, in each instance at a price to the public of $32.00 per share. The Company raised aggregate proceeds of $260.1 million, net of underwriter discounts and commissions of $10.9 million and other issuance costs of $1.1 million.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720" w:type="dxa"/>
            <w:vAlign w:val="bottom"/>
            <w:gridSpan w:val="2"/>
          </w:tcPr>
          <w:p>
            <w:pPr>
              <w:ind w:left="520"/>
              <w:spacing w:after="0"/>
              <w:rPr>
                <w:sz w:val="20"/>
                <w:szCs w:val="20"/>
                <w:color w:val="auto"/>
              </w:rPr>
            </w:pPr>
            <w:r>
              <w:rPr>
                <w:rFonts w:ascii="Arial" w:cs="Arial" w:eastAsia="Arial" w:hAnsi="Arial"/>
                <w:sz w:val="18"/>
                <w:szCs w:val="18"/>
                <w:color w:val="auto"/>
              </w:rPr>
              <w:t>As of December 31, 2023, the Company had reserved shares of common stock for future issuance as follows: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1"/>
        </w:trPr>
        <w:tc>
          <w:tcPr>
            <w:tcW w:w="75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9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Issued and outstanding stock options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8,107,861</w:t>
            </w:r>
          </w:p>
        </w:tc>
        <w:tc>
          <w:tcPr>
            <w:tcW w:w="100" w:type="dxa"/>
            <w:vAlign w:val="bottom"/>
            <w:shd w:val="clear" w:color="auto" w:fill="CFF0FC"/>
          </w:tcPr>
          <w:p>
            <w:pPr>
              <w:spacing w:after="0"/>
              <w:rPr>
                <w:sz w:val="19"/>
                <w:szCs w:val="19"/>
                <w:color w:val="auto"/>
              </w:rPr>
            </w:pPr>
          </w:p>
        </w:tc>
      </w:tr>
      <w:tr>
        <w:trPr>
          <w:trHeight w:val="229"/>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Issued and outstanding restricted stock units</w:t>
            </w:r>
          </w:p>
        </w:tc>
        <w:tc>
          <w:tcPr>
            <w:tcW w:w="1420" w:type="dxa"/>
            <w:vAlign w:val="bottom"/>
          </w:tcPr>
          <w:p>
            <w:pPr>
              <w:jc w:val="right"/>
              <w:spacing w:after="0"/>
              <w:rPr>
                <w:sz w:val="20"/>
                <w:szCs w:val="20"/>
                <w:color w:val="auto"/>
              </w:rPr>
            </w:pPr>
            <w:r>
              <w:rPr>
                <w:rFonts w:ascii="Arial" w:cs="Arial" w:eastAsia="Arial" w:hAnsi="Arial"/>
                <w:sz w:val="18"/>
                <w:szCs w:val="18"/>
                <w:color w:val="auto"/>
              </w:rPr>
              <w:t>4,430,725</w:t>
            </w:r>
          </w:p>
        </w:tc>
        <w:tc>
          <w:tcPr>
            <w:tcW w:w="100" w:type="dxa"/>
            <w:vAlign w:val="bottom"/>
          </w:tcPr>
          <w:p>
            <w:pPr>
              <w:spacing w:after="0"/>
              <w:rPr>
                <w:sz w:val="19"/>
                <w:szCs w:val="19"/>
                <w:color w:val="auto"/>
              </w:rPr>
            </w:pPr>
          </w:p>
        </w:tc>
      </w:tr>
      <w:tr>
        <w:trPr>
          <w:trHeight w:val="229"/>
        </w:trPr>
        <w:tc>
          <w:tcPr>
            <w:tcW w:w="9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Available for issuance under the 2021 Equity Incentive Plan</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14,846,817</w:t>
            </w:r>
          </w:p>
        </w:tc>
        <w:tc>
          <w:tcPr>
            <w:tcW w:w="100" w:type="dxa"/>
            <w:vAlign w:val="bottom"/>
            <w:shd w:val="clear" w:color="auto" w:fill="CFF0FC"/>
          </w:tcPr>
          <w:p>
            <w:pPr>
              <w:spacing w:after="0"/>
              <w:rPr>
                <w:sz w:val="19"/>
                <w:szCs w:val="19"/>
                <w:color w:val="auto"/>
              </w:rPr>
            </w:pPr>
          </w:p>
        </w:tc>
      </w:tr>
      <w:tr>
        <w:trPr>
          <w:trHeight w:val="229"/>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Available for issuance under Employee Stock Purchase Plan</w:t>
            </w:r>
          </w:p>
        </w:tc>
        <w:tc>
          <w:tcPr>
            <w:tcW w:w="1420" w:type="dxa"/>
            <w:vAlign w:val="bottom"/>
          </w:tcPr>
          <w:p>
            <w:pPr>
              <w:jc w:val="right"/>
              <w:spacing w:after="0"/>
              <w:rPr>
                <w:sz w:val="20"/>
                <w:szCs w:val="20"/>
                <w:color w:val="auto"/>
              </w:rPr>
            </w:pPr>
            <w:r>
              <w:rPr>
                <w:rFonts w:ascii="Arial" w:cs="Arial" w:eastAsia="Arial" w:hAnsi="Arial"/>
                <w:sz w:val="18"/>
                <w:szCs w:val="18"/>
                <w:color w:val="auto"/>
              </w:rPr>
              <w:t>3,856,785</w:t>
            </w:r>
          </w:p>
        </w:tc>
        <w:tc>
          <w:tcPr>
            <w:tcW w:w="100" w:type="dxa"/>
            <w:vAlign w:val="bottom"/>
          </w:tcPr>
          <w:p>
            <w:pPr>
              <w:spacing w:after="0"/>
              <w:rPr>
                <w:sz w:val="19"/>
                <w:szCs w:val="19"/>
                <w:color w:val="auto"/>
              </w:rPr>
            </w:pPr>
          </w:p>
        </w:tc>
      </w:tr>
      <w:tr>
        <w:trPr>
          <w:trHeight w:val="229"/>
        </w:trPr>
        <w:tc>
          <w:tcPr>
            <w:tcW w:w="9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Committed to Settling Earn-out Liabilities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98,162</w:t>
            </w:r>
          </w:p>
        </w:tc>
        <w:tc>
          <w:tcPr>
            <w:tcW w:w="100" w:type="dxa"/>
            <w:vAlign w:val="bottom"/>
            <w:shd w:val="clear" w:color="auto" w:fill="CFF0FC"/>
          </w:tcPr>
          <w:p>
            <w:pPr>
              <w:spacing w:after="0"/>
              <w:rPr>
                <w:sz w:val="19"/>
                <w:szCs w:val="19"/>
                <w:color w:val="auto"/>
              </w:rPr>
            </w:pPr>
          </w:p>
        </w:tc>
      </w:tr>
      <w:tr>
        <w:trPr>
          <w:trHeight w:val="229"/>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Available for conversion of non-voting common stock</w:t>
            </w:r>
          </w:p>
        </w:tc>
        <w:tc>
          <w:tcPr>
            <w:tcW w:w="1420" w:type="dxa"/>
            <w:vAlign w:val="bottom"/>
          </w:tcPr>
          <w:p>
            <w:pPr>
              <w:jc w:val="right"/>
              <w:spacing w:after="0"/>
              <w:rPr>
                <w:sz w:val="20"/>
                <w:szCs w:val="20"/>
                <w:color w:val="auto"/>
              </w:rPr>
            </w:pPr>
            <w:r>
              <w:rPr>
                <w:rFonts w:ascii="Arial" w:cs="Arial" w:eastAsia="Arial" w:hAnsi="Arial"/>
                <w:sz w:val="18"/>
                <w:szCs w:val="18"/>
                <w:color w:val="auto"/>
              </w:rPr>
              <w:t>1,873,320</w:t>
            </w:r>
          </w:p>
        </w:tc>
        <w:tc>
          <w:tcPr>
            <w:tcW w:w="100" w:type="dxa"/>
            <w:vAlign w:val="bottom"/>
          </w:tcPr>
          <w:p>
            <w:pPr>
              <w:spacing w:after="0"/>
              <w:rPr>
                <w:sz w:val="19"/>
                <w:szCs w:val="19"/>
                <w:color w:val="auto"/>
              </w:rPr>
            </w:pPr>
          </w:p>
        </w:tc>
      </w:tr>
      <w:tr>
        <w:trPr>
          <w:trHeight w:val="223"/>
        </w:trPr>
        <w:tc>
          <w:tcPr>
            <w:tcW w:w="7580" w:type="dxa"/>
            <w:vAlign w:val="bottom"/>
          </w:tcPr>
          <w:p>
            <w:pPr>
              <w:spacing w:after="0"/>
              <w:rPr>
                <w:sz w:val="19"/>
                <w:szCs w:val="19"/>
                <w:color w:val="auto"/>
              </w:rPr>
            </w:pPr>
          </w:p>
        </w:tc>
        <w:tc>
          <w:tcPr>
            <w:tcW w:w="2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33,213,670</w:t>
            </w:r>
          </w:p>
        </w:tc>
        <w:tc>
          <w:tcPr>
            <w:tcW w:w="10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69"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Equity Incentive Plan (the 2021 Plan), which became effective on May 28, 2021.</w:t>
      </w:r>
    </w:p>
    <w:p>
      <w:pPr>
        <w:spacing w:after="0" w:line="11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7"/>
          <w:szCs w:val="17"/>
          <w:color w:val="auto"/>
        </w:rPr>
        <w:t>No further awards are being made under the Company’s 2009 Equity Incentive Plan, as amended (the 2009 Plan) or the Company’s 2018 Stock Incentive Plan (the 2018 Plan); however, awards outstanding under each of the 2009 Plan and 2018 Plan will continue to be governed by their existing terms. With the establishment of the 2021 Plan as further discussed below,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spacing w:after="0" w:line="137"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2021 Plan provides for the grant of incentive stock options, nonqualified stock options, stock appreciation rights, restricted stock awards, restricted stock units, performance awards and other forms of equity compensation (collectively, equity awards). A total of 19,988,330 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common stock will become available under the 2021 Plan.</w:t>
      </w:r>
    </w:p>
    <w:p>
      <w:pPr>
        <w:spacing w:after="0" w:line="142"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As of December 31, 2023, a total of 14,846,817 shares of the Company's common stock were available for future issuance under the 2021 Plan.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2" w:lineRule="exact"/>
        <w:rPr>
          <w:sz w:val="20"/>
          <w:szCs w:val="20"/>
          <w:color w:val="auto"/>
        </w:rPr>
      </w:pPr>
    </w:p>
    <w:p>
      <w:pPr>
        <w:jc w:val="both"/>
        <w:ind w:right="320" w:firstLine="509"/>
        <w:spacing w:after="0" w:line="252" w:lineRule="auto"/>
        <w:rPr>
          <w:sz w:val="20"/>
          <w:szCs w:val="20"/>
          <w:color w:val="auto"/>
        </w:rPr>
      </w:pPr>
      <w:r>
        <w:rPr>
          <w:rFonts w:ascii="Arial" w:cs="Arial" w:eastAsia="Arial" w:hAnsi="Arial"/>
          <w:sz w:val="18"/>
          <w:szCs w:val="18"/>
          <w:color w:val="auto"/>
        </w:rPr>
        <w:t>Stock options granted under the 2009 Plan, 2018 Plan and the 2021 Plan generally vest based on continued service over four years and expire within ten years from the date of grant. Any options that are canceled or forfeited before expiration become available for future grants.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stock option activity since December 31,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57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r>
      <w:tr>
        <w:trPr>
          <w:trHeight w:val="185"/>
        </w:trPr>
        <w:tc>
          <w:tcPr>
            <w:tcW w:w="5760" w:type="dxa"/>
            <w:vAlign w:val="bottom"/>
          </w:tcPr>
          <w:p>
            <w:pPr>
              <w:spacing w:after="0"/>
              <w:rPr>
                <w:sz w:val="16"/>
                <w:szCs w:val="16"/>
                <w:color w:val="auto"/>
              </w:rPr>
            </w:pP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Price Per Share</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r>
      <w:tr>
        <w:trPr>
          <w:trHeight w:val="22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12,160,560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229,349</w:t>
            </w:r>
          </w:p>
        </w:tc>
        <w:tc>
          <w:tcPr>
            <w:tcW w:w="100" w:type="dxa"/>
            <w:vAlign w:val="bottom"/>
            <w:shd w:val="clear" w:color="auto" w:fill="CFF0FC"/>
          </w:tcPr>
          <w:p>
            <w:pPr>
              <w:spacing w:after="0"/>
              <w:rPr>
                <w:sz w:val="19"/>
                <w:szCs w:val="19"/>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(3,797,612 )</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(255,087 )</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20.41</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2023</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8,107,861</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136,975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5760" w:type="dxa"/>
            <w:vAlign w:val="bottom"/>
          </w:tcPr>
          <w:p>
            <w:pPr>
              <w:ind w:left="20"/>
              <w:spacing w:after="0"/>
              <w:rPr>
                <w:sz w:val="20"/>
                <w:szCs w:val="20"/>
                <w:color w:val="auto"/>
              </w:rPr>
            </w:pPr>
            <w:r>
              <w:rPr>
                <w:rFonts w:ascii="Arial" w:cs="Arial" w:eastAsia="Arial" w:hAnsi="Arial"/>
                <w:sz w:val="18"/>
                <w:szCs w:val="18"/>
                <w:color w:val="auto"/>
              </w:rPr>
              <w:t>Exercisable as of December 31, 2023</w:t>
            </w:r>
          </w:p>
        </w:tc>
        <w:tc>
          <w:tcPr>
            <w:tcW w:w="1200" w:type="dxa"/>
            <w:vAlign w:val="bottom"/>
          </w:tcPr>
          <w:p>
            <w:pPr>
              <w:jc w:val="right"/>
              <w:spacing w:after="0"/>
              <w:rPr>
                <w:sz w:val="20"/>
                <w:szCs w:val="20"/>
                <w:color w:val="auto"/>
              </w:rPr>
            </w:pPr>
            <w:r>
              <w:rPr>
                <w:rFonts w:ascii="Arial" w:cs="Arial" w:eastAsia="Arial" w:hAnsi="Arial"/>
                <w:sz w:val="18"/>
                <w:szCs w:val="18"/>
                <w:color w:val="auto"/>
              </w:rPr>
              <w:t>6,585,645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118,100</w:t>
            </w:r>
          </w:p>
        </w:tc>
        <w:tc>
          <w:tcPr>
            <w:tcW w:w="100" w:type="dxa"/>
            <w:vAlign w:val="bottom"/>
          </w:tcPr>
          <w:p>
            <w:pPr>
              <w:spacing w:after="0"/>
              <w:rPr>
                <w:sz w:val="18"/>
                <w:szCs w:val="18"/>
                <w:color w:val="auto"/>
              </w:rPr>
            </w:pPr>
          </w:p>
        </w:tc>
      </w:tr>
      <w:tr>
        <w:trPr>
          <w:trHeight w:val="22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or expected to vest as of December 31, 2023</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1,462,943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18,217</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-316230</wp:posOffset>
            </wp:positionV>
            <wp:extent cx="768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-299085</wp:posOffset>
            </wp:positionV>
            <wp:extent cx="7683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-316230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-299085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-316230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-299085</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The aggregate intrinsic value was calculated as the difference between exercise price of the underlying awards and the closing price of the Company’s common stock at December 31, 2023. The aggregate intrinsic value of stock options exercised during the years ended December 31, 2023, 2022 and 2021 was $89.8 million, $56.1 million and $217.7 million, respectively.</w:t>
      </w:r>
    </w:p>
    <w:p>
      <w:pPr>
        <w:spacing w:after="0" w:line="130" w:lineRule="exact"/>
        <w:rPr>
          <w:sz w:val="20"/>
          <w:szCs w:val="20"/>
          <w:color w:val="auto"/>
        </w:rPr>
      </w:pPr>
    </w:p>
    <w:p>
      <w:pPr>
        <w:ind w:right="640" w:firstLine="509"/>
        <w:spacing w:after="0" w:line="252" w:lineRule="auto"/>
        <w:rPr>
          <w:sz w:val="20"/>
          <w:szCs w:val="20"/>
          <w:color w:val="auto"/>
        </w:rPr>
      </w:pPr>
      <w:r>
        <w:rPr>
          <w:rFonts w:ascii="Arial" w:cs="Arial" w:eastAsia="Arial" w:hAnsi="Arial"/>
          <w:sz w:val="18"/>
          <w:szCs w:val="18"/>
          <w:color w:val="auto"/>
        </w:rPr>
        <w:t>The Company did not grant any options to purchase shares of common stock during the year ended December 31, 2023. The weighted average grant-date fair value of stock options granted during the years ended December 31, 2022 and 2021 was $30.08 and $12.59 per share, respectively.</w:t>
      </w:r>
    </w:p>
    <w:p>
      <w:pPr>
        <w:spacing w:after="0" w:line="130"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The fair value of each option award was estimated on the date of grant using the Black-Scholes option-pricing model. The table below quantifies the weighted average of the most significant inputs to determine the fair value of stock options granted during the years ended December 31, 2022 and 2021.</w:t>
      </w:r>
    </w:p>
    <w:p>
      <w:pPr>
        <w:spacing w:after="0" w:line="167"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r>
      <w:tr>
        <w:trPr>
          <w:trHeight w:val="22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2.16 %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0.87 %</w:t>
            </w: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0 %</w:t>
            </w: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47.4 %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42.6 %</w:t>
            </w:r>
          </w:p>
        </w:tc>
      </w:tr>
      <w:tr>
        <w:trPr>
          <w:trHeight w:val="23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Expected terms (in years)</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454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7"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 Company received cash proceeds from the exercise of options to purchase common stock of $10.4 million, $4.7 million and $6.9 million during the years ended December 31, 2023, 2022 and 2021, respectively.</w:t>
      </w:r>
    </w:p>
    <w:p>
      <w:pPr>
        <w:spacing w:after="0" w:line="112"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As of December 31, 2023, there was $11.1 million of total unrecognized expense related to unvested stock options, which is expected to be recognized over a weighted-average period of 1.27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and Restricted Stock Units</w:t>
      </w:r>
    </w:p>
    <w:p>
      <w:pPr>
        <w:spacing w:after="0" w:line="169" w:lineRule="exact"/>
        <w:rPr>
          <w:sz w:val="20"/>
          <w:szCs w:val="20"/>
          <w:color w:val="auto"/>
        </w:rPr>
      </w:pPr>
    </w:p>
    <w:p>
      <w:pPr>
        <w:ind w:right="420" w:firstLine="509"/>
        <w:spacing w:after="0" w:line="252" w:lineRule="auto"/>
        <w:rPr>
          <w:sz w:val="20"/>
          <w:szCs w:val="20"/>
          <w:color w:val="auto"/>
        </w:rPr>
      </w:pPr>
      <w:r>
        <w:rPr>
          <w:rFonts w:ascii="Arial" w:cs="Arial" w:eastAsia="Arial" w:hAnsi="Arial"/>
          <w:sz w:val="18"/>
          <w:szCs w:val="18"/>
          <w:color w:val="auto"/>
        </w:rPr>
        <w:t>During 2018, the Company granted restricted stock awards to employees under the 2018 Plan. The restricted stock awards vested ratably over a four year period from the date of grant. The fair value of each restricted stock award was the estimated fair value of the common stock on the date of grant. All restricted stock awards were fully vested as of 2022.</w:t>
      </w:r>
    </w:p>
    <w:p>
      <w:pPr>
        <w:spacing w:after="0" w:line="130"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Starting in 2021, the Company has awarded restricted stock units to employees and certain non-employee board members under the 2021 Plan. The fair value of each restricted stock unit is estimated based on the fair value of the Company's common stock on the date of the grant. The restricted stock units vest over the requisite service period, which</w:t>
      </w:r>
    </w:p>
    <w:p>
      <w:pPr>
        <w:spacing w:after="0" w:line="6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range between one and four years from the date of the grant, subject to the continued employment of the employees and service of the non-employee board members.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restricted stock units activity for the year ended December 31,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6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r>
      <w:tr>
        <w:trPr>
          <w:trHeight w:val="162"/>
        </w:trPr>
        <w:tc>
          <w:tcPr>
            <w:tcW w:w="6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55"/>
              <w:spacing w:after="0"/>
              <w:rPr>
                <w:sz w:val="20"/>
                <w:szCs w:val="20"/>
                <w:color w:val="auto"/>
              </w:rPr>
            </w:pPr>
            <w:r>
              <w:rPr>
                <w:rFonts w:ascii="Arial" w:cs="Arial" w:eastAsia="Arial" w:hAnsi="Arial"/>
                <w:sz w:val="14"/>
                <w:szCs w:val="14"/>
                <w:b w:val="1"/>
                <w:bCs w:val="1"/>
                <w:color w:val="auto"/>
              </w:rPr>
              <w:t>Grant Date Fair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r>
      <w:tr>
        <w:trPr>
          <w:trHeight w:val="185"/>
        </w:trPr>
        <w:tc>
          <w:tcPr>
            <w:tcW w:w="6580" w:type="dxa"/>
            <w:vAlign w:val="bottom"/>
          </w:tcPr>
          <w:p>
            <w:pPr>
              <w:spacing w:after="0"/>
              <w:rPr>
                <w:sz w:val="16"/>
                <w:szCs w:val="16"/>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6"/>
                <w:szCs w:val="16"/>
                <w:color w:val="auto"/>
              </w:rPr>
            </w:pPr>
          </w:p>
        </w:tc>
        <w:tc>
          <w:tcPr>
            <w:tcW w:w="1180" w:type="dxa"/>
            <w:vAlign w:val="bottom"/>
          </w:tcPr>
          <w:p>
            <w:pPr>
              <w:jc w:val="right"/>
              <w:ind w:right="375"/>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as of December 31, 2022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2,934,442</w:t>
            </w:r>
          </w:p>
        </w:tc>
        <w:tc>
          <w:tcPr>
            <w:tcW w:w="2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w:t>
            </w:r>
          </w:p>
        </w:tc>
        <w:tc>
          <w:tcPr>
            <w:tcW w:w="2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2,890,407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78,435</w:t>
            </w:r>
          </w:p>
        </w:tc>
        <w:tc>
          <w:tcPr>
            <w:tcW w:w="100" w:type="dxa"/>
            <w:vAlign w:val="bottom"/>
          </w:tcPr>
          <w:p>
            <w:pPr>
              <w:spacing w:after="0"/>
              <w:rPr>
                <w:sz w:val="19"/>
                <w:szCs w:val="19"/>
                <w:color w:val="auto"/>
              </w:rPr>
            </w:pPr>
          </w:p>
        </w:tc>
      </w:tr>
      <w:tr>
        <w:trPr>
          <w:trHeight w:val="22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(1,192,362 )</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29,670</w:t>
            </w:r>
          </w:p>
        </w:tc>
        <w:tc>
          <w:tcPr>
            <w:tcW w:w="100" w:type="dxa"/>
            <w:vAlign w:val="bottom"/>
            <w:shd w:val="clear" w:color="auto" w:fill="CFF0FC"/>
          </w:tcPr>
          <w:p>
            <w:pPr>
              <w:spacing w:after="0"/>
              <w:rPr>
                <w:sz w:val="19"/>
                <w:szCs w:val="19"/>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Cancelled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(201,762 )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as of December 31, 2023</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4,430,725</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-24765</wp:posOffset>
            </wp:positionV>
            <wp:extent cx="768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-7620</wp:posOffset>
            </wp:positionV>
            <wp:extent cx="768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As of December 31, 2023, there was $89.4 million of total unrecognized compensation expense related to unvested restricted stock units, which is expected to be recognized over a weighted-average period of 2.80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In April 2021, the Company’s board of directors adopted, and in May 2021 its stockholders approved, the 2021 ESPP, which became effective on May 28, 2021. The ESPP authorizes the issuance of shares of common stock pursuant to purchase rights granted to "eligible employees". A total of 3,856,785 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the lesser of up to 15% of their eligible compensation or IRS limit. Offering periods are generally 6 months long.</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2023, a total of 3,856,785 shares of the Company's common stock were available for future issuance under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ESPP.</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2023, there was no unrecognized compensation expense related to the ESPP.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Costs</w:t>
      </w:r>
    </w:p>
    <w:p>
      <w:pPr>
        <w:spacing w:after="0" w:line="169" w:lineRule="exact"/>
        <w:rPr>
          <w:sz w:val="20"/>
          <w:szCs w:val="20"/>
          <w:color w:val="auto"/>
        </w:rPr>
      </w:pPr>
    </w:p>
    <w:p>
      <w:pPr>
        <w:ind w:right="320" w:firstLine="509"/>
        <w:spacing w:after="0" w:line="252" w:lineRule="auto"/>
        <w:rPr>
          <w:sz w:val="20"/>
          <w:szCs w:val="20"/>
          <w:color w:val="auto"/>
        </w:rPr>
      </w:pPr>
      <w:r>
        <w:rPr>
          <w:rFonts w:ascii="Arial" w:cs="Arial" w:eastAsia="Arial" w:hAnsi="Arial"/>
          <w:sz w:val="18"/>
          <w:szCs w:val="18"/>
          <w:color w:val="auto"/>
        </w:rPr>
        <w:t>The following table summarizes the stock-based compensation expense for stock options, restricted stock units and ESPP shares granted to employees and non-employee board members that was recorded in the Company’s consolidated statements of operations and comprehensive loss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and development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9,286</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11,982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7,856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19"/>
                <w:szCs w:val="19"/>
                <w:color w:val="auto"/>
              </w:rPr>
            </w:pPr>
          </w:p>
        </w:tc>
      </w:tr>
      <w:tr>
        <w:trPr>
          <w:trHeight w:val="22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22,458</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20" w:type="dxa"/>
            <w:vAlign w:val="bottom"/>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43,726</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30,259</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18,928</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-179070</wp:posOffset>
            </wp:positionV>
            <wp:extent cx="7683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-179070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In February 2021, certain of the Company’s existing investors acquired 1,205,118 outstanding shares of common stock from employees of the Company for a purchase price greater than the fair value of the common stock at the time of the transaction. As a result, the Company recorded $8.4 million in stock-based compensation during the year ended December 31, 2021. The amount recorded as stock-based compensation represents the difference between the price paid and the estimated fair value at the date of the transaction.</w:t>
      </w:r>
    </w:p>
    <w:p>
      <w:pPr>
        <w:spacing w:after="0" w:line="136"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On November 6, 2023, the Company entered into a Transition Agreement with its Chief Financial Officer (CFO). In connection with the Transition Agreement, the Company modified its CFO's outstanding stock options and restricted stock units to i) accelerate vesting for nine months from his separation date and ii) extend the exercise period of his stock options from ninety days to one year. To receive these benefits, the CFO has to remain employed through the Transition Date, which is currently expected to be March 31, 2024. As a result of the modification, the Company expects to recognize $1.9 million of additional compensation expense from the execution of the Transition Agreement through March 31, 2024. The Company recognized additional compensation expense of $0.7 million for the year ended December 31,</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1260"/>
        <w:spacing w:after="0" w:line="445" w:lineRule="auto"/>
        <w:rPr>
          <w:sz w:val="20"/>
          <w:szCs w:val="20"/>
          <w:color w:val="auto"/>
        </w:rPr>
      </w:pPr>
      <w:r>
        <w:rPr>
          <w:rFonts w:ascii="Arial" w:cs="Arial" w:eastAsia="Arial" w:hAnsi="Arial"/>
          <w:sz w:val="18"/>
          <w:szCs w:val="18"/>
          <w:color w:val="auto"/>
        </w:rPr>
        <w:t xml:space="preserve">2023, and expects to recognize the remaining compensation expense of $1.2 during the three months ended March 31, 2024. </w:t>
      </w:r>
      <w:r>
        <w:rPr>
          <w:rFonts w:ascii="Arial" w:cs="Arial" w:eastAsia="Arial" w:hAnsi="Arial"/>
          <w:sz w:val="18"/>
          <w:szCs w:val="18"/>
          <w:b w:val="1"/>
          <w:bCs w:val="1"/>
          <w:color w:val="auto"/>
        </w:rPr>
        <w:t>Note 13. Net Loss per Share</w:t>
      </w:r>
    </w:p>
    <w:p>
      <w:pPr>
        <w:spacing w:after="0" w:line="1"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28"/>
              <w:spacing w:after="0"/>
              <w:rPr>
                <w:sz w:val="20"/>
                <w:szCs w:val="20"/>
                <w:color w:val="auto"/>
              </w:rPr>
            </w:pPr>
            <w:r>
              <w:rPr>
                <w:rFonts w:ascii="Arial" w:cs="Arial" w:eastAsia="Arial" w:hAnsi="Arial"/>
                <w:sz w:val="18"/>
                <w:szCs w:val="18"/>
                <w:color w:val="auto"/>
              </w:rPr>
              <w:t>(8,566 )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(39,347 )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(28,085 )</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Accretion of preferred stock to redemption value</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Pr>
          <w:p>
            <w:pPr>
              <w:ind w:left="280"/>
              <w:spacing w:after="0"/>
              <w:rPr>
                <w:sz w:val="20"/>
                <w:szCs w:val="20"/>
                <w:color w:val="auto"/>
              </w:rPr>
            </w:pPr>
            <w:r>
              <w:rPr>
                <w:rFonts w:ascii="Arial" w:cs="Arial" w:eastAsia="Arial" w:hAnsi="Arial"/>
                <w:sz w:val="18"/>
                <w:szCs w:val="18"/>
                <w:color w:val="auto"/>
              </w:rPr>
              <w:t>Net loss attributable to common stockholders -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28"/>
              <w:spacing w:after="0"/>
              <w:rPr>
                <w:sz w:val="20"/>
                <w:szCs w:val="20"/>
                <w:color w:val="auto"/>
              </w:rPr>
            </w:pPr>
            <w:r>
              <w:rPr>
                <w:rFonts w:ascii="Arial" w:cs="Arial" w:eastAsia="Arial" w:hAnsi="Arial"/>
                <w:sz w:val="18"/>
                <w:szCs w:val="18"/>
                <w:color w:val="auto"/>
              </w:rPr>
              <w:t>(8,566 )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(39,347 )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(28,098 )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Weighted average common shares outstanding - basic and diluted</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114,828,494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107,935,514</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71,168,054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62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Net loss per share attributable to common stockholders - basic</w:t>
            </w:r>
          </w:p>
        </w:tc>
        <w:tc>
          <w:tcPr>
            <w:tcW w:w="2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shd w:val="clear" w:color="auto" w:fill="CFF0FC"/>
          </w:tcPr>
          <w:p>
            <w:pPr>
              <w:jc w:val="right"/>
              <w:ind w:right="128"/>
              <w:spacing w:after="0"/>
              <w:rPr>
                <w:sz w:val="20"/>
                <w:szCs w:val="20"/>
                <w:color w:val="auto"/>
              </w:rPr>
            </w:pPr>
            <w:r>
              <w:rPr>
                <w:rFonts w:ascii="Arial" w:cs="Arial" w:eastAsia="Arial" w:hAnsi="Arial"/>
                <w:sz w:val="18"/>
                <w:szCs w:val="18"/>
                <w:color w:val="auto"/>
              </w:rPr>
              <w:t>(0.07 )</w:t>
            </w: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(0.36 )</w:t>
            </w: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(0.39 )</w:t>
            </w:r>
          </w:p>
        </w:tc>
        <w:tc>
          <w:tcPr>
            <w:tcW w:w="0" w:type="dxa"/>
            <w:vAlign w:val="bottom"/>
          </w:tcPr>
          <w:p>
            <w:pPr>
              <w:spacing w:after="0"/>
              <w:rPr>
                <w:sz w:val="1"/>
                <w:szCs w:val="1"/>
                <w:color w:val="auto"/>
              </w:rPr>
            </w:pPr>
          </w:p>
        </w:tc>
      </w:tr>
      <w:tr>
        <w:trPr>
          <w:trHeight w:val="214"/>
        </w:trPr>
        <w:tc>
          <w:tcPr>
            <w:tcW w:w="6620" w:type="dxa"/>
            <w:vAlign w:val="bottom"/>
            <w:shd w:val="clear" w:color="auto" w:fill="CFF0FC"/>
          </w:tcPr>
          <w:p>
            <w:pPr>
              <w:ind w:left="180"/>
              <w:spacing w:after="0" w:line="195" w:lineRule="exact"/>
              <w:rPr>
                <w:sz w:val="20"/>
                <w:szCs w:val="20"/>
                <w:color w:val="auto"/>
              </w:rPr>
            </w:pPr>
            <w:r>
              <w:rPr>
                <w:rFonts w:ascii="Arial" w:cs="Arial" w:eastAsia="Arial" w:hAnsi="Arial"/>
                <w:sz w:val="18"/>
                <w:szCs w:val="18"/>
                <w:color w:val="auto"/>
              </w:rPr>
              <w:t>and diluted</w:t>
            </w:r>
          </w:p>
        </w:tc>
        <w:tc>
          <w:tcPr>
            <w:tcW w:w="240" w:type="dxa"/>
            <w:vAlign w:val="bottom"/>
            <w:vMerge w:val="continue"/>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360" w:type="dxa"/>
            <w:vAlign w:val="bottom"/>
            <w:gridSpan w:val="2"/>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-753110</wp:posOffset>
            </wp:positionV>
            <wp:extent cx="7683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-753110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-753110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300" w:firstLine="509"/>
        <w:spacing w:after="0" w:line="252" w:lineRule="auto"/>
        <w:rPr>
          <w:sz w:val="20"/>
          <w:szCs w:val="20"/>
          <w:color w:val="auto"/>
        </w:rPr>
      </w:pPr>
      <w:r>
        <w:rPr>
          <w:rFonts w:ascii="Arial" w:cs="Arial" w:eastAsia="Arial" w:hAnsi="Arial"/>
          <w:sz w:val="18"/>
          <w:szCs w:val="18"/>
          <w:color w:val="auto"/>
        </w:rPr>
        <w:t>For periods in which the Company is in a loss position, basic net loss per share attributable to common stockholders is the same as diluted net loss per share attributable to common stockholders. Outstanding potentially dilutive securities, which were excluded from the diluted net loss per share calculations because they would have been antidilutive were as follows as of the dates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580" w:type="dxa"/>
            <w:vAlign w:val="bottom"/>
          </w:tcPr>
          <w:p>
            <w:pPr>
              <w:spacing w:after="0"/>
              <w:rPr>
                <w:sz w:val="15"/>
                <w:szCs w:val="15"/>
                <w:color w:val="auto"/>
              </w:rPr>
            </w:pPr>
          </w:p>
        </w:tc>
        <w:tc>
          <w:tcPr>
            <w:tcW w:w="13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13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units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4,430,725</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2,934,442</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213,121</w:t>
            </w:r>
          </w:p>
        </w:tc>
        <w:tc>
          <w:tcPr>
            <w:tcW w:w="100" w:type="dxa"/>
            <w:vAlign w:val="bottom"/>
            <w:shd w:val="clear" w:color="auto" w:fill="CFF0FC"/>
          </w:tcPr>
          <w:p>
            <w:pPr>
              <w:spacing w:after="0"/>
              <w:rPr>
                <w:sz w:val="19"/>
                <w:szCs w:val="19"/>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8,107,861</w:t>
            </w:r>
          </w:p>
        </w:tc>
        <w:tc>
          <w:tcPr>
            <w:tcW w:w="2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12,160,560</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14,855,292</w:t>
            </w:r>
          </w:p>
        </w:tc>
        <w:tc>
          <w:tcPr>
            <w:tcW w:w="100" w:type="dxa"/>
            <w:vAlign w:val="bottom"/>
          </w:tcPr>
          <w:p>
            <w:pPr>
              <w:spacing w:after="0"/>
              <w:rPr>
                <w:sz w:val="19"/>
                <w:szCs w:val="19"/>
                <w:color w:val="auto"/>
              </w:rPr>
            </w:pPr>
          </w:p>
        </w:tc>
      </w:tr>
      <w:tr>
        <w:trPr>
          <w:trHeight w:val="263"/>
        </w:trPr>
        <w:tc>
          <w:tcPr>
            <w:tcW w:w="658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12,538,586</w:t>
            </w:r>
          </w:p>
        </w:tc>
        <w:tc>
          <w:tcPr>
            <w:tcW w:w="24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15,095,002</w:t>
            </w:r>
          </w:p>
        </w:tc>
        <w:tc>
          <w:tcPr>
            <w:tcW w:w="2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15,068,413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components of loss before provision for income taxes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(23,190 )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(45,341 )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(29,186 )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18,838</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19"/>
                <w:szCs w:val="19"/>
                <w:color w:val="auto"/>
              </w:rPr>
            </w:pPr>
          </w:p>
        </w:tc>
      </w:tr>
      <w:tr>
        <w:trPr>
          <w:trHeight w:val="243"/>
        </w:trPr>
        <w:tc>
          <w:tcPr>
            <w:tcW w:w="66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(4,352 )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(37,359 )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(25,927 )</w:t>
            </w: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76"/>
        </w:trPr>
        <w:tc>
          <w:tcPr>
            <w:tcW w:w="9820" w:type="dxa"/>
            <w:vAlign w:val="bottom"/>
            <w:gridSpan w:val="7"/>
          </w:tcPr>
          <w:p>
            <w:pPr>
              <w:ind w:left="520"/>
              <w:spacing w:after="0"/>
              <w:rPr>
                <w:sz w:val="20"/>
                <w:szCs w:val="20"/>
                <w:color w:val="auto"/>
              </w:rPr>
            </w:pPr>
            <w:r>
              <w:rPr>
                <w:rFonts w:ascii="Arial" w:cs="Arial" w:eastAsia="Arial" w:hAnsi="Arial"/>
                <w:sz w:val="18"/>
                <w:szCs w:val="18"/>
                <w:color w:val="auto"/>
              </w:rPr>
              <w:t>The following table summarizes the components of the Company’s provision for income taxes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0"/>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r>
      <w:tr>
        <w:trPr>
          <w:trHeight w:val="22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4,011</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20" w:type="dxa"/>
            <w:vAlign w:val="bottom"/>
          </w:tcPr>
          <w:p>
            <w:pPr>
              <w:ind w:left="520"/>
              <w:spacing w:after="0"/>
              <w:rPr>
                <w:sz w:val="20"/>
                <w:szCs w:val="20"/>
                <w:color w:val="auto"/>
              </w:rPr>
            </w:pPr>
            <w:r>
              <w:rPr>
                <w:rFonts w:ascii="Arial" w:cs="Arial" w:eastAsia="Arial" w:hAnsi="Arial"/>
                <w:sz w:val="18"/>
                <w:szCs w:val="18"/>
                <w:color w:val="auto"/>
              </w:rPr>
              <w:t>Total current provision for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Deferred</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(102 )</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(1,750 )</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620" w:type="dxa"/>
            <w:vAlign w:val="bottom"/>
          </w:tcPr>
          <w:p>
            <w:pPr>
              <w:ind w:left="520"/>
              <w:spacing w:after="0"/>
              <w:rPr>
                <w:sz w:val="20"/>
                <w:szCs w:val="20"/>
                <w:color w:val="auto"/>
              </w:rPr>
            </w:pPr>
            <w:r>
              <w:rPr>
                <w:rFonts w:ascii="Arial" w:cs="Arial" w:eastAsia="Arial" w:hAnsi="Arial"/>
                <w:sz w:val="18"/>
                <w:szCs w:val="18"/>
                <w:color w:val="auto"/>
              </w:rPr>
              <w:t>Total deferred income tax provision (benefit)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(1,708 )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r>
      <w:tr>
        <w:trPr>
          <w:trHeight w:val="263"/>
        </w:trPr>
        <w:tc>
          <w:tcPr>
            <w:tcW w:w="6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income tax provision</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4,214</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-3188970</wp:posOffset>
            </wp:positionV>
            <wp:extent cx="102235" cy="16256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022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-3188970</wp:posOffset>
            </wp:positionV>
            <wp:extent cx="93980" cy="16256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-3188970</wp:posOffset>
            </wp:positionV>
            <wp:extent cx="93980" cy="16256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-2593975</wp:posOffset>
            </wp:positionV>
            <wp:extent cx="7683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-2576830</wp:posOffset>
            </wp:positionV>
            <wp:extent cx="7683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-2593975</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-2576830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-2593975</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-2576830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-1223645</wp:posOffset>
            </wp:positionV>
            <wp:extent cx="768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-1223645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-333375</wp:posOffset>
            </wp:positionV>
            <wp:extent cx="7683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-333375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800" w:type="dxa"/>
            <w:vAlign w:val="bottom"/>
            <w:vMerge w:val="restart"/>
          </w:tcPr>
          <w:p>
            <w:pPr>
              <w:ind w:left="20"/>
              <w:spacing w:after="0"/>
              <w:rPr>
                <w:sz w:val="20"/>
                <w:szCs w:val="20"/>
                <w:color w:val="auto"/>
              </w:rPr>
            </w:pPr>
            <w:r>
              <w:rPr>
                <w:rFonts w:ascii="Arial" w:cs="Arial" w:eastAsia="Arial" w:hAnsi="Arial"/>
                <w:sz w:val="18"/>
                <w:szCs w:val="18"/>
                <w:color w:val="auto"/>
              </w:rPr>
              <w:t>Federal statutory income tax rate</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0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(914 )</w:t>
            </w:r>
          </w:p>
        </w:tc>
        <w:tc>
          <w:tcPr>
            <w:tcW w:w="340" w:type="dxa"/>
            <w:vAlign w:val="bottom"/>
          </w:tcPr>
          <w:p>
            <w:pPr>
              <w:spacing w:after="0"/>
              <w:rPr>
                <w:sz w:val="19"/>
                <w:szCs w:val="19"/>
                <w:color w:val="auto"/>
              </w:rPr>
            </w:pPr>
          </w:p>
        </w:tc>
        <w:tc>
          <w:tcPr>
            <w:tcW w:w="1100" w:type="dxa"/>
            <w:vAlign w:val="bottom"/>
            <w:gridSpan w:val="3"/>
          </w:tcPr>
          <w:p>
            <w:pPr>
              <w:jc w:val="right"/>
              <w:ind w:right="28"/>
              <w:spacing w:after="0"/>
              <w:rPr>
                <w:sz w:val="20"/>
                <w:szCs w:val="20"/>
                <w:color w:val="auto"/>
              </w:rPr>
            </w:pPr>
            <w:r>
              <w:rPr>
                <w:rFonts w:ascii="Arial" w:cs="Arial" w:eastAsia="Arial" w:hAnsi="Arial"/>
                <w:sz w:val="18"/>
                <w:szCs w:val="18"/>
                <w:color w:val="auto"/>
              </w:rPr>
              <w:t>21.0 % $</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(7,845 )</w:t>
            </w:r>
          </w:p>
        </w:tc>
        <w:tc>
          <w:tcPr>
            <w:tcW w:w="280" w:type="dxa"/>
            <w:vAlign w:val="bottom"/>
          </w:tcPr>
          <w:p>
            <w:pPr>
              <w:spacing w:after="0"/>
              <w:rPr>
                <w:sz w:val="19"/>
                <w:szCs w:val="19"/>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21.0 % $</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(5,435 )</w:t>
            </w:r>
          </w:p>
        </w:tc>
        <w:tc>
          <w:tcPr>
            <w:tcW w:w="34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4800" w:type="dxa"/>
            <w:vAlign w:val="bottom"/>
          </w:tcPr>
          <w:p>
            <w:pPr>
              <w:ind w:left="280"/>
              <w:spacing w:after="0"/>
              <w:rPr>
                <w:sz w:val="20"/>
                <w:szCs w:val="20"/>
                <w:color w:val="auto"/>
              </w:rPr>
            </w:pPr>
            <w:r>
              <w:rPr>
                <w:rFonts w:ascii="Arial" w:cs="Arial" w:eastAsia="Arial" w:hAnsi="Arial"/>
                <w:sz w:val="18"/>
                <w:szCs w:val="18"/>
                <w:color w:val="auto"/>
              </w:rPr>
              <w:t>State income taxes, net of federal benefit</w:t>
            </w: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(721 )</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(2,228 )</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(1,300 )</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Non-deductible expenses</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(4.2 )</w:t>
            </w:r>
          </w:p>
        </w:tc>
        <w:tc>
          <w:tcPr>
            <w:tcW w:w="2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80"/>
              <w:spacing w:after="0"/>
              <w:rPr>
                <w:sz w:val="20"/>
                <w:szCs w:val="20"/>
                <w:color w:val="auto"/>
              </w:rPr>
            </w:pPr>
            <w:r>
              <w:rPr>
                <w:rFonts w:ascii="Arial" w:cs="Arial" w:eastAsia="Arial" w:hAnsi="Arial"/>
                <w:sz w:val="18"/>
                <w:szCs w:val="18"/>
                <w:color w:val="auto"/>
              </w:rPr>
              <w:t>Imputed interest</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(2.6 )</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(1.2 )</w:t>
            </w:r>
          </w:p>
        </w:tc>
        <w:tc>
          <w:tcPr>
            <w:tcW w:w="240" w:type="dxa"/>
            <w:vAlign w:val="bottom"/>
          </w:tcPr>
          <w:p>
            <w:pPr>
              <w:spacing w:after="0"/>
              <w:rPr>
                <w:sz w:val="19"/>
                <w:szCs w:val="19"/>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Fair value of contingent consideration</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(1.8 )</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(579 )</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80"/>
              <w:spacing w:after="0"/>
              <w:rPr>
                <w:sz w:val="20"/>
                <w:szCs w:val="20"/>
                <w:color w:val="auto"/>
              </w:rPr>
            </w:pPr>
            <w:r>
              <w:rPr>
                <w:rFonts w:ascii="Arial" w:cs="Arial" w:eastAsia="Arial" w:hAnsi="Arial"/>
                <w:sz w:val="18"/>
                <w:szCs w:val="18"/>
                <w:color w:val="auto"/>
              </w:rPr>
              <w:t>Global intangible low-taxed income inclusion</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(71.9 )</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(1.0 )</w:t>
            </w:r>
          </w:p>
        </w:tc>
        <w:tc>
          <w:tcPr>
            <w:tcW w:w="240" w:type="dxa"/>
            <w:vAlign w:val="bottom"/>
          </w:tcPr>
          <w:p>
            <w:pPr>
              <w:spacing w:after="0"/>
              <w:rPr>
                <w:sz w:val="19"/>
                <w:szCs w:val="19"/>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Equity-based compensation</w:t>
            </w: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(4,668 )</w:t>
            </w: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(3,538 )</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(2,724 )</w:t>
            </w: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280"/>
              <w:spacing w:after="0" w:line="197" w:lineRule="exact"/>
              <w:rPr>
                <w:sz w:val="20"/>
                <w:szCs w:val="20"/>
                <w:color w:val="auto"/>
              </w:rPr>
            </w:pPr>
            <w:r>
              <w:rPr>
                <w:rFonts w:ascii="Arial" w:cs="Arial" w:eastAsia="Arial" w:hAnsi="Arial"/>
                <w:sz w:val="18"/>
                <w:szCs w:val="18"/>
                <w:color w:val="auto"/>
              </w:rPr>
              <w:t>Change in fair value of preferred stock</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00" w:type="dxa"/>
            <w:vAlign w:val="bottom"/>
          </w:tcPr>
          <w:p>
            <w:pPr>
              <w:ind w:left="420"/>
              <w:spacing w:after="0"/>
              <w:rPr>
                <w:sz w:val="20"/>
                <w:szCs w:val="20"/>
                <w:color w:val="auto"/>
              </w:rPr>
            </w:pPr>
            <w:r>
              <w:rPr>
                <w:rFonts w:ascii="Arial" w:cs="Arial" w:eastAsia="Arial" w:hAnsi="Arial"/>
                <w:sz w:val="18"/>
                <w:szCs w:val="18"/>
                <w:color w:val="auto"/>
              </w:rPr>
              <w:t>warrant liability</w:t>
            </w:r>
          </w:p>
        </w:tc>
        <w:tc>
          <w:tcPr>
            <w:tcW w:w="240" w:type="dxa"/>
            <w:vAlign w:val="bottom"/>
          </w:tcPr>
          <w:p>
            <w:pPr>
              <w:spacing w:after="0"/>
              <w:rPr>
                <w:sz w:val="20"/>
                <w:szCs w:val="20"/>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88"/>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Excess executive compensation</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(42.9 )</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(3.4 )</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80"/>
              <w:spacing w:after="0"/>
              <w:rPr>
                <w:sz w:val="20"/>
                <w:szCs w:val="20"/>
                <w:color w:val="auto"/>
              </w:rPr>
            </w:pPr>
            <w:r>
              <w:rPr>
                <w:rFonts w:ascii="Arial" w:cs="Arial" w:eastAsia="Arial" w:hAnsi="Arial"/>
                <w:sz w:val="18"/>
                <w:szCs w:val="18"/>
                <w:color w:val="auto"/>
              </w:rPr>
              <w:t>Change in uncertain tax position</w:t>
            </w: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(30 )</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(68 )</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valuation allowance</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(62.8 )</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(36.9 )</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(24.6 )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80"/>
              <w:spacing w:after="0"/>
              <w:rPr>
                <w:sz w:val="20"/>
                <w:szCs w:val="20"/>
                <w:color w:val="auto"/>
              </w:rPr>
            </w:pPr>
            <w:r>
              <w:rPr>
                <w:rFonts w:ascii="Arial" w:cs="Arial" w:eastAsia="Arial" w:hAnsi="Arial"/>
                <w:sz w:val="18"/>
                <w:szCs w:val="18"/>
                <w:color w:val="auto"/>
              </w:rPr>
              <w:t>Foreign rate differential</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(23.3 )</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(1.3 )</w:t>
            </w:r>
          </w:p>
        </w:tc>
        <w:tc>
          <w:tcPr>
            <w:tcW w:w="2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(61 )</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statutory rate changes</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(29.8 )</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(367 )</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80"/>
              <w:spacing w:after="0"/>
              <w:rPr>
                <w:sz w:val="20"/>
                <w:szCs w:val="20"/>
                <w:color w:val="auto"/>
              </w:rPr>
            </w:pPr>
            <w:r>
              <w:rPr>
                <w:rFonts w:ascii="Arial" w:cs="Arial" w:eastAsia="Arial" w:hAnsi="Arial"/>
                <w:sz w:val="18"/>
                <w:szCs w:val="18"/>
                <w:color w:val="auto"/>
              </w:rPr>
              <w:t>Foreign withholding taxes</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(3.1 )</w:t>
            </w:r>
          </w:p>
        </w:tc>
        <w:tc>
          <w:tcPr>
            <w:tcW w:w="22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c>
          <w:tcPr>
            <w:tcW w:w="3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3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(0.8 )</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Pr>
          <w:p>
            <w:pPr>
              <w:ind w:left="520"/>
              <w:spacing w:after="0"/>
              <w:rPr>
                <w:sz w:val="20"/>
                <w:szCs w:val="20"/>
                <w:color w:val="auto"/>
              </w:rPr>
            </w:pPr>
            <w:r>
              <w:rPr>
                <w:rFonts w:ascii="Arial" w:cs="Arial" w:eastAsia="Arial" w:hAnsi="Arial"/>
                <w:sz w:val="18"/>
                <w:szCs w:val="18"/>
                <w:color w:val="auto"/>
              </w:rPr>
              <w:t>Effective income tax rate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ind w:right="28"/>
              <w:spacing w:after="0"/>
              <w:rPr>
                <w:sz w:val="20"/>
                <w:szCs w:val="20"/>
                <w:color w:val="auto"/>
              </w:rPr>
            </w:pPr>
            <w:r>
              <w:rPr>
                <w:rFonts w:ascii="Arial" w:cs="Arial" w:eastAsia="Arial" w:hAnsi="Arial"/>
                <w:sz w:val="18"/>
                <w:szCs w:val="18"/>
                <w:color w:val="auto"/>
              </w:rPr>
              <w:t>(96.8 )% $</w:t>
            </w:r>
          </w:p>
        </w:tc>
        <w:tc>
          <w:tcPr>
            <w:tcW w:w="660" w:type="dxa"/>
            <w:vAlign w:val="bottom"/>
          </w:tcPr>
          <w:p>
            <w:pPr>
              <w:jc w:val="right"/>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-2491105</wp:posOffset>
            </wp:positionV>
            <wp:extent cx="7132320" cy="1454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-179070</wp:posOffset>
            </wp:positionV>
            <wp:extent cx="7683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-179070</wp:posOffset>
            </wp:positionV>
            <wp:extent cx="768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-179070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-179070</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-179070</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560" w:firstLine="509"/>
        <w:spacing w:after="0" w:line="271" w:lineRule="auto"/>
        <w:rPr>
          <w:sz w:val="20"/>
          <w:szCs w:val="20"/>
          <w:color w:val="auto"/>
        </w:rPr>
      </w:pPr>
      <w:r>
        <w:rPr>
          <w:rFonts w:ascii="Arial" w:cs="Arial" w:eastAsia="Arial" w:hAnsi="Arial"/>
          <w:sz w:val="18"/>
          <w:szCs w:val="18"/>
          <w:color w:val="auto"/>
        </w:rPr>
        <w:t>During the years ended December 31, 2023, 2022 and 2021, the Company recorded an income tax provision of $4.2 million, $2.0 million and $2.2 million, respectively, which is primarily attributable to foreign activity and U.S. state taxes.</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deferred tax assets and liabilities consisted of the following components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5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r>
      <w:tr>
        <w:trPr>
          <w:trHeight w:val="182"/>
        </w:trPr>
        <w:tc>
          <w:tcPr>
            <w:tcW w:w="774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26,690</w:t>
            </w:r>
          </w:p>
        </w:tc>
        <w:tc>
          <w:tcPr>
            <w:tcW w:w="2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33,078</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Property and equipment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Equity-based compensation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5,370</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Lease liability</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limitation carryforward</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Capitalized research and development costs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20,776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10,360</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foreign exchange loss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Other temporary differences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deferred tax 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53,339</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Deferred tax asset valuation allowance</w:t>
            </w:r>
          </w:p>
        </w:tc>
        <w:tc>
          <w:tcPr>
            <w:tcW w:w="9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(40,444 )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(37,627 )</w:t>
            </w:r>
          </w:p>
        </w:tc>
      </w:tr>
      <w:tr>
        <w:trPr>
          <w:trHeight w:val="223"/>
        </w:trPr>
        <w:tc>
          <w:tcPr>
            <w:tcW w:w="77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7"/>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15,417</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Intangible assets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4"/>
              </w:rPr>
              <w:t>(15,234 )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(20,272 )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(7,843 )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(1,033 )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Right-of-use asset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(743 )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(596 )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(2,387 )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(2,272 )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contract costs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(2,668 )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(1,726 )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Other temporary differences</w:t>
            </w:r>
          </w:p>
        </w:tc>
        <w:tc>
          <w:tcPr>
            <w:tcW w:w="9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(38 )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(163 )</w:t>
            </w:r>
          </w:p>
        </w:tc>
      </w:tr>
      <w:tr>
        <w:trPr>
          <w:trHeight w:val="20"/>
        </w:trPr>
        <w:tc>
          <w:tcPr>
            <w:tcW w:w="7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deferred tax liabilities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4"/>
              </w:rPr>
              <w:t>(28,913 )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(26,062 )</w:t>
            </w:r>
          </w:p>
        </w:tc>
      </w:tr>
      <w:tr>
        <w:trPr>
          <w:trHeight w:val="20"/>
        </w:trPr>
        <w:tc>
          <w:tcPr>
            <w:tcW w:w="77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40" w:type="dxa"/>
            <w:vAlign w:val="bottom"/>
          </w:tcPr>
          <w:p>
            <w:pPr>
              <w:ind w:left="520"/>
              <w:spacing w:after="0"/>
              <w:rPr>
                <w:sz w:val="20"/>
                <w:szCs w:val="20"/>
                <w:color w:val="auto"/>
              </w:rPr>
            </w:pPr>
            <w:r>
              <w:rPr>
                <w:rFonts w:ascii="Arial" w:cs="Arial" w:eastAsia="Arial" w:hAnsi="Arial"/>
                <w:sz w:val="18"/>
                <w:szCs w:val="18"/>
                <w:color w:val="auto"/>
              </w:rPr>
              <w:t>Net deferred tax liabilities</w:t>
            </w: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(13,496 )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(10,350 )</w:t>
            </w: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-1360805</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-1360805</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-179070</wp:posOffset>
            </wp:positionV>
            <wp:extent cx="68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340" w:firstLine="509"/>
        <w:spacing w:after="0" w:line="261" w:lineRule="auto"/>
        <w:rPr>
          <w:sz w:val="20"/>
          <w:szCs w:val="20"/>
          <w:color w:val="auto"/>
        </w:rPr>
      </w:pPr>
      <w:r>
        <w:rPr>
          <w:rFonts w:ascii="Arial" w:cs="Arial" w:eastAsia="Arial" w:hAnsi="Arial"/>
          <w:sz w:val="17"/>
          <w:szCs w:val="17"/>
          <w:color w:val="auto"/>
        </w:rPr>
        <w:t>As of December 31, 2023, the Company had gross federal and state NOL carryforwards of $86.3 million and $101.4 million, respectively, out of which $17.6 million of federal NOL carryforwards and $99.3 million of state NOL carryforwards begin to expire in 2032 and 2024, respectively. Additionally, $68.7 million of federal NOL carryforwards and $2.2 million of state NOL carryforwards have indefinite lives. As of December 31, 2023, the Company has gross foreign NOL carryforwards of $8.7 million which have indefinite lives. The federal, state and foreign NOL carryforwards may be available to reduce future federal, state and foreign taxable income, respectively.</w:t>
      </w:r>
    </w:p>
    <w:p>
      <w:pPr>
        <w:sectPr>
          <w:pgSz w:w="11900" w:h="16838" w:orient="portrait"/>
          <w:cols w:equalWidth="0" w:num="1">
            <w:col w:w="11340"/>
          </w:cols>
          <w:pgMar w:left="320" w:top="768" w:right="239" w:bottom="1440" w:gutter="0" w:footer="0" w:header="0"/>
        </w:sectPr>
      </w:pPr>
    </w:p>
    <w:p>
      <w:pPr>
        <w:spacing w:after="0" w:line="5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Ownership changes, as defined under Internal Revenue Code Section 382, and similar state provisions may limit the amount of federal and state NOL carryforwards that can be utilized annually to offset future federal and state taxable income. Generally, an ownership change occurs when the ownership percentage of 5% or greater stockholders increases by more than 50% over a three-year period. Accordingly, the purchase of the Company’s stock in amounts greater than specified levels could limit the Company’s ability to utilize federal and state NOL carryforwards for tax purposes. During 2022, the Company completed a Section 382 study and as a result of the ownership changes identified, $1.6 million of Flywire’s NOLs and $0.2 million of Simplee’s NOLs will expire unutilized, assuming sufficient taxable income is generated in the future. The Company is in the process of updating its Section 382 study and preliminary indications show there will be no additional limitations in using Federal and State NOL carryforwards.</w:t>
      </w:r>
    </w:p>
    <w:p>
      <w:pPr>
        <w:spacing w:after="0" w:line="15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The Company has evaluated the positive and negative evidence bearing upon the realizability and determined that it is more likely than not that the Company will not realize the benefits of the deferred tax assets, and as a result, a valuation allowance has been established against federal, state and certain foreign deferred tax assets as of December 31, 2023 and 2022.</w:t>
      </w:r>
    </w:p>
    <w:p>
      <w:pPr>
        <w:spacing w:after="0" w:line="13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During the year ended December 31, 2023, the Company recorded a net increase in the valuation allowance of $2.8 million, which is primarily due to an increase of $12.1 million related to capitalized research and development costs, offset by NOL utilization in the U.S. and the U.K. During the year ended December 31, 2022, the Company recorded a net increase in the valuation allowance of $13.8 million, which is primarily due to an increase of $12.7 million related to capitalized research and development costs in the U.S. The Company also recorded a valuation allowance of $1.3 million related to a foreign subsidiary, offset by a decrease of $0.2 million due to the release of valuation allowance in foreign entities. During the year ended December 31, 2021, the Company recorded an increase in the valuation allowance of $6.4 million, which is primarily related to generating losses in the U.S. Changes in the valuation allowance are summarized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allowance at beginning of year</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(37,627 )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(23,864 )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(17,485 )</w:t>
            </w:r>
          </w:p>
        </w:tc>
        <w:tc>
          <w:tcPr>
            <w:tcW w:w="0" w:type="dxa"/>
            <w:vAlign w:val="bottom"/>
          </w:tcPr>
          <w:p>
            <w:pPr>
              <w:spacing w:after="0"/>
              <w:rPr>
                <w:sz w:val="1"/>
                <w:szCs w:val="1"/>
                <w:color w:val="auto"/>
              </w:rPr>
            </w:pPr>
          </w:p>
        </w:tc>
      </w:tr>
      <w:tr>
        <w:trPr>
          <w:trHeight w:val="197"/>
        </w:trPr>
        <w:tc>
          <w:tcPr>
            <w:tcW w:w="6620" w:type="dxa"/>
            <w:vAlign w:val="bottom"/>
          </w:tcPr>
          <w:p>
            <w:pPr>
              <w:ind w:left="20"/>
              <w:spacing w:after="0" w:line="197" w:lineRule="exact"/>
              <w:rPr>
                <w:sz w:val="20"/>
                <w:szCs w:val="20"/>
                <w:color w:val="auto"/>
              </w:rPr>
            </w:pPr>
            <w:r>
              <w:rPr>
                <w:rFonts w:ascii="Arial" w:cs="Arial" w:eastAsia="Arial" w:hAnsi="Arial"/>
                <w:sz w:val="18"/>
                <w:szCs w:val="18"/>
                <w:color w:val="auto"/>
              </w:rPr>
              <w:t>Change recorded to income tax provision as part of</w:t>
            </w:r>
          </w:p>
        </w:tc>
        <w:tc>
          <w:tcPr>
            <w:tcW w:w="320" w:type="dxa"/>
            <w:vAlign w:val="bottom"/>
          </w:tcPr>
          <w:p>
            <w:pPr>
              <w:spacing w:after="0"/>
              <w:rPr>
                <w:sz w:val="17"/>
                <w:szCs w:val="17"/>
                <w:color w:val="auto"/>
              </w:rPr>
            </w:pPr>
          </w:p>
        </w:tc>
        <w:tc>
          <w:tcPr>
            <w:tcW w:w="1300" w:type="dxa"/>
            <w:vAlign w:val="bottom"/>
            <w:gridSpan w:val="2"/>
            <w:vMerge w:val="restart"/>
          </w:tcPr>
          <w:p>
            <w:pPr>
              <w:jc w:val="right"/>
              <w:ind w:right="128"/>
              <w:spacing w:after="0"/>
              <w:rPr>
                <w:sz w:val="20"/>
                <w:szCs w:val="20"/>
                <w:color w:val="auto"/>
              </w:rPr>
            </w:pPr>
            <w:r>
              <w:rPr>
                <w:rFonts w:ascii="Arial" w:cs="Arial" w:eastAsia="Arial" w:hAnsi="Arial"/>
                <w:sz w:val="18"/>
                <w:szCs w:val="18"/>
                <w:color w:val="auto"/>
              </w:rPr>
              <w:t>(2,817 )</w:t>
            </w:r>
          </w:p>
        </w:tc>
        <w:tc>
          <w:tcPr>
            <w:tcW w:w="320" w:type="dxa"/>
            <w:vAlign w:val="bottom"/>
          </w:tcPr>
          <w:p>
            <w:pPr>
              <w:spacing w:after="0"/>
              <w:rPr>
                <w:sz w:val="17"/>
                <w:szCs w:val="17"/>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(13,763 )</w:t>
            </w:r>
          </w:p>
        </w:tc>
        <w:tc>
          <w:tcPr>
            <w:tcW w:w="300" w:type="dxa"/>
            <w:vAlign w:val="bottom"/>
          </w:tcPr>
          <w:p>
            <w:pPr>
              <w:spacing w:after="0"/>
              <w:rPr>
                <w:sz w:val="17"/>
                <w:szCs w:val="17"/>
                <w:color w:val="auto"/>
              </w:rPr>
            </w:pPr>
          </w:p>
        </w:tc>
        <w:tc>
          <w:tcPr>
            <w:tcW w:w="11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(6,379 )</w:t>
            </w:r>
          </w:p>
        </w:tc>
        <w:tc>
          <w:tcPr>
            <w:tcW w:w="0" w:type="dxa"/>
            <w:vAlign w:val="bottom"/>
          </w:tcPr>
          <w:p>
            <w:pPr>
              <w:spacing w:after="0"/>
              <w:rPr>
                <w:sz w:val="1"/>
                <w:szCs w:val="1"/>
                <w:color w:val="auto"/>
              </w:rPr>
            </w:pPr>
          </w:p>
        </w:tc>
      </w:tr>
      <w:tr>
        <w:trPr>
          <w:trHeight w:val="221"/>
        </w:trPr>
        <w:tc>
          <w:tcPr>
            <w:tcW w:w="662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allowance at end of year</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(40,444 )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(37,627 )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(23,864 )</w:t>
            </w: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The Company permanently reinvests the earnings of its foreign subsidiaries. No additional income taxes have been provided on the indefinitely invested foreign earnings at December 31, 2023. The Company has approximately $31.7 million of unremitted earnings at December 31, 2023, which the Company believes to approximate the outside basis difference in its foreign subsidiaries. If these earnings were distributed, the Company could be subject to income taxes and foreign withholding taxes. As of December 31 2023, the amount of the unrecognized deferred taxes on these earnings are not material.</w:t>
      </w:r>
    </w:p>
    <w:p>
      <w:pPr>
        <w:spacing w:after="0" w:line="139"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As of December 31, 2023, 2022 and 2021, the Company accrued $0.8 million, $0.8 million and $0.9 million related to uncertain tax positions, inclusive of interest and penalties, respectively, which includes potential tax benefits of $ 0.5 million, $0.6 million and $0.6 million, respectively, that, when recognized, would impact the effective tax rate. As of December 31, 2023, $0.3 million of the reserve is reflected as a reduction to deferred taxes and the remaining balance is recorded as a component of other liabilities in the consolidated balance sheet.</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year</w:t>
            </w:r>
          </w:p>
        </w:tc>
        <w:tc>
          <w:tcPr>
            <w:tcW w:w="248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Settlements with taxing authorities</w:t>
            </w: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08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Increases (decreases) related to tax positions taken during</w:t>
            </w:r>
          </w:p>
        </w:tc>
        <w:tc>
          <w:tcPr>
            <w:tcW w:w="15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prior years</w:t>
            </w:r>
          </w:p>
        </w:tc>
        <w:tc>
          <w:tcPr>
            <w:tcW w:w="15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(170 )</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Decreases related to lapses in statute of limitations</w:t>
            </w: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16"/>
              <w:spacing w:after="0"/>
              <w:rPr>
                <w:sz w:val="20"/>
                <w:szCs w:val="20"/>
                <w:color w:val="auto"/>
              </w:rPr>
            </w:pPr>
            <w:r>
              <w:rPr>
                <w:rFonts w:ascii="Arial" w:cs="Arial" w:eastAsia="Arial" w:hAnsi="Arial"/>
                <w:sz w:val="18"/>
                <w:szCs w:val="18"/>
                <w:color w:val="auto"/>
              </w:rPr>
              <w:t>(39 )</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(60 )</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08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Increases related to tax positions taken</w:t>
            </w:r>
          </w:p>
        </w:tc>
        <w:tc>
          <w:tcPr>
            <w:tcW w:w="15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0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during the current year</w:t>
            </w:r>
          </w:p>
        </w:tc>
        <w:tc>
          <w:tcPr>
            <w:tcW w:w="15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vMerge w:val="continue"/>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24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620</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659</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540" w:type="dxa"/>
            <w:vAlign w:val="bottom"/>
            <w:vMerge w:val="restart"/>
          </w:tcPr>
          <w:p>
            <w:pPr>
              <w:jc w:val="right"/>
              <w:ind w:right="750"/>
              <w:spacing w:after="0"/>
              <w:rPr>
                <w:sz w:val="20"/>
                <w:szCs w:val="20"/>
                <w:color w:val="auto"/>
              </w:rPr>
            </w:pPr>
            <w:r>
              <w:rPr>
                <w:rFonts w:ascii="Arial" w:cs="Arial" w:eastAsia="Arial" w:hAnsi="Arial"/>
                <w:sz w:val="18"/>
                <w:szCs w:val="18"/>
                <w:color w:val="auto"/>
              </w:rPr>
              <w:t>147</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50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8"/>
        </w:trPr>
        <w:tc>
          <w:tcPr>
            <w:tcW w:w="50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-992505</wp:posOffset>
            </wp:positionV>
            <wp:extent cx="7683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-992505</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780" w:firstLine="509"/>
        <w:spacing w:after="0" w:line="271" w:lineRule="auto"/>
        <w:rPr>
          <w:sz w:val="20"/>
          <w:szCs w:val="20"/>
          <w:color w:val="auto"/>
        </w:rPr>
      </w:pPr>
      <w:r>
        <w:rPr>
          <w:rFonts w:ascii="Arial" w:cs="Arial" w:eastAsia="Arial" w:hAnsi="Arial"/>
          <w:sz w:val="18"/>
          <w:szCs w:val="18"/>
          <w:color w:val="auto"/>
        </w:rPr>
        <w:t>The Company expects a decrease of $0.1 million in uncertain tax positions in the next 12 months due to the lapse of statute of limitations.</w:t>
      </w:r>
    </w:p>
    <w:p>
      <w:pPr>
        <w:spacing w:after="0" w:line="126"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The Company recognized accrued interest and penalties of $0, $0 and $0.2 million for the years ended December 31, 2023, 2022 and 2021, respectively, related to the reserves for uncertain tax positions in the income tax provision. Included in the total reserve for uncertain tax positions are accrued interest and penalties of $0.2 million, $0.2 million and $0.2 million at December 31, 2023, 2022 and 2021, respectively.</w:t>
      </w:r>
    </w:p>
    <w:p>
      <w:pPr>
        <w:spacing w:after="0" w:line="136"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The Company files income tax returns as prescribed by the tax laws of the jurisdiction in which it operates. In the normal course of its business, the Company is subject to examination by federal, state and foreign jurisdictions, where applicable. The Company is open to future tax examinations from 2018 to the present; however, carryforward attributes that were generated prior to 2018 may still be adjusted upon examination by federal, state or local tax authorities to the extent they will be used in a future period.</w:t>
      </w:r>
    </w:p>
    <w:p>
      <w:pPr>
        <w:spacing w:after="0" w:line="136"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On August 16, 2022, the Inflation Reduction Act of 2022 was signed into law. This legislation imposes a federal Corporate Alternative Minimum Tax among other tax law changes. The Inflation Reduction Act of 2022 was effective for Flywire for years beginning after December 31, 2022. The Company has completed its analysis of this legislation and it does not expect the Inflation Reduction Act of 2022 will have a material impact on the Company's tax liability.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Leases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69"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The Company leases certain real estate for its primary facilities under operating leases that expire at various dates between one and five years. These leases contain renewal options, and require the Company to pay operating costs, including property taxes, insurance, and maintenance. The terms of these lease agreements include free rent periods and annual rent increases. Operating lease expense is recognized on a straight-line basis over the term of the lease. There were no finance lease obligations as of December 31, 2023 and 2022.</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ROU assets are included in Other assets and operating lease liabilities are included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5789295</wp:posOffset>
            </wp:positionH>
            <wp:positionV relativeFrom="paragraph">
              <wp:posOffset>116205</wp:posOffset>
            </wp:positionV>
            <wp:extent cx="93980" cy="16256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116205</wp:posOffset>
            </wp:positionV>
            <wp:extent cx="93980" cy="16256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93980" cy="16256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ROU assets</w:t>
            </w:r>
          </w:p>
        </w:tc>
        <w:tc>
          <w:tcPr>
            <w:tcW w:w="5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terms</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00" w:type="dxa"/>
            <w:vAlign w:val="bottom"/>
            <w:gridSpan w:val="5"/>
            <w:shd w:val="clear" w:color="auto" w:fill="CFF0FC"/>
          </w:tcPr>
          <w:p>
            <w:pPr>
              <w:jc w:val="right"/>
              <w:ind w:right="320"/>
              <w:spacing w:after="0"/>
              <w:rPr>
                <w:sz w:val="20"/>
                <w:szCs w:val="20"/>
                <w:color w:val="auto"/>
              </w:rPr>
            </w:pPr>
            <w:r>
              <w:rPr>
                <w:rFonts w:ascii="Arial" w:cs="Arial" w:eastAsia="Arial" w:hAnsi="Arial"/>
                <w:sz w:val="18"/>
                <w:szCs w:val="18"/>
                <w:color w:val="auto"/>
              </w:rPr>
              <w:t>2.63 years</w:t>
            </w:r>
          </w:p>
        </w:tc>
        <w:tc>
          <w:tcPr>
            <w:tcW w:w="4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2.12 years</w:t>
            </w:r>
          </w:p>
        </w:tc>
        <w:tc>
          <w:tcPr>
            <w:tcW w:w="60" w:type="dxa"/>
            <w:vAlign w:val="bottom"/>
          </w:tcPr>
          <w:p>
            <w:pPr>
              <w:spacing w:after="0"/>
              <w:rPr>
                <w:sz w:val="19"/>
                <w:szCs w:val="19"/>
                <w:color w:val="auto"/>
              </w:rPr>
            </w:pPr>
          </w:p>
        </w:tc>
      </w:tr>
      <w:tr>
        <w:trPr>
          <w:trHeight w:val="239"/>
        </w:trPr>
        <w:tc>
          <w:tcPr>
            <w:tcW w:w="74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gridSpan w:val="5"/>
          </w:tcPr>
          <w:p>
            <w:pPr>
              <w:jc w:val="right"/>
              <w:ind w:right="140"/>
              <w:spacing w:after="0"/>
              <w:rPr>
                <w:sz w:val="20"/>
                <w:szCs w:val="20"/>
                <w:color w:val="auto"/>
              </w:rPr>
            </w:pPr>
            <w:r>
              <w:rPr>
                <w:rFonts w:ascii="Arial" w:cs="Arial" w:eastAsia="Arial" w:hAnsi="Arial"/>
                <w:sz w:val="18"/>
                <w:szCs w:val="18"/>
                <w:color w:val="auto"/>
              </w:rPr>
              <w:t>6.4 %</w:t>
            </w:r>
          </w:p>
        </w:tc>
        <w:tc>
          <w:tcPr>
            <w:tcW w:w="40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4.5 %</w:t>
            </w:r>
          </w:p>
        </w:tc>
      </w:tr>
      <w:tr>
        <w:trPr>
          <w:trHeight w:val="386"/>
        </w:trPr>
        <w:tc>
          <w:tcPr>
            <w:tcW w:w="7420" w:type="dxa"/>
            <w:vAlign w:val="bottom"/>
          </w:tcPr>
          <w:p>
            <w:pPr>
              <w:ind w:left="52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8"/>
        </w:trPr>
        <w:tc>
          <w:tcPr>
            <w:tcW w:w="7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2"/>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742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Cash paid for amounts included in the measurement of operating</w:t>
            </w: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235"/>
        </w:trPr>
        <w:tc>
          <w:tcPr>
            <w:tcW w:w="74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lease liabilities</w:t>
            </w:r>
          </w:p>
        </w:tc>
        <w:tc>
          <w:tcPr>
            <w:tcW w:w="5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2,067</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Arial" w:cs="Arial" w:eastAsia="Arial" w:hAnsi="Arial"/>
                <w:sz w:val="18"/>
                <w:szCs w:val="18"/>
                <w:color w:val="auto"/>
              </w:rPr>
              <w:t>ROU assets obtained in exchange for operating lease liabilities</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2,322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9"/>
        </w:trPr>
        <w:tc>
          <w:tcPr>
            <w:tcW w:w="7940" w:type="dxa"/>
            <w:vAlign w:val="bottom"/>
            <w:gridSpan w:val="3"/>
          </w:tcPr>
          <w:p>
            <w:pPr>
              <w:ind w:left="520"/>
              <w:spacing w:after="0"/>
              <w:rPr>
                <w:sz w:val="20"/>
                <w:szCs w:val="20"/>
                <w:color w:val="auto"/>
              </w:rPr>
            </w:pPr>
            <w:r>
              <w:rPr>
                <w:rFonts w:ascii="Arial" w:cs="Arial" w:eastAsia="Arial" w:hAnsi="Arial"/>
                <w:sz w:val="18"/>
                <w:szCs w:val="18"/>
                <w:color w:val="auto"/>
              </w:rPr>
              <w:t>Future minimum lease payments as of December 31, 2023, were as follows (in thousands):</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1"/>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5"/>
        </w:trPr>
        <w:tc>
          <w:tcPr>
            <w:tcW w:w="7420" w:type="dxa"/>
            <w:vAlign w:val="bottom"/>
          </w:tcPr>
          <w:p>
            <w:pPr>
              <w:ind w:left="2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7420" w:type="dxa"/>
            <w:vAlign w:val="bottom"/>
          </w:tcPr>
          <w:p>
            <w:pPr>
              <w:ind w:left="140"/>
              <w:spacing w:after="0"/>
              <w:rPr>
                <w:sz w:val="20"/>
                <w:szCs w:val="20"/>
                <w:color w:val="auto"/>
              </w:rPr>
            </w:pPr>
            <w:r>
              <w:rPr>
                <w:rFonts w:ascii="Arial" w:cs="Arial" w:eastAsia="Arial" w:hAnsi="Arial"/>
                <w:sz w:val="18"/>
                <w:szCs w:val="18"/>
                <w:color w:val="auto"/>
              </w:rPr>
              <w:t>Total undiscounted lease payments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0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74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Less - present value discount</w:t>
            </w:r>
          </w:p>
        </w:tc>
        <w:tc>
          <w:tcPr>
            <w:tcW w:w="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7420" w:type="dxa"/>
            <w:vAlign w:val="bottom"/>
          </w:tcPr>
          <w:p>
            <w:pPr>
              <w:ind w:left="140"/>
              <w:spacing w:after="0"/>
              <w:rPr>
                <w:sz w:val="20"/>
                <w:szCs w:val="20"/>
                <w:color w:val="auto"/>
              </w:rPr>
            </w:pPr>
            <w:r>
              <w:rPr>
                <w:rFonts w:ascii="Arial" w:cs="Arial" w:eastAsia="Arial" w:hAnsi="Arial"/>
                <w:sz w:val="18"/>
                <w:szCs w:val="18"/>
                <w:color w:val="auto"/>
              </w:rPr>
              <w:t>Lease liability, at present value</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0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5797550</wp:posOffset>
            </wp:positionH>
            <wp:positionV relativeFrom="paragraph">
              <wp:posOffset>-2409825</wp:posOffset>
            </wp:positionV>
            <wp:extent cx="93980" cy="16256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-2409825</wp:posOffset>
            </wp:positionV>
            <wp:extent cx="93980" cy="16256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as of December 31, 2022 were as follows (in thousands):</w:t>
      </w:r>
    </w:p>
    <w:p>
      <w:pPr>
        <w:sectPr>
          <w:pgSz w:w="11900" w:h="16838" w:orient="portrait"/>
          <w:cols w:equalWidth="0" w:num="1">
            <w:col w:w="11300"/>
          </w:cols>
          <w:pgMar w:left="320" w:top="768" w:right="279" w:bottom="1440" w:gutter="0" w:footer="0" w:header="0"/>
        </w:sect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24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5"/>
        </w:trPr>
        <w:tc>
          <w:tcPr>
            <w:tcW w:w="9240" w:type="dxa"/>
            <w:vAlign w:val="bottom"/>
          </w:tcPr>
          <w:p>
            <w:pPr>
              <w:ind w:left="20"/>
              <w:spacing w:after="0"/>
              <w:rPr>
                <w:sz w:val="20"/>
                <w:szCs w:val="20"/>
                <w:color w:val="auto"/>
              </w:rPr>
            </w:pPr>
            <w:r>
              <w:rPr>
                <w:rFonts w:ascii="Arial" w:cs="Arial" w:eastAsia="Arial" w:hAnsi="Arial"/>
                <w:sz w:val="18"/>
                <w:szCs w:val="18"/>
                <w:color w:val="auto"/>
              </w:rPr>
              <w:t>2023</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0"/>
                <w:szCs w:val="20"/>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2025</w:t>
            </w: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2027</w:t>
            </w:r>
          </w:p>
        </w:tc>
        <w:tc>
          <w:tcPr>
            <w:tcW w:w="7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7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9240" w:type="dxa"/>
            <w:vAlign w:val="bottom"/>
            <w:tcBorders>
              <w:top w:val="single" w:sz="8" w:color="CFF0FC"/>
            </w:tcBorders>
          </w:tcPr>
          <w:p>
            <w:pPr>
              <w:ind w:left="140"/>
              <w:spacing w:after="0"/>
              <w:rPr>
                <w:sz w:val="20"/>
                <w:szCs w:val="20"/>
                <w:color w:val="auto"/>
              </w:rPr>
            </w:pPr>
            <w:r>
              <w:rPr>
                <w:rFonts w:ascii="Arial" w:cs="Arial" w:eastAsia="Arial" w:hAnsi="Arial"/>
                <w:sz w:val="18"/>
                <w:szCs w:val="18"/>
                <w:color w:val="auto"/>
              </w:rPr>
              <w:t>Total undiscounted lease payments</w:t>
            </w: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3,298</w:t>
            </w:r>
          </w:p>
        </w:tc>
        <w:tc>
          <w:tcPr>
            <w:tcW w:w="100" w:type="dxa"/>
            <w:vAlign w:val="bottom"/>
            <w:tcBorders>
              <w:top w:val="single" w:sz="8" w:color="CFF0FC"/>
            </w:tcBorders>
          </w:tcPr>
          <w:p>
            <w:pPr>
              <w:spacing w:after="0"/>
              <w:rPr>
                <w:sz w:val="19"/>
                <w:szCs w:val="19"/>
                <w:color w:val="auto"/>
              </w:rPr>
            </w:pPr>
          </w:p>
        </w:tc>
      </w:tr>
      <w:tr>
        <w:trPr>
          <w:trHeight w:val="223"/>
        </w:trPr>
        <w:tc>
          <w:tcPr>
            <w:tcW w:w="9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Less - present value discount</w:t>
            </w:r>
          </w:p>
        </w:tc>
        <w:tc>
          <w:tcPr>
            <w:tcW w:w="7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40" w:type="dxa"/>
            <w:vAlign w:val="bottom"/>
          </w:tcPr>
          <w:p>
            <w:pPr>
              <w:ind w:left="140"/>
              <w:spacing w:after="0"/>
              <w:rPr>
                <w:sz w:val="20"/>
                <w:szCs w:val="20"/>
                <w:color w:val="auto"/>
              </w:rPr>
            </w:pPr>
            <w:r>
              <w:rPr>
                <w:rFonts w:ascii="Arial" w:cs="Arial" w:eastAsia="Arial" w:hAnsi="Arial"/>
                <w:sz w:val="18"/>
                <w:szCs w:val="18"/>
                <w:color w:val="auto"/>
              </w:rPr>
              <w:t>Lease liability, at present value</w:t>
            </w: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The components of operating lease expense during the year ended December 31, 2023 and 2022 are shown on the table below (in thousands), while rent expense for the year ended December 31, 2021 was $2.2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79375</wp:posOffset>
            </wp:positionV>
            <wp:extent cx="2393315" cy="20510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393315" cy="20510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FF0FC"/>
          </w:tcPr>
          <w:p>
            <w:pPr>
              <w:spacing w:after="0"/>
              <w:rPr>
                <w:sz w:val="19"/>
                <w:szCs w:val="19"/>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r>
      <w:tr>
        <w:trPr>
          <w:trHeight w:val="229"/>
        </w:trPr>
        <w:tc>
          <w:tcPr>
            <w:tcW w:w="7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Variable lease expense</w:t>
            </w: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00" w:type="dxa"/>
            <w:vAlign w:val="bottom"/>
          </w:tcPr>
          <w:p>
            <w:pPr>
              <w:ind w:left="140"/>
              <w:spacing w:after="0"/>
              <w:rPr>
                <w:sz w:val="20"/>
                <w:szCs w:val="20"/>
                <w:color w:val="auto"/>
              </w:rPr>
            </w:pPr>
            <w:r>
              <w:rPr>
                <w:rFonts w:ascii="Arial" w:cs="Arial" w:eastAsia="Arial" w:hAnsi="Arial"/>
                <w:sz w:val="18"/>
                <w:szCs w:val="18"/>
                <w:color w:val="auto"/>
              </w:rPr>
              <w:t>Total operating lease expense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2,087</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-179070</wp:posOffset>
            </wp:positionV>
            <wp:extent cx="7683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142" w:lineRule="exact"/>
        <w:rPr>
          <w:sz w:val="20"/>
          <w:szCs w:val="20"/>
          <w:color w:val="auto"/>
        </w:rPr>
      </w:pPr>
    </w:p>
    <w:p>
      <w:pPr>
        <w:jc w:val="both"/>
        <w:ind w:right="240" w:firstLine="509"/>
        <w:spacing w:after="0" w:line="252" w:lineRule="auto"/>
        <w:rPr>
          <w:sz w:val="20"/>
          <w:szCs w:val="20"/>
          <w:color w:val="auto"/>
        </w:rPr>
      </w:pPr>
      <w:r>
        <w:rPr>
          <w:rFonts w:ascii="Arial" w:cs="Arial" w:eastAsia="Arial" w:hAnsi="Arial"/>
          <w:sz w:val="18"/>
          <w:szCs w:val="18"/>
          <w:color w:val="auto"/>
        </w:rPr>
        <w:t>As of December 31, 2023, the Company was not a party to any litigation the outcome of which, the Company believes, if determined adversely to it, would individually or in the aggregate, have a material adverse effect on its financial position, results of operations, or cash flows.</w:t>
      </w:r>
    </w:p>
    <w:p>
      <w:pPr>
        <w:spacing w:after="0" w:line="130"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the course of implementing geolocation data-based sanctions screening measures, the Company identified certain payments which, based on geolocation data, appear to have been initiated from Cuba, Iran, or Syria, in potential violation of applicable sanctions regimes. Although Flywire continues to evaluate whether these or other transactions constitute potential violations of OFAC sanctions (including whether certain of these payments may have been authorized by general licenses or license exemptions under the relevant sanctions regulations), in August 2023, Flywire made a voluntary submission to OFAC to report the potential violations. Based upon the results of the internal investigation completed to date, the Company does not believe that the amount of any loss incurred as a result of this matter would be material to its business, financial condition, results of operations 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consolidated financial statements as of December 31, 2023 and 2022.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Employee Benefit Plan</w:t>
      </w:r>
    </w:p>
    <w:p>
      <w:pPr>
        <w:spacing w:after="0" w:line="18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Company has established a defined contribution savings plan under Section 401(k) of the Internal Revenue Code. This plan covers all employees who meet minimum age and service requirements and allows participants to defer a portion of their annual compensation on a pre-tax basis. Matching contributions to the plan may be made at the discretion of the Company’s board of directors. The Company made contributions of $1.4 million, $1.2 million and $0.8 million to the plan during the years ended December 31, 2023, 2022 and 2021,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Revolving Credit Facility</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February 23, 2024, the Company entered into an Amended and Restated Credit Agreement for a five-year senior secured revolving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credit syndication loan (2024 Revolving Credit Facility) with four banks for a total commitment of $125.0 million. The Revolving Credit Facility</w:t>
      </w:r>
    </w:p>
    <w:p>
      <w:pPr>
        <w:spacing w:after="0" w:line="234" w:lineRule="auto"/>
        <w:rPr>
          <w:sz w:val="20"/>
          <w:szCs w:val="20"/>
          <w:color w:val="auto"/>
        </w:rPr>
      </w:pPr>
      <w:r>
        <w:rPr>
          <w:rFonts w:ascii="Arial" w:cs="Arial" w:eastAsia="Arial" w:hAnsi="Arial"/>
          <w:sz w:val="18"/>
          <w:szCs w:val="18"/>
          <w:color w:val="auto"/>
        </w:rPr>
        <w:t>provides for an incremental facility in an amount equal to $50.0 million plus 100% of Consolidated Adjusted EBITDA based on the most</w:t>
      </w:r>
    </w:p>
    <w:p>
      <w:pPr>
        <w:spacing w:after="0" w:line="235" w:lineRule="auto"/>
        <w:rPr>
          <w:sz w:val="20"/>
          <w:szCs w:val="20"/>
          <w:color w:val="auto"/>
        </w:rPr>
      </w:pPr>
      <w:r>
        <w:rPr>
          <w:rFonts w:ascii="Arial" w:cs="Arial" w:eastAsia="Arial" w:hAnsi="Arial"/>
          <w:sz w:val="18"/>
          <w:szCs w:val="18"/>
          <w:color w:val="auto"/>
        </w:rPr>
        <w:t>recent consolidated financial information. In addition, the Revolving Credit Facility includes a $10.0 million letter of credit sub-facility and a</w:t>
      </w:r>
    </w:p>
    <w:p>
      <w:pPr>
        <w:spacing w:after="0" w:line="234" w:lineRule="auto"/>
        <w:rPr>
          <w:sz w:val="20"/>
          <w:szCs w:val="20"/>
          <w:color w:val="auto"/>
        </w:rPr>
      </w:pPr>
      <w:r>
        <w:rPr>
          <w:rFonts w:ascii="Arial" w:cs="Arial" w:eastAsia="Arial" w:hAnsi="Arial"/>
          <w:sz w:val="18"/>
          <w:szCs w:val="18"/>
          <w:color w:val="auto"/>
        </w:rPr>
        <w:t>$5.0 million swingline sub-facility, with available borrowings under the Revolving Credit Facility reduced by the amount of any letters of credit</w:t>
      </w:r>
    </w:p>
    <w:p>
      <w:pPr>
        <w:spacing w:after="0" w:line="235" w:lineRule="auto"/>
        <w:rPr>
          <w:sz w:val="20"/>
          <w:szCs w:val="20"/>
          <w:color w:val="auto"/>
        </w:rPr>
      </w:pPr>
      <w:r>
        <w:rPr>
          <w:rFonts w:ascii="Arial" w:cs="Arial" w:eastAsia="Arial" w:hAnsi="Arial"/>
          <w:sz w:val="18"/>
          <w:szCs w:val="18"/>
          <w:color w:val="auto"/>
        </w:rPr>
        <w:t>and swingline borrowings outstanding from time to time. The Revolving Credit Facility is guaranteed by Flywire’s current and future material</w:t>
      </w:r>
    </w:p>
    <w:p>
      <w:pPr>
        <w:spacing w:after="0" w:line="234" w:lineRule="auto"/>
        <w:rPr>
          <w:sz w:val="20"/>
          <w:szCs w:val="20"/>
          <w:color w:val="auto"/>
        </w:rPr>
      </w:pPr>
      <w:r>
        <w:rPr>
          <w:rFonts w:ascii="Arial" w:cs="Arial" w:eastAsia="Arial" w:hAnsi="Arial"/>
          <w:sz w:val="18"/>
          <w:szCs w:val="18"/>
          <w:color w:val="auto"/>
        </w:rPr>
        <w:t>domestic subsidiaries. The Revolving Credit Facility replaces the three-year senior secured Revolving Credit Facility of $50.0 million entered</w:t>
      </w:r>
    </w:p>
    <w:p>
      <w:pPr>
        <w:spacing w:after="0" w:line="235" w:lineRule="auto"/>
        <w:rPr>
          <w:sz w:val="20"/>
          <w:szCs w:val="20"/>
          <w:color w:val="auto"/>
        </w:rPr>
      </w:pPr>
      <w:r>
        <w:rPr>
          <w:rFonts w:ascii="Arial" w:cs="Arial" w:eastAsia="Arial" w:hAnsi="Arial"/>
          <w:sz w:val="18"/>
          <w:szCs w:val="18"/>
          <w:color w:val="auto"/>
        </w:rPr>
        <w:t>into in July 2021, under which $50.0 million was available to Flywire as of December 31, 2023. Three of the lenders in the new Revolving</w:t>
      </w:r>
    </w:p>
    <w:p>
      <w:pPr>
        <w:spacing w:after="0"/>
        <w:rPr>
          <w:sz w:val="20"/>
          <w:szCs w:val="20"/>
          <w:color w:val="auto"/>
        </w:rPr>
      </w:pPr>
      <w:r>
        <w:rPr>
          <w:rFonts w:ascii="Arial" w:cs="Arial" w:eastAsia="Arial" w:hAnsi="Arial"/>
          <w:sz w:val="18"/>
          <w:szCs w:val="18"/>
          <w:color w:val="auto"/>
        </w:rPr>
        <w:t>Credit Facility were existing lenders under the Revolving Credit Facility in place as of December 31, 2023.</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Revolving Credit Facility consists of ABR borrowings or Term SOFR borrowings, at the Company’s option.</w:t>
      </w:r>
    </w:p>
    <w:p>
      <w:pPr>
        <w:spacing w:after="0" w:line="17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the Company’s consolidated total net leverage ratio as of the most recent consolidated financial information and ranges from1.0% to 2.5%. The Revolving Credit Facility incurs a commitment fee ranging from 0.25% to 0.35% based upon the Company’s consolidated total net leverage ratio as of the most recent consolidated financial information assessed on the average available commitment.</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2024 Revolving Credit Facility does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December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December 31, 2023, the end of the period covered by this Annual Report on Form 10-K, our disclosure controls and procedures were effective at the reasonable assurance level.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15d- 15(f) under the Exchange Act. Management, with the participation of our Chief Executive Officer and Chief Financial Officer, has assessed the effectiveness of our internal control over financial reporting as of December 31, 2023 based on the 2013 framework established in the “Internal Control-Integrated Framework,” issued by the Committee of Sponsoring Organizations of the Treadway Commission. Based on this evaluation under the framework, management has concluded that our internal control over financial reporting as of December 31, 2023 was effective.</w:t>
      </w:r>
    </w:p>
    <w:p>
      <w:pPr>
        <w:spacing w:after="0" w:line="15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On November 3, 2023, Flywire acquired all of the issued and outstanding shares of StudyLink. As permitted by Securities and Exchange Commission staff guidance, companies are permitted to exclude acquisitions from their assessment of internal control over financial reporting for the first year of acquisition. We have excluded StudyLink from our assessment of internal control over financial reporting as of December 31, 2023. StudyLink accounted for approximately 4.4% of total assets as of December 31, 2023 and approximately 0.3% of revenues for the fiscal year ended on December 31, 2023.</w:t>
      </w:r>
    </w:p>
    <w:p>
      <w:pPr>
        <w:spacing w:after="0" w:line="139" w:lineRule="exact"/>
        <w:rPr>
          <w:sz w:val="20"/>
          <w:szCs w:val="20"/>
          <w:color w:val="auto"/>
        </w:rPr>
      </w:pPr>
    </w:p>
    <w:p>
      <w:pPr>
        <w:ind w:right="220" w:firstLine="509"/>
        <w:spacing w:after="0" w:line="252" w:lineRule="auto"/>
        <w:rPr>
          <w:sz w:val="20"/>
          <w:szCs w:val="20"/>
          <w:color w:val="auto"/>
        </w:rPr>
      </w:pPr>
      <w:r>
        <w:rPr>
          <w:rFonts w:ascii="Arial" w:cs="Arial" w:eastAsia="Arial" w:hAnsi="Arial"/>
          <w:sz w:val="18"/>
          <w:szCs w:val="18"/>
          <w:color w:val="auto"/>
        </w:rPr>
        <w:t>The effectiveness of our internal control over financial reporting as of December 31, 2023 has been audited by PricewaterhouseCoopers LLP, an independent registered public accounting firm, as stated in their report which appears in Part II, Item 8 of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4"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December 31, 2023 that has materially affected, or is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 Trading Plan</w:t>
      </w:r>
    </w:p>
    <w:p>
      <w:pPr>
        <w:spacing w:after="0" w:line="16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On November 15, 2023, Robert Orgel, our President and Chief Operating Officer, terminated a trading arrangement he had previously adopted with respect to the sale of shares of our common stock (a "Rule 10b5-1 Trading Plan") that was intended to satisfy the affirmative defense conditions of Securities Exchange Act Rule 10b5-1(c). Mr. Orgel's Rule 10b5-1 Trading Plan was adopted on May 17, 2023, had a term effective through August 31, 2024 and provided for the sale of up to 303,399 shares of common stock pursuant to the terms of the Rule 10b5-1 Trading Plan. As of the date of termination of the Rule 10b-5 Trading Plan, Mr. Orgel had sold 35,000 shares of common stock under the terms of the Rule 10b5-1 Trading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Financial Officer Transition Agreement Amendment</w:t>
      </w:r>
    </w:p>
    <w:p>
      <w:pPr>
        <w:spacing w:after="0" w:line="169"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As previously disclosed, on November 6, 2023, we entered into a Transition Agreement with Michael Ellis, our Chief Financial Officer (the “Transition Agreement”). On February 23, 2024, we entered into Amendment No. 1 to the Transition Agreement (the “Transition Agreement Amendment”) to correct a scrivener’s error in the number of shares of common stock underlying the Third Option (as such term is defined in the Transition Agreement).</w:t>
      </w:r>
    </w:p>
    <w:p>
      <w:pPr>
        <w:spacing w:after="0" w:line="136" w:lineRule="exact"/>
        <w:rPr>
          <w:sz w:val="20"/>
          <w:szCs w:val="20"/>
          <w:color w:val="auto"/>
        </w:rPr>
      </w:pPr>
    </w:p>
    <w:p>
      <w:pPr>
        <w:jc w:val="both"/>
        <w:ind w:right="60" w:firstLine="509"/>
        <w:spacing w:after="0" w:line="252" w:lineRule="auto"/>
        <w:rPr>
          <w:sz w:val="20"/>
          <w:szCs w:val="20"/>
          <w:color w:val="auto"/>
        </w:rPr>
      </w:pPr>
      <w:r>
        <w:rPr>
          <w:rFonts w:ascii="Arial" w:cs="Arial" w:eastAsia="Arial" w:hAnsi="Arial"/>
          <w:sz w:val="18"/>
          <w:szCs w:val="18"/>
          <w:color w:val="auto"/>
        </w:rPr>
        <w:t>The foregoing description of the terms and conditions of the Transition Agreement Amendment does not purport to be complete and is qualified in its entirety by reference to the full text of the Transition Agreement Amendment, which is filed as an exhibit to this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4" w:lineRule="exact"/>
        <w:rPr>
          <w:sz w:val="20"/>
          <w:szCs w:val="20"/>
          <w:color w:val="auto"/>
        </w:rPr>
      </w:pPr>
    </w:p>
    <w:p>
      <w:pPr>
        <w:jc w:val="both"/>
        <w:ind w:right="120" w:firstLine="509"/>
        <w:spacing w:after="0" w:line="252"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jc w:val="both"/>
        <w:ind w:right="120" w:firstLine="509"/>
        <w:spacing w:after="0" w:line="252"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2023.</w:t>
      </w:r>
    </w:p>
    <w:p>
      <w:pPr>
        <w:spacing w:after="0" w:line="144" w:lineRule="exact"/>
        <w:rPr>
          <w:sz w:val="20"/>
          <w:szCs w:val="20"/>
          <w:color w:val="auto"/>
        </w:rPr>
      </w:pPr>
    </w:p>
    <w:p>
      <w:pPr>
        <w:ind w:right="1900"/>
        <w:spacing w:after="0" w:line="43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Securities Authorized for Issuance under Equity Compensation Plans</w:t>
      </w:r>
    </w:p>
    <w:p>
      <w:pPr>
        <w:spacing w:after="0" w:line="1" w:lineRule="exact"/>
        <w:rPr>
          <w:sz w:val="20"/>
          <w:szCs w:val="20"/>
          <w:color w:val="auto"/>
        </w:rPr>
      </w:pPr>
    </w:p>
    <w:p>
      <w:pPr>
        <w:jc w:val="both"/>
        <w:ind w:right="120" w:firstLine="509"/>
        <w:spacing w:after="0" w:line="246" w:lineRule="auto"/>
        <w:rPr>
          <w:sz w:val="20"/>
          <w:szCs w:val="20"/>
          <w:color w:val="auto"/>
        </w:rPr>
      </w:pPr>
      <w:r>
        <w:rPr>
          <w:rFonts w:ascii="Arial" w:cs="Arial" w:eastAsia="Arial" w:hAnsi="Arial"/>
          <w:sz w:val="18"/>
          <w:szCs w:val="18"/>
          <w:color w:val="auto"/>
        </w:rPr>
        <w:t>The following table provides information as of December 31, 2023, with respect to shares of our common stock that may be issued, subject to certain vesting requirements, under our existing equity compensation plans, including our 2009 Equity Incentive Plan, which was adopted in 2009 and amended and restated in 2011 (as amended and restated, the 2009 Plan), our 2018 Stock Incentive Plan (2018 Plan), 2021 Equity Incentive Plan (2021 Plan) and Employee Stock Purchase Plan (ESPP).</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2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w:t>
            </w:r>
          </w:p>
        </w:tc>
        <w:tc>
          <w:tcPr>
            <w:tcW w:w="2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B</w:t>
            </w:r>
          </w:p>
        </w:tc>
        <w:tc>
          <w:tcPr>
            <w:tcW w:w="2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w:t>
            </w:r>
          </w:p>
        </w:tc>
      </w:tr>
      <w:tr>
        <w:trPr>
          <w:trHeight w:val="197"/>
        </w:trPr>
        <w:tc>
          <w:tcPr>
            <w:tcW w:w="4000" w:type="dxa"/>
            <w:vAlign w:val="bottom"/>
          </w:tcPr>
          <w:p>
            <w:pPr>
              <w:spacing w:after="0"/>
              <w:rPr>
                <w:sz w:val="17"/>
                <w:szCs w:val="17"/>
                <w:color w:val="auto"/>
              </w:rPr>
            </w:pPr>
          </w:p>
        </w:tc>
        <w:tc>
          <w:tcPr>
            <w:tcW w:w="224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shd w:val="clear" w:color="auto" w:fill="CFF0FC"/>
          </w:tcPr>
          <w:p>
            <w:pPr>
              <w:jc w:val="center"/>
              <w:ind w:right="31"/>
              <w:spacing w:after="0" w:line="197" w:lineRule="exact"/>
              <w:rPr>
                <w:sz w:val="20"/>
                <w:szCs w:val="20"/>
                <w:color w:val="auto"/>
              </w:rPr>
            </w:pPr>
            <w:r>
              <w:rPr>
                <w:rFonts w:ascii="Arial" w:cs="Arial" w:eastAsia="Arial" w:hAnsi="Arial"/>
                <w:sz w:val="18"/>
                <w:szCs w:val="18"/>
                <w:color w:val="auto"/>
                <w:w w:val="99"/>
              </w:rPr>
              <w:t>Number of</w:t>
            </w:r>
          </w:p>
        </w:tc>
        <w:tc>
          <w:tcPr>
            <w:tcW w:w="180" w:type="dxa"/>
            <w:vAlign w:val="bottom"/>
          </w:tcPr>
          <w:p>
            <w:pPr>
              <w:spacing w:after="0"/>
              <w:rPr>
                <w:sz w:val="17"/>
                <w:szCs w:val="17"/>
                <w:color w:val="auto"/>
              </w:rPr>
            </w:pPr>
          </w:p>
        </w:tc>
      </w:tr>
      <w:tr>
        <w:trPr>
          <w:trHeight w:val="202"/>
        </w:trPr>
        <w:tc>
          <w:tcPr>
            <w:tcW w:w="4000" w:type="dxa"/>
            <w:vAlign w:val="bottom"/>
          </w:tcPr>
          <w:p>
            <w:pPr>
              <w:spacing w:after="0"/>
              <w:rPr>
                <w:sz w:val="17"/>
                <w:szCs w:val="17"/>
                <w:color w:val="auto"/>
              </w:rPr>
            </w:pPr>
          </w:p>
        </w:tc>
        <w:tc>
          <w:tcPr>
            <w:tcW w:w="224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w w:val="98"/>
              </w:rPr>
              <w:t>Securities</w:t>
            </w:r>
          </w:p>
        </w:tc>
        <w:tc>
          <w:tcPr>
            <w:tcW w:w="180" w:type="dxa"/>
            <w:vAlign w:val="bottom"/>
          </w:tcPr>
          <w:p>
            <w:pPr>
              <w:spacing w:after="0"/>
              <w:rPr>
                <w:sz w:val="17"/>
                <w:szCs w:val="17"/>
                <w:color w:val="auto"/>
              </w:rPr>
            </w:pPr>
          </w:p>
        </w:tc>
      </w:tr>
      <w:tr>
        <w:trPr>
          <w:trHeight w:val="202"/>
        </w:trPr>
        <w:tc>
          <w:tcPr>
            <w:tcW w:w="4000" w:type="dxa"/>
            <w:vAlign w:val="bottom"/>
          </w:tcPr>
          <w:p>
            <w:pPr>
              <w:spacing w:after="0"/>
              <w:rPr>
                <w:sz w:val="17"/>
                <w:szCs w:val="17"/>
                <w:color w:val="auto"/>
              </w:rPr>
            </w:pPr>
          </w:p>
        </w:tc>
        <w:tc>
          <w:tcPr>
            <w:tcW w:w="224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w w:val="99"/>
              </w:rPr>
              <w:t>Remaining</w:t>
            </w:r>
          </w:p>
        </w:tc>
        <w:tc>
          <w:tcPr>
            <w:tcW w:w="180" w:type="dxa"/>
            <w:vAlign w:val="bottom"/>
          </w:tcPr>
          <w:p>
            <w:pPr>
              <w:spacing w:after="0"/>
              <w:rPr>
                <w:sz w:val="17"/>
                <w:szCs w:val="17"/>
                <w:color w:val="auto"/>
              </w:rPr>
            </w:pPr>
          </w:p>
        </w:tc>
      </w:tr>
      <w:tr>
        <w:trPr>
          <w:trHeight w:val="202"/>
        </w:trPr>
        <w:tc>
          <w:tcPr>
            <w:tcW w:w="4000" w:type="dxa"/>
            <w:vAlign w:val="bottom"/>
          </w:tcPr>
          <w:p>
            <w:pPr>
              <w:spacing w:after="0"/>
              <w:rPr>
                <w:sz w:val="17"/>
                <w:szCs w:val="17"/>
                <w:color w:val="auto"/>
              </w:rPr>
            </w:pPr>
          </w:p>
        </w:tc>
        <w:tc>
          <w:tcPr>
            <w:tcW w:w="224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shd w:val="clear" w:color="auto" w:fill="CFF0FC"/>
          </w:tcPr>
          <w:p>
            <w:pPr>
              <w:jc w:val="center"/>
              <w:ind w:right="31"/>
              <w:spacing w:after="0" w:line="202" w:lineRule="exact"/>
              <w:rPr>
                <w:sz w:val="20"/>
                <w:szCs w:val="20"/>
                <w:color w:val="auto"/>
              </w:rPr>
            </w:pPr>
            <w:r>
              <w:rPr>
                <w:rFonts w:ascii="Arial" w:cs="Arial" w:eastAsia="Arial" w:hAnsi="Arial"/>
                <w:sz w:val="18"/>
                <w:szCs w:val="18"/>
                <w:color w:val="auto"/>
                <w:w w:val="98"/>
              </w:rPr>
              <w:t>Available</w:t>
            </w:r>
          </w:p>
        </w:tc>
        <w:tc>
          <w:tcPr>
            <w:tcW w:w="180" w:type="dxa"/>
            <w:vAlign w:val="bottom"/>
          </w:tcPr>
          <w:p>
            <w:pPr>
              <w:spacing w:after="0"/>
              <w:rPr>
                <w:sz w:val="17"/>
                <w:szCs w:val="17"/>
                <w:color w:val="auto"/>
              </w:rPr>
            </w:pPr>
          </w:p>
        </w:tc>
      </w:tr>
      <w:tr>
        <w:trPr>
          <w:trHeight w:val="202"/>
        </w:trPr>
        <w:tc>
          <w:tcPr>
            <w:tcW w:w="4000" w:type="dxa"/>
            <w:vAlign w:val="bottom"/>
          </w:tcPr>
          <w:p>
            <w:pPr>
              <w:spacing w:after="0"/>
              <w:rPr>
                <w:sz w:val="17"/>
                <w:szCs w:val="17"/>
                <w:color w:val="auto"/>
              </w:rPr>
            </w:pPr>
          </w:p>
        </w:tc>
        <w:tc>
          <w:tcPr>
            <w:tcW w:w="224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w w:val="99"/>
              </w:rPr>
              <w:t>for Future</w:t>
            </w:r>
          </w:p>
        </w:tc>
        <w:tc>
          <w:tcPr>
            <w:tcW w:w="180" w:type="dxa"/>
            <w:vAlign w:val="bottom"/>
          </w:tcPr>
          <w:p>
            <w:pPr>
              <w:spacing w:after="0"/>
              <w:rPr>
                <w:sz w:val="17"/>
                <w:szCs w:val="17"/>
                <w:color w:val="auto"/>
              </w:rPr>
            </w:pPr>
          </w:p>
        </w:tc>
      </w:tr>
      <w:tr>
        <w:trPr>
          <w:trHeight w:val="202"/>
        </w:trPr>
        <w:tc>
          <w:tcPr>
            <w:tcW w:w="4000" w:type="dxa"/>
            <w:vAlign w:val="bottom"/>
          </w:tcPr>
          <w:p>
            <w:pPr>
              <w:spacing w:after="0"/>
              <w:rPr>
                <w:sz w:val="17"/>
                <w:szCs w:val="17"/>
                <w:color w:val="auto"/>
              </w:rPr>
            </w:pPr>
          </w:p>
        </w:tc>
        <w:tc>
          <w:tcPr>
            <w:tcW w:w="224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Number of</w:t>
            </w:r>
          </w:p>
        </w:tc>
        <w:tc>
          <w:tcPr>
            <w:tcW w:w="180" w:type="dxa"/>
            <w:vAlign w:val="bottom"/>
          </w:tcPr>
          <w:p>
            <w:pPr>
              <w:spacing w:after="0"/>
              <w:rPr>
                <w:sz w:val="17"/>
                <w:szCs w:val="17"/>
                <w:color w:val="auto"/>
              </w:rPr>
            </w:pPr>
          </w:p>
        </w:tc>
        <w:tc>
          <w:tcPr>
            <w:tcW w:w="220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9"/>
              </w:rPr>
              <w:t>Weighted-</w:t>
            </w:r>
          </w:p>
        </w:tc>
        <w:tc>
          <w:tcPr>
            <w:tcW w:w="160" w:type="dxa"/>
            <w:vAlign w:val="bottom"/>
          </w:tcPr>
          <w:p>
            <w:pPr>
              <w:spacing w:after="0"/>
              <w:rPr>
                <w:sz w:val="17"/>
                <w:szCs w:val="17"/>
                <w:color w:val="auto"/>
              </w:rPr>
            </w:pPr>
          </w:p>
        </w:tc>
        <w:tc>
          <w:tcPr>
            <w:tcW w:w="2200" w:type="dxa"/>
            <w:vAlign w:val="bottom"/>
            <w:shd w:val="clear" w:color="auto" w:fill="CFF0FC"/>
          </w:tcPr>
          <w:p>
            <w:pPr>
              <w:jc w:val="center"/>
              <w:ind w:right="31"/>
              <w:spacing w:after="0" w:line="202" w:lineRule="exact"/>
              <w:rPr>
                <w:sz w:val="20"/>
                <w:szCs w:val="20"/>
                <w:color w:val="auto"/>
              </w:rPr>
            </w:pPr>
            <w:r>
              <w:rPr>
                <w:rFonts w:ascii="Arial" w:cs="Arial" w:eastAsia="Arial" w:hAnsi="Arial"/>
                <w:sz w:val="18"/>
                <w:szCs w:val="18"/>
                <w:color w:val="auto"/>
                <w:w w:val="99"/>
              </w:rPr>
              <w:t>Issuance</w:t>
            </w:r>
          </w:p>
        </w:tc>
        <w:tc>
          <w:tcPr>
            <w:tcW w:w="180" w:type="dxa"/>
            <w:vAlign w:val="bottom"/>
          </w:tcPr>
          <w:p>
            <w:pPr>
              <w:spacing w:after="0"/>
              <w:rPr>
                <w:sz w:val="17"/>
                <w:szCs w:val="17"/>
                <w:color w:val="auto"/>
              </w:rPr>
            </w:pPr>
          </w:p>
        </w:tc>
      </w:tr>
      <w:tr>
        <w:trPr>
          <w:trHeight w:val="202"/>
        </w:trPr>
        <w:tc>
          <w:tcPr>
            <w:tcW w:w="4000" w:type="dxa"/>
            <w:vAlign w:val="bottom"/>
          </w:tcPr>
          <w:p>
            <w:pPr>
              <w:spacing w:after="0"/>
              <w:rPr>
                <w:sz w:val="17"/>
                <w:szCs w:val="17"/>
                <w:color w:val="auto"/>
              </w:rPr>
            </w:pPr>
          </w:p>
        </w:tc>
        <w:tc>
          <w:tcPr>
            <w:tcW w:w="224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8"/>
              </w:rPr>
              <w:t>Securities to</w:t>
            </w:r>
          </w:p>
        </w:tc>
        <w:tc>
          <w:tcPr>
            <w:tcW w:w="180" w:type="dxa"/>
            <w:vAlign w:val="bottom"/>
          </w:tcPr>
          <w:p>
            <w:pPr>
              <w:spacing w:after="0"/>
              <w:rPr>
                <w:sz w:val="17"/>
                <w:szCs w:val="17"/>
                <w:color w:val="auto"/>
              </w:rPr>
            </w:pPr>
          </w:p>
        </w:tc>
        <w:tc>
          <w:tcPr>
            <w:tcW w:w="220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8"/>
              </w:rPr>
              <w:t>Average</w:t>
            </w:r>
          </w:p>
        </w:tc>
        <w:tc>
          <w:tcPr>
            <w:tcW w:w="160" w:type="dxa"/>
            <w:vAlign w:val="bottom"/>
          </w:tcPr>
          <w:p>
            <w:pPr>
              <w:spacing w:after="0"/>
              <w:rPr>
                <w:sz w:val="17"/>
                <w:szCs w:val="17"/>
                <w:color w:val="auto"/>
              </w:rPr>
            </w:pPr>
          </w:p>
        </w:tc>
        <w:tc>
          <w:tcPr>
            <w:tcW w:w="2200" w:type="dxa"/>
            <w:vAlign w:val="bottom"/>
            <w:shd w:val="clear" w:color="auto" w:fill="CFF0FC"/>
          </w:tcPr>
          <w:p>
            <w:pPr>
              <w:jc w:val="center"/>
              <w:ind w:right="31"/>
              <w:spacing w:after="0" w:line="202" w:lineRule="exact"/>
              <w:rPr>
                <w:sz w:val="20"/>
                <w:szCs w:val="20"/>
                <w:color w:val="auto"/>
              </w:rPr>
            </w:pPr>
            <w:r>
              <w:rPr>
                <w:rFonts w:ascii="Arial" w:cs="Arial" w:eastAsia="Arial" w:hAnsi="Arial"/>
                <w:sz w:val="18"/>
                <w:szCs w:val="18"/>
                <w:color w:val="auto"/>
                <w:w w:val="99"/>
              </w:rPr>
              <w:t>Under Equity</w:t>
            </w:r>
          </w:p>
        </w:tc>
        <w:tc>
          <w:tcPr>
            <w:tcW w:w="180" w:type="dxa"/>
            <w:vAlign w:val="bottom"/>
          </w:tcPr>
          <w:p>
            <w:pPr>
              <w:spacing w:after="0"/>
              <w:rPr>
                <w:sz w:val="17"/>
                <w:szCs w:val="17"/>
                <w:color w:val="auto"/>
              </w:rPr>
            </w:pPr>
          </w:p>
        </w:tc>
      </w:tr>
      <w:tr>
        <w:trPr>
          <w:trHeight w:val="202"/>
        </w:trPr>
        <w:tc>
          <w:tcPr>
            <w:tcW w:w="4000" w:type="dxa"/>
            <w:vAlign w:val="bottom"/>
          </w:tcPr>
          <w:p>
            <w:pPr>
              <w:spacing w:after="0"/>
              <w:rPr>
                <w:sz w:val="17"/>
                <w:szCs w:val="17"/>
                <w:color w:val="auto"/>
              </w:rPr>
            </w:pPr>
          </w:p>
        </w:tc>
        <w:tc>
          <w:tcPr>
            <w:tcW w:w="224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9"/>
              </w:rPr>
              <w:t>be Issued</w:t>
            </w:r>
          </w:p>
        </w:tc>
        <w:tc>
          <w:tcPr>
            <w:tcW w:w="180" w:type="dxa"/>
            <w:vAlign w:val="bottom"/>
          </w:tcPr>
          <w:p>
            <w:pPr>
              <w:spacing w:after="0"/>
              <w:rPr>
                <w:sz w:val="17"/>
                <w:szCs w:val="17"/>
                <w:color w:val="auto"/>
              </w:rPr>
            </w:pPr>
          </w:p>
        </w:tc>
        <w:tc>
          <w:tcPr>
            <w:tcW w:w="220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9"/>
              </w:rPr>
              <w:t>Exercise Price of</w:t>
            </w:r>
          </w:p>
        </w:tc>
        <w:tc>
          <w:tcPr>
            <w:tcW w:w="160" w:type="dxa"/>
            <w:vAlign w:val="bottom"/>
          </w:tcPr>
          <w:p>
            <w:pPr>
              <w:spacing w:after="0"/>
              <w:rPr>
                <w:sz w:val="17"/>
                <w:szCs w:val="17"/>
                <w:color w:val="auto"/>
              </w:rPr>
            </w:pPr>
          </w:p>
        </w:tc>
        <w:tc>
          <w:tcPr>
            <w:tcW w:w="2200" w:type="dxa"/>
            <w:vAlign w:val="bottom"/>
            <w:shd w:val="clear" w:color="auto" w:fill="CFF0FC"/>
          </w:tcPr>
          <w:p>
            <w:pPr>
              <w:jc w:val="center"/>
              <w:ind w:right="31"/>
              <w:spacing w:after="0" w:line="202" w:lineRule="exact"/>
              <w:rPr>
                <w:sz w:val="20"/>
                <w:szCs w:val="20"/>
                <w:color w:val="auto"/>
              </w:rPr>
            </w:pPr>
            <w:r>
              <w:rPr>
                <w:rFonts w:ascii="Arial" w:cs="Arial" w:eastAsia="Arial" w:hAnsi="Arial"/>
                <w:sz w:val="18"/>
                <w:szCs w:val="18"/>
                <w:color w:val="auto"/>
                <w:w w:val="99"/>
              </w:rPr>
              <w:t>Compensation</w:t>
            </w:r>
          </w:p>
        </w:tc>
        <w:tc>
          <w:tcPr>
            <w:tcW w:w="180" w:type="dxa"/>
            <w:vAlign w:val="bottom"/>
          </w:tcPr>
          <w:p>
            <w:pPr>
              <w:spacing w:after="0"/>
              <w:rPr>
                <w:sz w:val="17"/>
                <w:szCs w:val="17"/>
                <w:color w:val="auto"/>
              </w:rPr>
            </w:pPr>
          </w:p>
        </w:tc>
      </w:tr>
      <w:tr>
        <w:trPr>
          <w:trHeight w:val="202"/>
        </w:trPr>
        <w:tc>
          <w:tcPr>
            <w:tcW w:w="4000" w:type="dxa"/>
            <w:vAlign w:val="bottom"/>
          </w:tcPr>
          <w:p>
            <w:pPr>
              <w:spacing w:after="0"/>
              <w:rPr>
                <w:sz w:val="17"/>
                <w:szCs w:val="17"/>
                <w:color w:val="auto"/>
              </w:rPr>
            </w:pPr>
          </w:p>
        </w:tc>
        <w:tc>
          <w:tcPr>
            <w:tcW w:w="224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Upon Exercise</w:t>
            </w:r>
          </w:p>
        </w:tc>
        <w:tc>
          <w:tcPr>
            <w:tcW w:w="180" w:type="dxa"/>
            <w:vAlign w:val="bottom"/>
          </w:tcPr>
          <w:p>
            <w:pPr>
              <w:spacing w:after="0"/>
              <w:rPr>
                <w:sz w:val="17"/>
                <w:szCs w:val="17"/>
                <w:color w:val="auto"/>
              </w:rPr>
            </w:pPr>
          </w:p>
        </w:tc>
        <w:tc>
          <w:tcPr>
            <w:tcW w:w="220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8"/>
              </w:rPr>
              <w:t>Outstanding</w:t>
            </w:r>
          </w:p>
        </w:tc>
        <w:tc>
          <w:tcPr>
            <w:tcW w:w="160" w:type="dxa"/>
            <w:vAlign w:val="bottom"/>
          </w:tcPr>
          <w:p>
            <w:pPr>
              <w:spacing w:after="0"/>
              <w:rPr>
                <w:sz w:val="17"/>
                <w:szCs w:val="17"/>
                <w:color w:val="auto"/>
              </w:rPr>
            </w:pPr>
          </w:p>
        </w:tc>
        <w:tc>
          <w:tcPr>
            <w:tcW w:w="220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w w:val="99"/>
              </w:rPr>
              <w:t>Plans (Excluding</w:t>
            </w:r>
          </w:p>
        </w:tc>
        <w:tc>
          <w:tcPr>
            <w:tcW w:w="180" w:type="dxa"/>
            <w:vAlign w:val="bottom"/>
          </w:tcPr>
          <w:p>
            <w:pPr>
              <w:spacing w:after="0"/>
              <w:rPr>
                <w:sz w:val="17"/>
                <w:szCs w:val="17"/>
                <w:color w:val="auto"/>
              </w:rPr>
            </w:pPr>
          </w:p>
        </w:tc>
      </w:tr>
      <w:tr>
        <w:trPr>
          <w:trHeight w:val="202"/>
        </w:trPr>
        <w:tc>
          <w:tcPr>
            <w:tcW w:w="4000" w:type="dxa"/>
            <w:vAlign w:val="bottom"/>
          </w:tcPr>
          <w:p>
            <w:pPr>
              <w:spacing w:after="0"/>
              <w:rPr>
                <w:sz w:val="17"/>
                <w:szCs w:val="17"/>
                <w:color w:val="auto"/>
              </w:rPr>
            </w:pPr>
          </w:p>
        </w:tc>
        <w:tc>
          <w:tcPr>
            <w:tcW w:w="224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of Outstanding</w:t>
            </w:r>
          </w:p>
        </w:tc>
        <w:tc>
          <w:tcPr>
            <w:tcW w:w="180" w:type="dxa"/>
            <w:vAlign w:val="bottom"/>
          </w:tcPr>
          <w:p>
            <w:pPr>
              <w:spacing w:after="0"/>
              <w:rPr>
                <w:sz w:val="17"/>
                <w:szCs w:val="17"/>
                <w:color w:val="auto"/>
              </w:rPr>
            </w:pPr>
          </w:p>
        </w:tc>
        <w:tc>
          <w:tcPr>
            <w:tcW w:w="220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8"/>
              </w:rPr>
              <w:t>Options,</w:t>
            </w:r>
          </w:p>
        </w:tc>
        <w:tc>
          <w:tcPr>
            <w:tcW w:w="160" w:type="dxa"/>
            <w:vAlign w:val="bottom"/>
          </w:tcPr>
          <w:p>
            <w:pPr>
              <w:spacing w:after="0"/>
              <w:rPr>
                <w:sz w:val="17"/>
                <w:szCs w:val="17"/>
                <w:color w:val="auto"/>
              </w:rPr>
            </w:pPr>
          </w:p>
        </w:tc>
        <w:tc>
          <w:tcPr>
            <w:tcW w:w="220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w w:val="98"/>
              </w:rPr>
              <w:t>Securities</w:t>
            </w:r>
          </w:p>
        </w:tc>
        <w:tc>
          <w:tcPr>
            <w:tcW w:w="180" w:type="dxa"/>
            <w:vAlign w:val="bottom"/>
          </w:tcPr>
          <w:p>
            <w:pPr>
              <w:spacing w:after="0"/>
              <w:rPr>
                <w:sz w:val="17"/>
                <w:szCs w:val="17"/>
                <w:color w:val="auto"/>
              </w:rPr>
            </w:pPr>
          </w:p>
        </w:tc>
      </w:tr>
      <w:tr>
        <w:trPr>
          <w:trHeight w:val="202"/>
        </w:trPr>
        <w:tc>
          <w:tcPr>
            <w:tcW w:w="4000" w:type="dxa"/>
            <w:vAlign w:val="bottom"/>
          </w:tcPr>
          <w:p>
            <w:pPr>
              <w:spacing w:after="0"/>
              <w:rPr>
                <w:sz w:val="17"/>
                <w:szCs w:val="17"/>
                <w:color w:val="auto"/>
              </w:rPr>
            </w:pPr>
          </w:p>
        </w:tc>
        <w:tc>
          <w:tcPr>
            <w:tcW w:w="224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9"/>
              </w:rPr>
              <w:t>Options, Warrants,</w:t>
            </w:r>
          </w:p>
        </w:tc>
        <w:tc>
          <w:tcPr>
            <w:tcW w:w="180" w:type="dxa"/>
            <w:vAlign w:val="bottom"/>
          </w:tcPr>
          <w:p>
            <w:pPr>
              <w:spacing w:after="0"/>
              <w:rPr>
                <w:sz w:val="17"/>
                <w:szCs w:val="17"/>
                <w:color w:val="auto"/>
              </w:rPr>
            </w:pPr>
          </w:p>
        </w:tc>
        <w:tc>
          <w:tcPr>
            <w:tcW w:w="220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Warrants, and</w:t>
            </w:r>
          </w:p>
        </w:tc>
        <w:tc>
          <w:tcPr>
            <w:tcW w:w="160" w:type="dxa"/>
            <w:vAlign w:val="bottom"/>
          </w:tcPr>
          <w:p>
            <w:pPr>
              <w:spacing w:after="0"/>
              <w:rPr>
                <w:sz w:val="17"/>
                <w:szCs w:val="17"/>
                <w:color w:val="auto"/>
              </w:rPr>
            </w:pPr>
          </w:p>
        </w:tc>
        <w:tc>
          <w:tcPr>
            <w:tcW w:w="2200" w:type="dxa"/>
            <w:vAlign w:val="bottom"/>
            <w:shd w:val="clear" w:color="auto" w:fill="CFF0FC"/>
          </w:tcPr>
          <w:p>
            <w:pPr>
              <w:jc w:val="center"/>
              <w:ind w:right="11"/>
              <w:spacing w:after="0" w:line="202" w:lineRule="exact"/>
              <w:rPr>
                <w:sz w:val="20"/>
                <w:szCs w:val="20"/>
                <w:color w:val="auto"/>
              </w:rPr>
            </w:pPr>
            <w:r>
              <w:rPr>
                <w:rFonts w:ascii="Arial" w:cs="Arial" w:eastAsia="Arial" w:hAnsi="Arial"/>
                <w:sz w:val="18"/>
                <w:szCs w:val="18"/>
                <w:color w:val="auto"/>
                <w:w w:val="98"/>
              </w:rPr>
              <w:t>Reflected in</w:t>
            </w:r>
          </w:p>
        </w:tc>
        <w:tc>
          <w:tcPr>
            <w:tcW w:w="180" w:type="dxa"/>
            <w:vAlign w:val="bottom"/>
          </w:tcPr>
          <w:p>
            <w:pPr>
              <w:spacing w:after="0"/>
              <w:rPr>
                <w:sz w:val="17"/>
                <w:szCs w:val="17"/>
                <w:color w:val="auto"/>
              </w:rPr>
            </w:pPr>
          </w:p>
        </w:tc>
      </w:tr>
      <w:tr>
        <w:trPr>
          <w:trHeight w:val="235"/>
        </w:trPr>
        <w:tc>
          <w:tcPr>
            <w:tcW w:w="400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2240" w:type="dxa"/>
            <w:vAlign w:val="bottom"/>
            <w:shd w:val="clear" w:color="auto" w:fill="CFF0FC"/>
          </w:tcPr>
          <w:p>
            <w:pPr>
              <w:jc w:val="center"/>
              <w:ind w:right="12"/>
              <w:spacing w:after="0"/>
              <w:rPr>
                <w:sz w:val="20"/>
                <w:szCs w:val="20"/>
                <w:color w:val="auto"/>
              </w:rPr>
            </w:pPr>
            <w:r>
              <w:rPr>
                <w:rFonts w:ascii="Arial" w:cs="Arial" w:eastAsia="Arial" w:hAnsi="Arial"/>
                <w:sz w:val="18"/>
                <w:szCs w:val="18"/>
                <w:color w:val="auto"/>
                <w:w w:val="99"/>
              </w:rPr>
              <w:t>and Rights</w:t>
            </w:r>
          </w:p>
        </w:tc>
        <w:tc>
          <w:tcPr>
            <w:tcW w:w="180" w:type="dxa"/>
            <w:vAlign w:val="bottom"/>
          </w:tcPr>
          <w:p>
            <w:pPr>
              <w:spacing w:after="0"/>
              <w:rPr>
                <w:sz w:val="20"/>
                <w:szCs w:val="20"/>
                <w:color w:val="auto"/>
              </w:rPr>
            </w:pPr>
          </w:p>
        </w:tc>
        <w:tc>
          <w:tcPr>
            <w:tcW w:w="2200" w:type="dxa"/>
            <w:vAlign w:val="bottom"/>
            <w:shd w:val="clear" w:color="auto" w:fill="CFF0FC"/>
          </w:tcPr>
          <w:p>
            <w:pPr>
              <w:jc w:val="center"/>
              <w:ind w:right="12"/>
              <w:spacing w:after="0"/>
              <w:rPr>
                <w:sz w:val="20"/>
                <w:szCs w:val="20"/>
                <w:color w:val="auto"/>
              </w:rPr>
            </w:pPr>
            <w:r>
              <w:rPr>
                <w:rFonts w:ascii="Arial" w:cs="Arial" w:eastAsia="Arial" w:hAnsi="Arial"/>
                <w:sz w:val="18"/>
                <w:szCs w:val="18"/>
                <w:color w:val="auto"/>
                <w:w w:val="97"/>
              </w:rPr>
              <w:t>Rights</w:t>
            </w:r>
          </w:p>
        </w:tc>
        <w:tc>
          <w:tcPr>
            <w:tcW w:w="160" w:type="dxa"/>
            <w:vAlign w:val="bottom"/>
          </w:tcPr>
          <w:p>
            <w:pPr>
              <w:spacing w:after="0"/>
              <w:rPr>
                <w:sz w:val="20"/>
                <w:szCs w:val="20"/>
                <w:color w:val="auto"/>
              </w:rPr>
            </w:pPr>
          </w:p>
        </w:tc>
        <w:tc>
          <w:tcPr>
            <w:tcW w:w="2200" w:type="dxa"/>
            <w:vAlign w:val="bottom"/>
            <w:shd w:val="clear" w:color="auto" w:fill="CFF0FC"/>
          </w:tcPr>
          <w:p>
            <w:pPr>
              <w:jc w:val="center"/>
              <w:ind w:right="11"/>
              <w:spacing w:after="0"/>
              <w:rPr>
                <w:sz w:val="20"/>
                <w:szCs w:val="20"/>
                <w:color w:val="auto"/>
              </w:rPr>
            </w:pPr>
            <w:r>
              <w:rPr>
                <w:rFonts w:ascii="Arial" w:cs="Arial" w:eastAsia="Arial" w:hAnsi="Arial"/>
                <w:sz w:val="18"/>
                <w:szCs w:val="18"/>
                <w:color w:val="auto"/>
                <w:w w:val="98"/>
              </w:rPr>
              <w:t>Column (A)</w:t>
            </w:r>
          </w:p>
        </w:tc>
        <w:tc>
          <w:tcPr>
            <w:tcW w:w="180" w:type="dxa"/>
            <w:vAlign w:val="bottom"/>
          </w:tcPr>
          <w:p>
            <w:pPr>
              <w:spacing w:after="0"/>
              <w:rPr>
                <w:sz w:val="20"/>
                <w:szCs w:val="20"/>
                <w:color w:val="auto"/>
              </w:rPr>
            </w:pPr>
          </w:p>
        </w:tc>
      </w:tr>
      <w:tr>
        <w:trPr>
          <w:trHeight w:val="197"/>
        </w:trPr>
        <w:tc>
          <w:tcPr>
            <w:tcW w:w="4000" w:type="dxa"/>
            <w:vAlign w:val="bottom"/>
          </w:tcPr>
          <w:p>
            <w:pPr>
              <w:spacing w:after="0" w:line="197" w:lineRule="exact"/>
              <w:rPr>
                <w:sz w:val="20"/>
                <w:szCs w:val="20"/>
                <w:color w:val="auto"/>
              </w:rPr>
            </w:pPr>
            <w:r>
              <w:rPr>
                <w:rFonts w:ascii="Arial" w:cs="Arial" w:eastAsia="Arial" w:hAnsi="Arial"/>
                <w:sz w:val="18"/>
                <w:szCs w:val="18"/>
                <w:color w:val="auto"/>
              </w:rPr>
              <w:t>Equity compensation plans</w:t>
            </w: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9"/>
        </w:trPr>
        <w:tc>
          <w:tcPr>
            <w:tcW w:w="4000" w:type="dxa"/>
            <w:vAlign w:val="bottom"/>
          </w:tcPr>
          <w:p>
            <w:pPr>
              <w:ind w:left="160"/>
              <w:spacing w:after="0"/>
              <w:rPr>
                <w:sz w:val="20"/>
                <w:szCs w:val="20"/>
                <w:color w:val="auto"/>
              </w:rPr>
            </w:pPr>
            <w:r>
              <w:rPr>
                <w:rFonts w:ascii="Arial" w:cs="Arial" w:eastAsia="Arial" w:hAnsi="Arial"/>
                <w:sz w:val="18"/>
                <w:szCs w:val="18"/>
                <w:color w:val="auto"/>
              </w:rPr>
              <w:t>approved by security holders</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12,538,586  </w:t>
            </w:r>
            <w:r>
              <w:rPr>
                <w:rFonts w:ascii="Arial" w:cs="Arial" w:eastAsia="Arial" w:hAnsi="Arial"/>
                <w:sz w:val="10"/>
                <w:szCs w:val="10"/>
                <w:color w:val="auto"/>
              </w:rPr>
              <w:t>(1)</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7.17  </w:t>
            </w:r>
            <w:r>
              <w:rPr>
                <w:rFonts w:ascii="Arial" w:cs="Arial" w:eastAsia="Arial" w:hAnsi="Arial"/>
                <w:sz w:val="10"/>
                <w:szCs w:val="10"/>
                <w:color w:val="auto"/>
              </w:rPr>
              <w:t>(2)</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 xml:space="preserve">18,703,602  </w:t>
            </w:r>
            <w:r>
              <w:rPr>
                <w:rFonts w:ascii="Arial" w:cs="Arial" w:eastAsia="Arial" w:hAnsi="Arial"/>
                <w:sz w:val="10"/>
                <w:szCs w:val="10"/>
                <w:color w:val="auto"/>
              </w:rPr>
              <w:t>(3)</w:t>
            </w:r>
          </w:p>
        </w:tc>
      </w:tr>
    </w:tbl>
    <w:p>
      <w:pPr>
        <w:spacing w:after="0" w:line="162" w:lineRule="exact"/>
        <w:rPr>
          <w:sz w:val="20"/>
          <w:szCs w:val="20"/>
          <w:color w:val="auto"/>
        </w:rPr>
      </w:pPr>
    </w:p>
    <w:p>
      <w:pPr>
        <w:ind w:right="220" w:firstLine="8"/>
        <w:spacing w:after="0" w:line="251" w:lineRule="auto"/>
        <w:tabs>
          <w:tab w:leader="none" w:pos="215" w:val="left"/>
        </w:tabs>
        <w:numPr>
          <w:ilvl w:val="0"/>
          <w:numId w:val="60"/>
        </w:numPr>
        <w:rPr>
          <w:rFonts w:ascii="Arial" w:cs="Arial" w:eastAsia="Arial" w:hAnsi="Arial"/>
          <w:sz w:val="14"/>
          <w:szCs w:val="14"/>
          <w:color w:val="auto"/>
        </w:rPr>
      </w:pPr>
      <w:r>
        <w:rPr>
          <w:rFonts w:ascii="Arial" w:cs="Arial" w:eastAsia="Arial" w:hAnsi="Arial"/>
          <w:sz w:val="14"/>
          <w:szCs w:val="14"/>
          <w:color w:val="auto"/>
        </w:rPr>
        <w:t>Of these shares, 4,430,725 were underlying then outstanding restricted stock units and 605,275 were subject to options then outstanding under the 2021 Plan; 5,903,979 were subject to options then outstanding under the 2018 Plan; and 1,598,607 were subject to options then outstanding under the 2009 Plan.</w:t>
      </w:r>
    </w:p>
    <w:p>
      <w:pPr>
        <w:ind w:left="220" w:hanging="212"/>
        <w:spacing w:after="0"/>
        <w:tabs>
          <w:tab w:leader="none" w:pos="2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Does not take into account restricted stock units, which have no exercise price.</w:t>
      </w:r>
    </w:p>
    <w:p>
      <w:pPr>
        <w:ind w:right="20" w:firstLine="8"/>
        <w:spacing w:after="0" w:line="244" w:lineRule="auto"/>
        <w:tabs>
          <w:tab w:leader="none" w:pos="216"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14,846,817 shares of common stock available for issuance under our 2021 Plan and 3,856,785 shares of common stock available for issuance under our ESPP. No shares are available for future issuance under our 2009 Plan or 2018 Plan. Our 2021 Plan provides for annual increases in the number of shares available for issuance thereunder on the first day of each fiscal year equal to the lower of: (a) 5% of the total number of shares of common stock and non-voting common stock outstanding on the last business day of the prior fiscal year; or (b) such other amount as our board of directors may determine. Our ESPP provides for annual increases in the number of shares available for issuance thereunder on the first day of each fiscal year equal to the least of: (x) 2,000,000 shares; (y) 1% of the shares of common stock and non-voting common stock issued and outstanding on the last business day of the prior fiscal year; or (z) the number of shares determined by our board of directors. On January 1, 2024, an additional 6,128,424 shares became available for future issuance under the 2021 Plan and an additional 1,225,685 shares became available for future issuance under the ESPP. The additional shares from the annual increase on January 1, 2024 are not included in the table above.</w:t>
      </w:r>
    </w:p>
    <w:p>
      <w:pPr>
        <w:spacing w:after="0" w:line="137"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The information required under this item not otherwise provided herein is incorporated herein by reference to the Company’s definitive proxy statement pursuant to Regulation 14A, which proxy statement will be filed with the SEC not later than 120 days after the close of the Company’s fiscal year ended December 31,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1" w:lineRule="exact"/>
        <w:rPr>
          <w:sz w:val="20"/>
          <w:szCs w:val="20"/>
          <w:color w:val="auto"/>
        </w:rPr>
      </w:pPr>
    </w:p>
    <w:p>
      <w:pPr>
        <w:jc w:val="both"/>
        <w:ind w:right="120" w:firstLine="509"/>
        <w:spacing w:after="0" w:line="252"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2023.</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2023.</w:t>
      </w:r>
    </w:p>
    <w:p>
      <w:pPr>
        <w:spacing w:after="0" w:line="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68" w:right="51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103" w:lineRule="exact"/>
        <w:rPr>
          <w:sz w:val="20"/>
          <w:szCs w:val="20"/>
          <w:color w:val="auto"/>
        </w:rPr>
      </w:pPr>
    </w:p>
    <w:p>
      <w:pPr>
        <w:ind w:left="1020" w:hanging="504"/>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70" w:lineRule="exact"/>
        <w:rPr>
          <w:rFonts w:ascii="Arial" w:cs="Arial" w:eastAsia="Arial" w:hAnsi="Arial"/>
          <w:sz w:val="18"/>
          <w:szCs w:val="18"/>
          <w:color w:val="auto"/>
        </w:rPr>
      </w:pPr>
    </w:p>
    <w:p>
      <w:pPr>
        <w:ind w:left="1020" w:right="140"/>
        <w:spacing w:after="0" w:line="271" w:lineRule="auto"/>
        <w:rPr>
          <w:rFonts w:ascii="Arial" w:cs="Arial" w:eastAsia="Arial" w:hAnsi="Arial"/>
          <w:sz w:val="18"/>
          <w:szCs w:val="18"/>
          <w:color w:val="auto"/>
        </w:rPr>
      </w:pPr>
      <w:r>
        <w:rPr>
          <w:rFonts w:ascii="Arial" w:cs="Arial" w:eastAsia="Arial" w:hAnsi="Arial"/>
          <w:sz w:val="18"/>
          <w:szCs w:val="18"/>
          <w:color w:val="auto"/>
        </w:rPr>
        <w:t>The consolidated financial statements are filed as part of this Annual Report on Form 10-K under “Item 8. Financial Statements and Supplementary Data.”</w:t>
      </w:r>
    </w:p>
    <w:p>
      <w:pPr>
        <w:spacing w:after="0" w:line="44" w:lineRule="exact"/>
        <w:rPr>
          <w:rFonts w:ascii="Arial" w:cs="Arial" w:eastAsia="Arial" w:hAnsi="Arial"/>
          <w:sz w:val="18"/>
          <w:szCs w:val="18"/>
          <w:color w:val="auto"/>
        </w:rPr>
      </w:pPr>
    </w:p>
    <w:p>
      <w:pPr>
        <w:ind w:left="1020" w:hanging="504"/>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0" w:lineRule="exact"/>
        <w:rPr>
          <w:rFonts w:ascii="Arial" w:cs="Arial" w:eastAsia="Arial" w:hAnsi="Arial"/>
          <w:sz w:val="18"/>
          <w:szCs w:val="18"/>
          <w:color w:val="auto"/>
        </w:rPr>
      </w:pPr>
    </w:p>
    <w:p>
      <w:pPr>
        <w:ind w:left="1020" w:right="260"/>
        <w:spacing w:after="0" w:line="252"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in the notes to those financial statements.</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Exhibits</w:t>
      </w:r>
    </w:p>
    <w:p>
      <w:pPr>
        <w:spacing w:after="0" w:line="184" w:lineRule="exact"/>
        <w:rPr>
          <w:sz w:val="20"/>
          <w:szCs w:val="20"/>
          <w:color w:val="auto"/>
        </w:rPr>
      </w:pPr>
    </w:p>
    <w:p>
      <w:pPr>
        <w:ind w:left="1020" w:right="1040"/>
        <w:spacing w:after="0" w:line="271" w:lineRule="auto"/>
        <w:rPr>
          <w:sz w:val="20"/>
          <w:szCs w:val="20"/>
          <w:color w:val="auto"/>
        </w:rPr>
      </w:pPr>
      <w:r>
        <w:rPr>
          <w:rFonts w:ascii="Arial" w:cs="Arial" w:eastAsia="Arial" w:hAnsi="Arial"/>
          <w:sz w:val="18"/>
          <w:szCs w:val="18"/>
          <w:color w:val="auto"/>
        </w:rPr>
        <w:t>The exhibits listed in the following Exhibit Index are filed herewith as part of this Annual Report on Form 10-K or are incorporated herein by reference, in each case as indicated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2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80" w:type="dxa"/>
            <w:vAlign w:val="bottom"/>
            <w:gridSpan w:val="23"/>
          </w:tcPr>
          <w:p>
            <w:pPr>
              <w:jc w:val="center"/>
              <w:ind w:right="5000"/>
              <w:spacing w:after="0"/>
              <w:rPr>
                <w:sz w:val="20"/>
                <w:szCs w:val="20"/>
                <w:color w:val="auto"/>
              </w:rPr>
            </w:pPr>
            <w:r>
              <w:rPr>
                <w:rFonts w:ascii="Arial" w:cs="Arial" w:eastAsia="Arial" w:hAnsi="Arial"/>
                <w:sz w:val="18"/>
                <w:szCs w:val="18"/>
                <w:b w:val="1"/>
                <w:bCs w:val="1"/>
                <w:color w:val="auto"/>
                <w:w w:val="99"/>
              </w:rPr>
              <w:t>Exhibit Index</w:t>
            </w:r>
          </w:p>
        </w:tc>
        <w:tc>
          <w:tcPr>
            <w:tcW w:w="0" w:type="dxa"/>
            <w:vAlign w:val="bottom"/>
          </w:tcPr>
          <w:p>
            <w:pPr>
              <w:spacing w:after="0"/>
              <w:rPr>
                <w:sz w:val="1"/>
                <w:szCs w:val="1"/>
                <w:color w:val="auto"/>
              </w:rPr>
            </w:pPr>
          </w:p>
        </w:tc>
      </w:tr>
      <w:tr>
        <w:trPr>
          <w:trHeight w:val="127"/>
        </w:trPr>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80" w:type="dxa"/>
            <w:vAlign w:val="bottom"/>
            <w:tcBorders>
              <w:bottom w:val="single" w:sz="8" w:color="auto"/>
            </w:tcBorders>
            <w:gridSpan w:val="23"/>
          </w:tcPr>
          <w:p>
            <w:pPr>
              <w:ind w:left="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44"/>
        </w:trPr>
        <w:tc>
          <w:tcPr>
            <w:tcW w:w="124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FF"/>
              </w:rPr>
            </w:pPr>
            <w:hyperlink r:id="rId673">
              <w:r>
                <w:rPr>
                  <w:rFonts w:ascii="Arial" w:cs="Arial" w:eastAsia="Arial" w:hAnsi="Arial"/>
                  <w:sz w:val="18"/>
                  <w:szCs w:val="18"/>
                  <w:color w:val="0000FF"/>
                </w:rPr>
                <w:t>Amended and Restated Certificate of Incorporation of Flywire Corporation, incorporated by reference to Exhibit 3.1 to the</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673">
              <w:r>
                <w:rPr>
                  <w:rFonts w:ascii="Arial" w:cs="Arial" w:eastAsia="Arial" w:hAnsi="Arial"/>
                  <w:sz w:val="18"/>
                  <w:szCs w:val="18"/>
                  <w:color w:val="0000FF"/>
                  <w:w w:val="99"/>
                </w:rPr>
                <w:t>Registrant’s Current Report on Form 8-K filed on June 1,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4600" w:type="dxa"/>
            <w:vAlign w:val="bottom"/>
            <w:tcBorders>
              <w:top w:val="single" w:sz="8" w:color="0000FF"/>
            </w:tcBorders>
            <w:gridSpan w:val="10"/>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FF"/>
              </w:rPr>
            </w:pPr>
            <w:hyperlink r:id="rId674">
              <w:r>
                <w:rPr>
                  <w:rFonts w:ascii="Arial" w:cs="Arial" w:eastAsia="Arial" w:hAnsi="Arial"/>
                  <w:sz w:val="18"/>
                  <w:szCs w:val="18"/>
                  <w:color w:val="0000FF"/>
                </w:rPr>
                <w:t>Amended and Restated Bylaws of Flywire Corporation, incorporated by reference to Exhibit 3.2 to the Registrant’s Current</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674">
              <w:r>
                <w:rPr>
                  <w:rFonts w:ascii="Arial" w:cs="Arial" w:eastAsia="Arial" w:hAnsi="Arial"/>
                  <w:sz w:val="18"/>
                  <w:szCs w:val="18"/>
                  <w:color w:val="0000FF"/>
                </w:rPr>
                <w:t>Report on Form 8-K filed on June 1,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FF"/>
              </w:rPr>
            </w:pPr>
            <w:hyperlink r:id="rId675">
              <w:r>
                <w:rPr>
                  <w:rFonts w:ascii="Arial" w:cs="Arial" w:eastAsia="Arial" w:hAnsi="Arial"/>
                  <w:sz w:val="18"/>
                  <w:szCs w:val="18"/>
                  <w:color w:val="0000FF"/>
                </w:rPr>
                <w:t>Description of Securities of Flywire Corporation, incorporated by reference to Exhibit 4.1 to the Registrant's Annual Report</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675">
              <w:r>
                <w:rPr>
                  <w:rFonts w:ascii="Arial" w:cs="Arial" w:eastAsia="Arial" w:hAnsi="Arial"/>
                  <w:sz w:val="18"/>
                  <w:szCs w:val="18"/>
                  <w:color w:val="0000FF"/>
                </w:rPr>
                <w:t>on Form 10-K for the year ended December 31, 2021 filed on March 29, 2022.</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FF"/>
              </w:rPr>
            </w:pPr>
            <w:hyperlink r:id="rId676">
              <w:r>
                <w:rPr>
                  <w:rFonts w:ascii="Arial" w:cs="Arial" w:eastAsia="Arial" w:hAnsi="Arial"/>
                  <w:sz w:val="18"/>
                  <w:szCs w:val="18"/>
                  <w:color w:val="0000FF"/>
                </w:rPr>
                <w:t>Amended and Restated Investors’ Rights Agreement, dated February 23, 2021, by and among the Registrant and certain</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676">
              <w:r>
                <w:rPr>
                  <w:rFonts w:ascii="Arial" w:cs="Arial" w:eastAsia="Arial" w:hAnsi="Arial"/>
                  <w:sz w:val="18"/>
                  <w:szCs w:val="18"/>
                  <w:color w:val="0000FF"/>
                </w:rPr>
                <w:t>security holders of the Registrant, as amended, incorporated by reference to Exhibit 4.2 to the Registrant's Registration</w:t>
              </w:r>
            </w:hyperlink>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676">
              <w:r>
                <w:rPr>
                  <w:rFonts w:ascii="Arial" w:cs="Arial" w:eastAsia="Arial" w:hAnsi="Arial"/>
                  <w:sz w:val="18"/>
                  <w:szCs w:val="18"/>
                  <w:color w:val="0000FF"/>
                  <w:w w:val="99"/>
                </w:rPr>
                <w:t>Statement on Form S-1 filed on May 3,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5900" w:type="dxa"/>
            <w:vAlign w:val="bottom"/>
            <w:tcBorders>
              <w:top w:val="single" w:sz="8" w:color="0000FF"/>
            </w:tcBorders>
            <w:gridSpan w:val="10"/>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FF"/>
              </w:rPr>
            </w:pPr>
            <w:hyperlink r:id="rId677">
              <w:r>
                <w:rPr>
                  <w:rFonts w:ascii="Arial" w:cs="Arial" w:eastAsia="Arial" w:hAnsi="Arial"/>
                  <w:sz w:val="18"/>
                  <w:szCs w:val="18"/>
                  <w:color w:val="0000FF"/>
                </w:rPr>
                <w:t>Form of Indemnification Agreement, incorporated by reference to Exhibit 10.1 to the Registrant's Registration Statement on</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677">
              <w:r>
                <w:rPr>
                  <w:rFonts w:ascii="Arial" w:cs="Arial" w:eastAsia="Arial" w:hAnsi="Arial"/>
                  <w:sz w:val="18"/>
                  <w:szCs w:val="18"/>
                  <w:color w:val="0000FF"/>
                </w:rPr>
                <w:t>Form S-1/A filed on May 18, 2021.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0000FF"/>
            </w:tcBorders>
            <w:gridSpan w:val="14"/>
          </w:tcPr>
          <w:p>
            <w:pPr>
              <w:spacing w:after="0"/>
              <w:rPr>
                <w:rFonts w:ascii="Arial" w:cs="Arial" w:eastAsia="Arial" w:hAnsi="Arial"/>
                <w:sz w:val="18"/>
                <w:szCs w:val="18"/>
                <w:color w:val="0000FF"/>
              </w:rPr>
            </w:pPr>
            <w:hyperlink r:id="rId678">
              <w:r>
                <w:rPr>
                  <w:rFonts w:ascii="Arial" w:cs="Arial" w:eastAsia="Arial" w:hAnsi="Arial"/>
                  <w:sz w:val="18"/>
                  <w:szCs w:val="18"/>
                  <w:color w:val="0000FF"/>
                </w:rPr>
                <w:t>Amended and Restated 2009 Equity Incentive Plan and forms of agreements thereafter, incorporated by reference to</w:t>
              </w:r>
            </w:hyperlink>
          </w:p>
        </w:tc>
        <w:tc>
          <w:tcPr>
            <w:tcW w:w="5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29"/>
          </w:tcPr>
          <w:p>
            <w:pPr>
              <w:spacing w:after="0" w:line="182" w:lineRule="exact"/>
              <w:rPr>
                <w:rFonts w:ascii="Arial" w:cs="Arial" w:eastAsia="Arial" w:hAnsi="Arial"/>
                <w:sz w:val="18"/>
                <w:szCs w:val="18"/>
                <w:color w:val="0000FF"/>
              </w:rPr>
            </w:pPr>
            <w:hyperlink r:id="rId678">
              <w:r>
                <w:rPr>
                  <w:rFonts w:ascii="Arial" w:cs="Arial" w:eastAsia="Arial" w:hAnsi="Arial"/>
                  <w:sz w:val="18"/>
                  <w:szCs w:val="18"/>
                  <w:color w:val="0000FF"/>
                </w:rPr>
                <w:t>Exhibit 10.2 to the Registrant's Annual Report on Form 10-K for the year ended December 31, 2021 filed on March 29,</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44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r:id="rId678">
              <w:r>
                <w:rPr>
                  <w:rFonts w:ascii="Arial" w:cs="Arial" w:eastAsia="Arial" w:hAnsi="Arial"/>
                  <w:sz w:val="18"/>
                  <w:szCs w:val="18"/>
                  <w:color w:val="0000FF"/>
                  <w:w w:val="93"/>
                </w:rPr>
                <w:t>2022.</w:t>
              </w:r>
            </w:hyperlink>
          </w:p>
        </w:tc>
        <w:tc>
          <w:tcPr>
            <w:tcW w:w="21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16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FF"/>
              </w:rPr>
            </w:pPr>
            <w:hyperlink r:id="rId679">
              <w:r>
                <w:rPr>
                  <w:rFonts w:ascii="Arial" w:cs="Arial" w:eastAsia="Arial" w:hAnsi="Arial"/>
                  <w:sz w:val="18"/>
                  <w:szCs w:val="18"/>
                  <w:color w:val="0000FF"/>
                </w:rPr>
                <w:t>2018 Stock Incentive Plan, as amended, and forms of equity agreements thereunder, incorporated by reference to Exhibit</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679">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the Registrant's Registration Statement on Form S-1/A filed on May 18, 2021.</w:t>
              </w:r>
            </w:hyperlink>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3220" w:type="dxa"/>
            <w:vAlign w:val="bottom"/>
            <w:gridSpan w:val="7"/>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FF"/>
              </w:rPr>
            </w:pPr>
            <w:hyperlink r:id="rId680">
              <w:r>
                <w:rPr>
                  <w:rFonts w:ascii="Arial" w:cs="Arial" w:eastAsia="Arial" w:hAnsi="Arial"/>
                  <w:sz w:val="18"/>
                  <w:szCs w:val="18"/>
                  <w:color w:val="0000FF"/>
                </w:rPr>
                <w:t>2021 Equity Incentive Plan, and forms of equity agreements thereunder, incorporated by reference to Exhibit 10.4 to the</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680">
              <w:r>
                <w:rPr>
                  <w:rFonts w:ascii="Arial" w:cs="Arial" w:eastAsia="Arial" w:hAnsi="Arial"/>
                  <w:sz w:val="18"/>
                  <w:szCs w:val="18"/>
                  <w:color w:val="0000FF"/>
                  <w:w w:val="99"/>
                </w:rPr>
                <w:t>Registrant's Annual Report on Form 10-K for the year ended December 31, 2022 filed on March 10, 2023.</w:t>
              </w:r>
            </w:hyperlink>
          </w:p>
        </w:tc>
        <w:tc>
          <w:tcPr>
            <w:tcW w:w="20" w:type="dxa"/>
            <w:vAlign w:val="bottom"/>
            <w:tcBorders>
              <w:top w:val="single" w:sz="8" w:color="0000FF"/>
              <w:bottom w:val="single" w:sz="8" w:color="0000EE"/>
            </w:tcBorders>
          </w:tcPr>
          <w:p>
            <w:pPr>
              <w:spacing w:after="0"/>
              <w:rPr>
                <w:sz w:val="15"/>
                <w:szCs w:val="15"/>
                <w:color w:val="auto"/>
              </w:rPr>
            </w:pPr>
          </w:p>
        </w:tc>
        <w:tc>
          <w:tcPr>
            <w:tcW w:w="1120" w:type="dxa"/>
            <w:vAlign w:val="bottom"/>
            <w:tcBorders>
              <w:top w:val="single" w:sz="8" w:color="0000FF"/>
            </w:tcBorders>
            <w:gridSpan w:val="4"/>
          </w:tcPr>
          <w:p>
            <w:pPr>
              <w:spacing w:after="0"/>
              <w:rPr>
                <w:sz w:val="15"/>
                <w:szCs w:val="15"/>
                <w:color w:val="auto"/>
              </w:rPr>
            </w:pPr>
          </w:p>
        </w:tc>
        <w:tc>
          <w:tcPr>
            <w:tcW w:w="2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FF"/>
              </w:rPr>
            </w:pPr>
            <w:hyperlink r:id="rId681">
              <w:r>
                <w:rPr>
                  <w:rFonts w:ascii="Arial" w:cs="Arial" w:eastAsia="Arial" w:hAnsi="Arial"/>
                  <w:sz w:val="18"/>
                  <w:szCs w:val="18"/>
                  <w:color w:val="0000FF"/>
                </w:rPr>
                <w:t>2021 Employee Stock Purchase Plan, and form of subscription agreement, incorporated by reference to Exhibit 10.5 to the</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681">
              <w:r>
                <w:rPr>
                  <w:rFonts w:ascii="Arial" w:cs="Arial" w:eastAsia="Arial" w:hAnsi="Arial"/>
                  <w:sz w:val="18"/>
                  <w:szCs w:val="18"/>
                  <w:color w:val="0000FF"/>
                </w:rPr>
                <w:t>Registrant's Registration Statement on Form S-1/A filed on May 18,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3220" w:type="dxa"/>
            <w:vAlign w:val="bottom"/>
            <w:gridSpan w:val="7"/>
            <w:shd w:val="clear" w:color="auto" w:fill="0000FF"/>
          </w:tcPr>
          <w:p>
            <w:pPr>
              <w:spacing w:after="0" w:line="20" w:lineRule="exact"/>
              <w:rPr>
                <w:sz w:val="1"/>
                <w:szCs w:val="1"/>
                <w:color w:val="auto"/>
              </w:rPr>
            </w:pPr>
          </w:p>
        </w:tc>
        <w:tc>
          <w:tcPr>
            <w:tcW w:w="39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FF"/>
              </w:rPr>
            </w:pPr>
            <w:hyperlink r:id="rId682">
              <w:r>
                <w:rPr>
                  <w:rFonts w:ascii="Arial" w:cs="Arial" w:eastAsia="Arial" w:hAnsi="Arial"/>
                  <w:sz w:val="18"/>
                  <w:szCs w:val="18"/>
                  <w:color w:val="0000FF"/>
                </w:rPr>
                <w:t>Loan and Security Agreement, by and between the Registrant and certain of its subsidiaries and Silicon Valley Bank, dated</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w w:val="99"/>
              </w:rPr>
            </w:pPr>
            <w:hyperlink r:id="rId682">
              <w:r>
                <w:rPr>
                  <w:rFonts w:ascii="Arial" w:cs="Arial" w:eastAsia="Arial" w:hAnsi="Arial"/>
                  <w:sz w:val="18"/>
                  <w:szCs w:val="18"/>
                  <w:color w:val="0000FF"/>
                  <w:w w:val="99"/>
                </w:rPr>
                <w:t>January 16, 2018, as amended by the Joinder and First Amendment to Loan Security Agreement, dated April 25, 2018; the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bottom w:val="single" w:sz="8" w:color="0000FF"/>
            </w:tcBorders>
            <w:gridSpan w:val="26"/>
          </w:tcPr>
          <w:p>
            <w:pPr>
              <w:spacing w:after="0" w:line="182" w:lineRule="exact"/>
              <w:rPr>
                <w:rFonts w:ascii="Arial" w:cs="Arial" w:eastAsia="Arial" w:hAnsi="Arial"/>
                <w:sz w:val="18"/>
                <w:szCs w:val="18"/>
                <w:color w:val="0000FF"/>
              </w:rPr>
            </w:pPr>
            <w:hyperlink r:id="rId682">
              <w:r>
                <w:rPr>
                  <w:rFonts w:ascii="Arial" w:cs="Arial" w:eastAsia="Arial" w:hAnsi="Arial"/>
                  <w:sz w:val="18"/>
                  <w:szCs w:val="18"/>
                  <w:color w:val="0000FF"/>
                </w:rPr>
                <w:t>Joinder and Second Amendment to Loan and Security Agreement, dated May 15, 2020; the Third Amendment to Loan and</w:t>
              </w:r>
            </w:hyperlink>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27"/>
          </w:tcPr>
          <w:p>
            <w:pPr>
              <w:spacing w:after="0" w:line="182" w:lineRule="exact"/>
              <w:rPr>
                <w:rFonts w:ascii="Arial" w:cs="Arial" w:eastAsia="Arial" w:hAnsi="Arial"/>
                <w:sz w:val="18"/>
                <w:szCs w:val="18"/>
                <w:color w:val="0000FF"/>
              </w:rPr>
            </w:pPr>
            <w:hyperlink r:id="rId682">
              <w:r>
                <w:rPr>
                  <w:rFonts w:ascii="Arial" w:cs="Arial" w:eastAsia="Arial" w:hAnsi="Arial"/>
                  <w:sz w:val="18"/>
                  <w:szCs w:val="18"/>
                  <w:color w:val="0000FF"/>
                </w:rPr>
                <w:t>Security Agreement, dated June 2, 2020; and the Consent and Fourth Amendment to Loan and Security Agreement, dated</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20" w:type="dxa"/>
            <w:vAlign w:val="bottom"/>
            <w:tcBorders>
              <w:top w:val="single" w:sz="8" w:color="0000FF"/>
              <w:bottom w:val="single" w:sz="8" w:color="0000EE"/>
            </w:tcBorders>
            <w:gridSpan w:val="2"/>
          </w:tcPr>
          <w:p>
            <w:pPr>
              <w:spacing w:after="0" w:line="182" w:lineRule="exact"/>
              <w:rPr>
                <w:rFonts w:ascii="Arial" w:cs="Arial" w:eastAsia="Arial" w:hAnsi="Arial"/>
                <w:sz w:val="18"/>
                <w:szCs w:val="18"/>
                <w:color w:val="0000FF"/>
              </w:rPr>
            </w:pPr>
            <w:hyperlink r:id="rId682">
              <w:r>
                <w:rPr>
                  <w:rFonts w:ascii="Arial" w:cs="Arial" w:eastAsia="Arial" w:hAnsi="Arial"/>
                  <w:sz w:val="18"/>
                  <w:szCs w:val="18"/>
                  <w:color w:val="0000FF"/>
                </w:rPr>
                <w:t>December 9, 2020, incorporated</w:t>
              </w:r>
            </w:hyperlink>
          </w:p>
        </w:tc>
        <w:tc>
          <w:tcPr>
            <w:tcW w:w="7180" w:type="dxa"/>
            <w:vAlign w:val="bottom"/>
            <w:tcBorders>
              <w:top w:val="single" w:sz="8" w:color="0000FF"/>
            </w:tcBorders>
            <w:gridSpan w:val="23"/>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240" w:type="dxa"/>
            <w:vAlign w:val="bottom"/>
          </w:tcPr>
          <w:p>
            <w:pPr>
              <w:spacing w:after="0"/>
              <w:rPr>
                <w:sz w:val="24"/>
                <w:szCs w:val="24"/>
                <w:color w:val="auto"/>
              </w:rPr>
            </w:pPr>
          </w:p>
        </w:tc>
        <w:tc>
          <w:tcPr>
            <w:tcW w:w="5140" w:type="dxa"/>
            <w:vAlign w:val="bottom"/>
            <w:gridSpan w:val="9"/>
          </w:tcPr>
          <w:p>
            <w:pPr>
              <w:jc w:val="right"/>
              <w:ind w:right="519"/>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9880" w:type="dxa"/>
            <w:vAlign w:val="bottom"/>
            <w:gridSpan w:val="33"/>
          </w:tcPr>
          <w:p>
            <w:pPr>
              <w:spacing w:after="0"/>
              <w:rPr>
                <w:rFonts w:ascii="Arial" w:cs="Arial" w:eastAsia="Arial" w:hAnsi="Arial"/>
                <w:sz w:val="18"/>
                <w:szCs w:val="18"/>
                <w:color w:val="0000FF"/>
              </w:rPr>
            </w:pPr>
            <w:hyperlink r:id="rId682">
              <w:r>
                <w:rPr>
                  <w:rFonts w:ascii="Arial" w:cs="Arial" w:eastAsia="Arial" w:hAnsi="Arial"/>
                  <w:sz w:val="18"/>
                  <w:szCs w:val="18"/>
                  <w:color w:val="0000FF"/>
                </w:rPr>
                <w:t>by reference to Exhibit 10.6 to the Registrant's Registration Statement on Form S-1/A filed on May 18, 2021.</w:t>
              </w:r>
            </w:hyperlink>
          </w:p>
        </w:tc>
      </w:tr>
      <w:tr>
        <w:trPr>
          <w:trHeight w:val="20"/>
        </w:trPr>
        <w:tc>
          <w:tcPr>
            <w:tcW w:w="136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60" w:type="dxa"/>
            <w:vAlign w:val="bottom"/>
          </w:tcPr>
          <w:p>
            <w:pPr>
              <w:ind w:left="20"/>
              <w:spacing w:after="0"/>
              <w:rPr>
                <w:sz w:val="20"/>
                <w:szCs w:val="20"/>
                <w:color w:val="auto"/>
              </w:rPr>
            </w:pPr>
            <w:r>
              <w:rPr>
                <w:rFonts w:ascii="Arial" w:cs="Arial" w:eastAsia="Arial" w:hAnsi="Arial"/>
                <w:sz w:val="18"/>
                <w:szCs w:val="18"/>
                <w:color w:val="auto"/>
              </w:rPr>
              <w:t>10.7#</w:t>
            </w:r>
          </w:p>
        </w:tc>
        <w:tc>
          <w:tcPr>
            <w:tcW w:w="9880" w:type="dxa"/>
            <w:vAlign w:val="bottom"/>
            <w:gridSpan w:val="33"/>
          </w:tcPr>
          <w:p>
            <w:pPr>
              <w:spacing w:after="0"/>
              <w:rPr>
                <w:rFonts w:ascii="Arial" w:cs="Arial" w:eastAsia="Arial" w:hAnsi="Arial"/>
                <w:sz w:val="18"/>
                <w:szCs w:val="18"/>
                <w:color w:val="0000FF"/>
              </w:rPr>
            </w:pPr>
            <w:hyperlink r:id="rId686">
              <w:r>
                <w:rPr>
                  <w:rFonts w:ascii="Arial" w:cs="Arial" w:eastAsia="Arial" w:hAnsi="Arial"/>
                  <w:sz w:val="18"/>
                  <w:szCs w:val="18"/>
                  <w:color w:val="0000FF"/>
                </w:rPr>
                <w:t>Employment Agreement, dated as of May 14, 2021, by and between the Registrant and Michael Massaro, incorporated by</w:t>
              </w:r>
            </w:hyperlink>
          </w:p>
        </w:tc>
      </w:tr>
      <w:tr>
        <w:trPr>
          <w:trHeight w:val="182"/>
        </w:trPr>
        <w:tc>
          <w:tcPr>
            <w:tcW w:w="1360" w:type="dxa"/>
            <w:vAlign w:val="bottom"/>
          </w:tcPr>
          <w:p>
            <w:pPr>
              <w:spacing w:after="0"/>
              <w:rPr>
                <w:sz w:val="15"/>
                <w:szCs w:val="15"/>
                <w:color w:val="auto"/>
              </w:rPr>
            </w:pPr>
          </w:p>
        </w:tc>
        <w:tc>
          <w:tcPr>
            <w:tcW w:w="976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686">
              <w:r>
                <w:rPr>
                  <w:rFonts w:ascii="Arial" w:cs="Arial" w:eastAsia="Arial" w:hAnsi="Arial"/>
                  <w:sz w:val="18"/>
                  <w:szCs w:val="18"/>
                  <w:color w:val="0000FF"/>
                </w:rPr>
                <w:t>reference to Exhibit 10.7 to the Registrant's Registration Statement on Form S-1/A filed on May 18, 2021.</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60" w:type="dxa"/>
            <w:vAlign w:val="bottom"/>
          </w:tcPr>
          <w:p>
            <w:pPr>
              <w:ind w:left="20"/>
              <w:spacing w:after="0"/>
              <w:rPr>
                <w:sz w:val="20"/>
                <w:szCs w:val="20"/>
                <w:color w:val="auto"/>
              </w:rPr>
            </w:pPr>
            <w:r>
              <w:rPr>
                <w:rFonts w:ascii="Arial" w:cs="Arial" w:eastAsia="Arial" w:hAnsi="Arial"/>
                <w:sz w:val="18"/>
                <w:szCs w:val="18"/>
                <w:color w:val="auto"/>
              </w:rPr>
              <w:t>10.8#</w:t>
            </w:r>
          </w:p>
        </w:tc>
        <w:tc>
          <w:tcPr>
            <w:tcW w:w="9880" w:type="dxa"/>
            <w:vAlign w:val="bottom"/>
            <w:gridSpan w:val="33"/>
          </w:tcPr>
          <w:p>
            <w:pPr>
              <w:spacing w:after="0"/>
              <w:rPr>
                <w:rFonts w:ascii="Arial" w:cs="Arial" w:eastAsia="Arial" w:hAnsi="Arial"/>
                <w:sz w:val="18"/>
                <w:szCs w:val="18"/>
                <w:color w:val="0000FF"/>
              </w:rPr>
            </w:pPr>
            <w:hyperlink r:id="rId687">
              <w:r>
                <w:rPr>
                  <w:rFonts w:ascii="Arial" w:cs="Arial" w:eastAsia="Arial" w:hAnsi="Arial"/>
                  <w:sz w:val="18"/>
                  <w:szCs w:val="18"/>
                  <w:color w:val="0000FF"/>
                </w:rPr>
                <w:t>Employment Agreement, dated as of May 14, 2021, by and between the Registrant and Rob Orgel, incorporated by</w:t>
              </w:r>
            </w:hyperlink>
          </w:p>
        </w:tc>
      </w:tr>
      <w:tr>
        <w:trPr>
          <w:trHeight w:val="182"/>
        </w:trPr>
        <w:tc>
          <w:tcPr>
            <w:tcW w:w="1360" w:type="dxa"/>
            <w:vAlign w:val="bottom"/>
          </w:tcPr>
          <w:p>
            <w:pPr>
              <w:spacing w:after="0"/>
              <w:rPr>
                <w:sz w:val="15"/>
                <w:szCs w:val="15"/>
                <w:color w:val="auto"/>
              </w:rPr>
            </w:pPr>
          </w:p>
        </w:tc>
        <w:tc>
          <w:tcPr>
            <w:tcW w:w="922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687">
              <w:r>
                <w:rPr>
                  <w:rFonts w:ascii="Arial" w:cs="Arial" w:eastAsia="Arial" w:hAnsi="Arial"/>
                  <w:sz w:val="18"/>
                  <w:szCs w:val="18"/>
                  <w:color w:val="0000FF"/>
                </w:rPr>
                <w:t>reference to Exhibit 10.8 to the Registrant's Registration Statement on Form S-1/A filed on May 18, 2021.</w:t>
              </w:r>
            </w:hyperlink>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60" w:type="dxa"/>
            <w:vAlign w:val="bottom"/>
          </w:tcPr>
          <w:p>
            <w:pPr>
              <w:ind w:left="20"/>
              <w:spacing w:after="0"/>
              <w:rPr>
                <w:sz w:val="20"/>
                <w:szCs w:val="20"/>
                <w:color w:val="auto"/>
              </w:rPr>
            </w:pPr>
            <w:r>
              <w:rPr>
                <w:rFonts w:ascii="Arial" w:cs="Arial" w:eastAsia="Arial" w:hAnsi="Arial"/>
                <w:sz w:val="18"/>
                <w:szCs w:val="18"/>
                <w:color w:val="auto"/>
              </w:rPr>
              <w:t>10.9#</w:t>
            </w:r>
          </w:p>
        </w:tc>
        <w:tc>
          <w:tcPr>
            <w:tcW w:w="9880" w:type="dxa"/>
            <w:vAlign w:val="bottom"/>
            <w:gridSpan w:val="33"/>
          </w:tcPr>
          <w:p>
            <w:pPr>
              <w:spacing w:after="0"/>
              <w:rPr>
                <w:rFonts w:ascii="Arial" w:cs="Arial" w:eastAsia="Arial" w:hAnsi="Arial"/>
                <w:sz w:val="18"/>
                <w:szCs w:val="18"/>
                <w:color w:val="0000FF"/>
              </w:rPr>
            </w:pPr>
            <w:hyperlink r:id="rId688">
              <w:r>
                <w:rPr>
                  <w:rFonts w:ascii="Arial" w:cs="Arial" w:eastAsia="Arial" w:hAnsi="Arial"/>
                  <w:sz w:val="18"/>
                  <w:szCs w:val="18"/>
                  <w:color w:val="0000FF"/>
                </w:rPr>
                <w:t>Employment Agreement, dated as of May 14, 2021, by and between the Registrant and Michael Ellis, incorporated by</w:t>
              </w:r>
            </w:hyperlink>
          </w:p>
        </w:tc>
      </w:tr>
      <w:tr>
        <w:trPr>
          <w:trHeight w:val="182"/>
        </w:trPr>
        <w:tc>
          <w:tcPr>
            <w:tcW w:w="1360" w:type="dxa"/>
            <w:vAlign w:val="bottom"/>
          </w:tcPr>
          <w:p>
            <w:pPr>
              <w:spacing w:after="0"/>
              <w:rPr>
                <w:sz w:val="15"/>
                <w:szCs w:val="15"/>
                <w:color w:val="auto"/>
              </w:rPr>
            </w:pPr>
          </w:p>
        </w:tc>
        <w:tc>
          <w:tcPr>
            <w:tcW w:w="940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688">
              <w:r>
                <w:rPr>
                  <w:rFonts w:ascii="Arial" w:cs="Arial" w:eastAsia="Arial" w:hAnsi="Arial"/>
                  <w:sz w:val="18"/>
                  <w:szCs w:val="18"/>
                  <w:color w:val="0000FF"/>
                </w:rPr>
                <w:t>reference to Exhibit 10.9 to the Registrant's Registration Statement on Form S-1/A filed on May 18, 2021.</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60" w:type="dxa"/>
            <w:vAlign w:val="bottom"/>
          </w:tcPr>
          <w:p>
            <w:pPr>
              <w:ind w:left="20"/>
              <w:spacing w:after="0"/>
              <w:rPr>
                <w:sz w:val="20"/>
                <w:szCs w:val="20"/>
                <w:color w:val="auto"/>
              </w:rPr>
            </w:pPr>
            <w:r>
              <w:rPr>
                <w:rFonts w:ascii="Arial" w:cs="Arial" w:eastAsia="Arial" w:hAnsi="Arial"/>
                <w:sz w:val="18"/>
                <w:szCs w:val="18"/>
                <w:color w:val="auto"/>
              </w:rPr>
              <w:t>10.10#</w:t>
            </w:r>
          </w:p>
        </w:tc>
        <w:tc>
          <w:tcPr>
            <w:tcW w:w="9880" w:type="dxa"/>
            <w:vAlign w:val="bottom"/>
            <w:gridSpan w:val="33"/>
          </w:tcPr>
          <w:p>
            <w:pPr>
              <w:spacing w:after="0"/>
              <w:rPr>
                <w:rFonts w:ascii="Arial" w:cs="Arial" w:eastAsia="Arial" w:hAnsi="Arial"/>
                <w:sz w:val="18"/>
                <w:szCs w:val="18"/>
                <w:color w:val="0000FF"/>
              </w:rPr>
            </w:pPr>
            <w:hyperlink r:id="rId689">
              <w:r>
                <w:rPr>
                  <w:rFonts w:ascii="Arial" w:cs="Arial" w:eastAsia="Arial" w:hAnsi="Arial"/>
                  <w:sz w:val="18"/>
                  <w:szCs w:val="18"/>
                  <w:color w:val="0000FF"/>
                </w:rPr>
                <w:t>Employment Agreement, dated as of May 14, 2021, by and between the Registrant and Peter Butterfield, incorporated by</w:t>
              </w:r>
            </w:hyperlink>
          </w:p>
        </w:tc>
      </w:tr>
      <w:tr>
        <w:trPr>
          <w:trHeight w:val="182"/>
        </w:trPr>
        <w:tc>
          <w:tcPr>
            <w:tcW w:w="1360" w:type="dxa"/>
            <w:vAlign w:val="bottom"/>
          </w:tcPr>
          <w:p>
            <w:pPr>
              <w:spacing w:after="0"/>
              <w:rPr>
                <w:sz w:val="15"/>
                <w:szCs w:val="15"/>
                <w:color w:val="auto"/>
              </w:rPr>
            </w:pPr>
          </w:p>
        </w:tc>
        <w:tc>
          <w:tcPr>
            <w:tcW w:w="968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689">
              <w:r>
                <w:rPr>
                  <w:rFonts w:ascii="Arial" w:cs="Arial" w:eastAsia="Arial" w:hAnsi="Arial"/>
                  <w:sz w:val="18"/>
                  <w:szCs w:val="18"/>
                  <w:color w:val="0000FF"/>
                </w:rPr>
                <w:t>reference to Exhibit 10.10 to the Registrant's Registration Statement on Form S-1/A filed on May 18, 2021</w:t>
              </w:r>
              <w:r>
                <w:rPr>
                  <w:rFonts w:ascii="Arial" w:cs="Arial" w:eastAsia="Arial" w:hAnsi="Arial"/>
                  <w:sz w:val="18"/>
                  <w:szCs w:val="18"/>
                  <w:color w:val="000000"/>
                </w:rPr>
                <w:t>.</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60" w:type="dxa"/>
            <w:vAlign w:val="bottom"/>
          </w:tcPr>
          <w:p>
            <w:pPr>
              <w:ind w:left="20"/>
              <w:spacing w:after="0"/>
              <w:rPr>
                <w:sz w:val="20"/>
                <w:szCs w:val="20"/>
                <w:color w:val="auto"/>
              </w:rPr>
            </w:pPr>
            <w:r>
              <w:rPr>
                <w:rFonts w:ascii="Arial" w:cs="Arial" w:eastAsia="Arial" w:hAnsi="Arial"/>
                <w:sz w:val="18"/>
                <w:szCs w:val="18"/>
                <w:color w:val="auto"/>
              </w:rPr>
              <w:t>10.11#</w:t>
            </w:r>
          </w:p>
        </w:tc>
        <w:tc>
          <w:tcPr>
            <w:tcW w:w="9880" w:type="dxa"/>
            <w:vAlign w:val="bottom"/>
            <w:gridSpan w:val="33"/>
          </w:tcPr>
          <w:p>
            <w:pPr>
              <w:spacing w:after="0"/>
              <w:rPr>
                <w:rFonts w:ascii="Arial" w:cs="Arial" w:eastAsia="Arial" w:hAnsi="Arial"/>
                <w:sz w:val="18"/>
                <w:szCs w:val="18"/>
                <w:color w:val="0000FF"/>
              </w:rPr>
            </w:pPr>
            <w:hyperlink r:id="rId690">
              <w:r>
                <w:rPr>
                  <w:rFonts w:ascii="Arial" w:cs="Arial" w:eastAsia="Arial" w:hAnsi="Arial"/>
                  <w:sz w:val="18"/>
                  <w:szCs w:val="18"/>
                  <w:color w:val="0000FF"/>
                </w:rPr>
                <w:t>Employment Agreement, dated as of May 14, 2021, by and between the Registrant and David King, incorporated by</w:t>
              </w:r>
            </w:hyperlink>
          </w:p>
        </w:tc>
      </w:tr>
      <w:tr>
        <w:trPr>
          <w:trHeight w:val="182"/>
        </w:trPr>
        <w:tc>
          <w:tcPr>
            <w:tcW w:w="1360" w:type="dxa"/>
            <w:vAlign w:val="bottom"/>
          </w:tcPr>
          <w:p>
            <w:pPr>
              <w:spacing w:after="0"/>
              <w:rPr>
                <w:sz w:val="15"/>
                <w:szCs w:val="15"/>
                <w:color w:val="auto"/>
              </w:rPr>
            </w:pPr>
          </w:p>
        </w:tc>
        <w:tc>
          <w:tcPr>
            <w:tcW w:w="926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690">
              <w:r>
                <w:rPr>
                  <w:rFonts w:ascii="Arial" w:cs="Arial" w:eastAsia="Arial" w:hAnsi="Arial"/>
                  <w:sz w:val="18"/>
                  <w:szCs w:val="18"/>
                  <w:color w:val="0000FF"/>
                </w:rPr>
                <w:t>reference to Exhibit 10.11 to the Registrant's Registration Statement on Form S-1/A filed on May 18, 2021</w:t>
              </w:r>
              <w:r>
                <w:rPr>
                  <w:rFonts w:ascii="Arial" w:cs="Arial" w:eastAsia="Arial" w:hAnsi="Arial"/>
                  <w:sz w:val="18"/>
                  <w:szCs w:val="18"/>
                  <w:color w:val="000000"/>
                </w:rPr>
                <w:t>.</w:t>
              </w:r>
            </w:hyperlink>
          </w:p>
        </w:tc>
        <w:tc>
          <w:tcPr>
            <w:tcW w:w="10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60" w:type="dxa"/>
            <w:vAlign w:val="bottom"/>
          </w:tcPr>
          <w:p>
            <w:pPr>
              <w:ind w:left="20"/>
              <w:spacing w:after="0"/>
              <w:rPr>
                <w:sz w:val="20"/>
                <w:szCs w:val="20"/>
                <w:color w:val="auto"/>
              </w:rPr>
            </w:pPr>
            <w:r>
              <w:rPr>
                <w:rFonts w:ascii="Arial" w:cs="Arial" w:eastAsia="Arial" w:hAnsi="Arial"/>
                <w:sz w:val="18"/>
                <w:szCs w:val="18"/>
                <w:color w:val="auto"/>
              </w:rPr>
              <w:t>10.12#</w:t>
            </w:r>
          </w:p>
        </w:tc>
        <w:tc>
          <w:tcPr>
            <w:tcW w:w="9880" w:type="dxa"/>
            <w:vAlign w:val="bottom"/>
            <w:gridSpan w:val="33"/>
          </w:tcPr>
          <w:p>
            <w:pPr>
              <w:spacing w:after="0"/>
              <w:rPr>
                <w:rFonts w:ascii="Arial" w:cs="Arial" w:eastAsia="Arial" w:hAnsi="Arial"/>
                <w:sz w:val="18"/>
                <w:szCs w:val="18"/>
                <w:color w:val="0000FF"/>
              </w:rPr>
            </w:pPr>
            <w:hyperlink r:id="rId691">
              <w:r>
                <w:rPr>
                  <w:rFonts w:ascii="Arial" w:cs="Arial" w:eastAsia="Arial" w:hAnsi="Arial"/>
                  <w:sz w:val="18"/>
                  <w:szCs w:val="18"/>
                  <w:color w:val="0000FF"/>
                </w:rPr>
                <w:t>Employment Agreement, dated as of May 14, 2021, by and between the Registrant and Sharon Butler, incorporated by</w:t>
              </w:r>
            </w:hyperlink>
          </w:p>
        </w:tc>
      </w:tr>
      <w:tr>
        <w:trPr>
          <w:trHeight w:val="182"/>
        </w:trPr>
        <w:tc>
          <w:tcPr>
            <w:tcW w:w="1360" w:type="dxa"/>
            <w:vAlign w:val="bottom"/>
          </w:tcPr>
          <w:p>
            <w:pPr>
              <w:spacing w:after="0"/>
              <w:rPr>
                <w:sz w:val="15"/>
                <w:szCs w:val="15"/>
                <w:color w:val="auto"/>
              </w:rPr>
            </w:pPr>
          </w:p>
        </w:tc>
        <w:tc>
          <w:tcPr>
            <w:tcW w:w="948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691">
              <w:r>
                <w:rPr>
                  <w:rFonts w:ascii="Arial" w:cs="Arial" w:eastAsia="Arial" w:hAnsi="Arial"/>
                  <w:sz w:val="18"/>
                  <w:szCs w:val="18"/>
                  <w:color w:val="0000FF"/>
                </w:rPr>
                <w:t>reference to Exhibit 10.12 to the Registrant's Registration Statement on Form S-1/A filed on May 18,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60" w:type="dxa"/>
            <w:vAlign w:val="bottom"/>
          </w:tcPr>
          <w:p>
            <w:pPr>
              <w:ind w:left="20"/>
              <w:spacing w:after="0"/>
              <w:rPr>
                <w:sz w:val="20"/>
                <w:szCs w:val="20"/>
                <w:color w:val="auto"/>
              </w:rPr>
            </w:pPr>
            <w:r>
              <w:rPr>
                <w:rFonts w:ascii="Arial" w:cs="Arial" w:eastAsia="Arial" w:hAnsi="Arial"/>
                <w:sz w:val="18"/>
                <w:szCs w:val="18"/>
                <w:color w:val="auto"/>
              </w:rPr>
              <w:t>10.13#</w:t>
            </w:r>
          </w:p>
        </w:tc>
        <w:tc>
          <w:tcPr>
            <w:tcW w:w="9880" w:type="dxa"/>
            <w:vAlign w:val="bottom"/>
            <w:gridSpan w:val="33"/>
          </w:tcPr>
          <w:p>
            <w:pPr>
              <w:spacing w:after="0"/>
              <w:rPr>
                <w:rFonts w:ascii="Arial" w:cs="Arial" w:eastAsia="Arial" w:hAnsi="Arial"/>
                <w:sz w:val="18"/>
                <w:szCs w:val="18"/>
                <w:color w:val="0000FF"/>
              </w:rPr>
            </w:pPr>
            <w:hyperlink r:id="rId692">
              <w:r>
                <w:rPr>
                  <w:rFonts w:ascii="Arial" w:cs="Arial" w:eastAsia="Arial" w:hAnsi="Arial"/>
                  <w:sz w:val="18"/>
                  <w:szCs w:val="18"/>
                  <w:color w:val="0000FF"/>
                </w:rPr>
                <w:t>Employment Agreement, dated as of May 14, 2021, by and between the Registrant and John Talaga, incorporated by</w:t>
              </w:r>
            </w:hyperlink>
          </w:p>
        </w:tc>
      </w:tr>
      <w:tr>
        <w:trPr>
          <w:trHeight w:val="182"/>
        </w:trPr>
        <w:tc>
          <w:tcPr>
            <w:tcW w:w="1360" w:type="dxa"/>
            <w:vAlign w:val="bottom"/>
          </w:tcPr>
          <w:p>
            <w:pPr>
              <w:spacing w:after="0"/>
              <w:rPr>
                <w:sz w:val="15"/>
                <w:szCs w:val="15"/>
                <w:color w:val="auto"/>
              </w:rPr>
            </w:pPr>
          </w:p>
        </w:tc>
        <w:tc>
          <w:tcPr>
            <w:tcW w:w="936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692">
              <w:r>
                <w:rPr>
                  <w:rFonts w:ascii="Arial" w:cs="Arial" w:eastAsia="Arial" w:hAnsi="Arial"/>
                  <w:sz w:val="18"/>
                  <w:szCs w:val="18"/>
                  <w:color w:val="0000FF"/>
                </w:rPr>
                <w:t>reference to Exhibit 10.13 to the Registrant's Registration Statement on Form S-1/A filed on May 18, 2021.</w:t>
              </w:r>
            </w:hyperlink>
          </w:p>
        </w:tc>
        <w:tc>
          <w:tcPr>
            <w:tcW w:w="6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60" w:type="dxa"/>
            <w:vAlign w:val="bottom"/>
          </w:tcPr>
          <w:p>
            <w:pPr>
              <w:ind w:left="20"/>
              <w:spacing w:after="0"/>
              <w:rPr>
                <w:sz w:val="20"/>
                <w:szCs w:val="20"/>
                <w:color w:val="auto"/>
              </w:rPr>
            </w:pPr>
            <w:r>
              <w:rPr>
                <w:rFonts w:ascii="Arial" w:cs="Arial" w:eastAsia="Arial" w:hAnsi="Arial"/>
                <w:sz w:val="18"/>
                <w:szCs w:val="18"/>
                <w:color w:val="auto"/>
              </w:rPr>
              <w:t>10.14</w:t>
            </w:r>
          </w:p>
        </w:tc>
        <w:tc>
          <w:tcPr>
            <w:tcW w:w="9880" w:type="dxa"/>
            <w:vAlign w:val="bottom"/>
            <w:gridSpan w:val="33"/>
          </w:tcPr>
          <w:p>
            <w:pPr>
              <w:spacing w:after="0"/>
              <w:rPr>
                <w:rFonts w:ascii="Arial" w:cs="Arial" w:eastAsia="Arial" w:hAnsi="Arial"/>
                <w:sz w:val="18"/>
                <w:szCs w:val="18"/>
                <w:color w:val="0000FF"/>
              </w:rPr>
            </w:pPr>
            <w:hyperlink r:id="rId693">
              <w:r>
                <w:rPr>
                  <w:rFonts w:ascii="Arial" w:cs="Arial" w:eastAsia="Arial" w:hAnsi="Arial"/>
                  <w:sz w:val="18"/>
                  <w:szCs w:val="18"/>
                  <w:color w:val="0000FF"/>
                </w:rPr>
                <w:t>Office Lease, dated April 8, 2015, as amended by that certain First Amendment to Office Lease dated April 7, 2016, that</w:t>
              </w:r>
            </w:hyperlink>
          </w:p>
        </w:tc>
      </w:tr>
      <w:tr>
        <w:trPr>
          <w:trHeight w:val="182"/>
        </w:trPr>
        <w:tc>
          <w:tcPr>
            <w:tcW w:w="1360" w:type="dxa"/>
            <w:vAlign w:val="bottom"/>
          </w:tcPr>
          <w:p>
            <w:pPr>
              <w:spacing w:after="0"/>
              <w:rPr>
                <w:sz w:val="15"/>
                <w:szCs w:val="15"/>
                <w:color w:val="auto"/>
              </w:rPr>
            </w:pPr>
          </w:p>
        </w:tc>
        <w:tc>
          <w:tcPr>
            <w:tcW w:w="95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693">
              <w:r>
                <w:rPr>
                  <w:rFonts w:ascii="Arial" w:cs="Arial" w:eastAsia="Arial" w:hAnsi="Arial"/>
                  <w:sz w:val="18"/>
                  <w:szCs w:val="18"/>
                  <w:color w:val="0000FF"/>
                </w:rPr>
                <w:t>certain Second Amendment to Office Lease dated October 23, 2018 and that certain Third Amendment to Office Lease</w:t>
              </w:r>
            </w:hyperlink>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360" w:type="dxa"/>
            <w:vAlign w:val="bottom"/>
          </w:tcPr>
          <w:p>
            <w:pPr>
              <w:spacing w:after="0"/>
              <w:rPr>
                <w:sz w:val="15"/>
                <w:szCs w:val="15"/>
                <w:color w:val="auto"/>
              </w:rPr>
            </w:pPr>
          </w:p>
        </w:tc>
        <w:tc>
          <w:tcPr>
            <w:tcW w:w="9500" w:type="dxa"/>
            <w:vAlign w:val="bottom"/>
            <w:tcBorders>
              <w:top w:val="single" w:sz="8" w:color="0000FF"/>
            </w:tcBorders>
            <w:gridSpan w:val="19"/>
          </w:tcPr>
          <w:p>
            <w:pPr>
              <w:spacing w:after="0" w:line="182" w:lineRule="exact"/>
              <w:rPr>
                <w:rFonts w:ascii="Arial" w:cs="Arial" w:eastAsia="Arial" w:hAnsi="Arial"/>
                <w:sz w:val="18"/>
                <w:szCs w:val="18"/>
                <w:color w:val="0000FF"/>
                <w:w w:val="99"/>
              </w:rPr>
            </w:pPr>
            <w:hyperlink r:id="rId693">
              <w:r>
                <w:rPr>
                  <w:rFonts w:ascii="Arial" w:cs="Arial" w:eastAsia="Arial" w:hAnsi="Arial"/>
                  <w:sz w:val="18"/>
                  <w:szCs w:val="18"/>
                  <w:color w:val="0000FF"/>
                  <w:w w:val="99"/>
                </w:rPr>
                <w:t>dated May 1, 2023, by and between the Registrant and NS 141 Tremont LLC, incorporated by reference to Exhibit 10.14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11"/>
          </w:tcPr>
          <w:p>
            <w:pPr>
              <w:ind w:left="60"/>
              <w:spacing w:after="0" w:line="182" w:lineRule="exact"/>
              <w:rPr>
                <w:rFonts w:ascii="Arial" w:cs="Arial" w:eastAsia="Arial" w:hAnsi="Arial"/>
                <w:sz w:val="18"/>
                <w:szCs w:val="18"/>
                <w:color w:val="0000FF"/>
              </w:rPr>
            </w:pPr>
            <w:hyperlink r:id="rId693">
              <w:r>
                <w:rPr>
                  <w:rFonts w:ascii="Arial" w:cs="Arial" w:eastAsia="Arial" w:hAnsi="Arial"/>
                  <w:sz w:val="18"/>
                  <w:szCs w:val="18"/>
                  <w:color w:val="0000FF"/>
                </w:rPr>
                <w:t>to</w:t>
              </w:r>
            </w:hyperlink>
          </w:p>
        </w:tc>
      </w:tr>
      <w:tr>
        <w:trPr>
          <w:trHeight w:val="182"/>
        </w:trPr>
        <w:tc>
          <w:tcPr>
            <w:tcW w:w="1360" w:type="dxa"/>
            <w:vAlign w:val="bottom"/>
          </w:tcPr>
          <w:p>
            <w:pPr>
              <w:spacing w:after="0"/>
              <w:rPr>
                <w:sz w:val="15"/>
                <w:szCs w:val="15"/>
                <w:color w:val="auto"/>
              </w:rPr>
            </w:pPr>
          </w:p>
        </w:tc>
        <w:tc>
          <w:tcPr>
            <w:tcW w:w="982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693">
              <w:r>
                <w:rPr>
                  <w:rFonts w:ascii="Arial" w:cs="Arial" w:eastAsia="Arial" w:hAnsi="Arial"/>
                  <w:sz w:val="18"/>
                  <w:szCs w:val="18"/>
                  <w:color w:val="0000FF"/>
                </w:rPr>
                <w:t>the Registrant's Quarterly Report on Form 10-Q for the period ended June 30, 2023 filed on August 8,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60" w:type="dxa"/>
            <w:vAlign w:val="bottom"/>
          </w:tcPr>
          <w:p>
            <w:pPr>
              <w:ind w:left="20"/>
              <w:spacing w:after="0"/>
              <w:rPr>
                <w:sz w:val="20"/>
                <w:szCs w:val="20"/>
                <w:color w:val="auto"/>
              </w:rPr>
            </w:pPr>
            <w:r>
              <w:rPr>
                <w:rFonts w:ascii="Arial" w:cs="Arial" w:eastAsia="Arial" w:hAnsi="Arial"/>
                <w:sz w:val="18"/>
                <w:szCs w:val="18"/>
                <w:color w:val="auto"/>
              </w:rPr>
              <w:t>10.15</w:t>
            </w:r>
          </w:p>
        </w:tc>
        <w:tc>
          <w:tcPr>
            <w:tcW w:w="9880" w:type="dxa"/>
            <w:vAlign w:val="bottom"/>
            <w:gridSpan w:val="33"/>
          </w:tcPr>
          <w:p>
            <w:pPr>
              <w:spacing w:after="0"/>
              <w:rPr>
                <w:rFonts w:ascii="Arial" w:cs="Arial" w:eastAsia="Arial" w:hAnsi="Arial"/>
                <w:sz w:val="18"/>
                <w:szCs w:val="18"/>
                <w:color w:val="0000FF"/>
              </w:rPr>
            </w:pPr>
            <w:hyperlink r:id="rId694">
              <w:r>
                <w:rPr>
                  <w:rFonts w:ascii="Arial" w:cs="Arial" w:eastAsia="Arial" w:hAnsi="Arial"/>
                  <w:sz w:val="18"/>
                  <w:szCs w:val="18"/>
                  <w:color w:val="0000FF"/>
                </w:rPr>
                <w:t>Credit Agreement, dated July 29, 2021, as amended by the First Amendment to Credit Agreement dated June 23, 2023, by</w:t>
              </w:r>
            </w:hyperlink>
          </w:p>
        </w:tc>
      </w:tr>
      <w:tr>
        <w:trPr>
          <w:trHeight w:val="182"/>
        </w:trPr>
        <w:tc>
          <w:tcPr>
            <w:tcW w:w="1360" w:type="dxa"/>
            <w:vAlign w:val="bottom"/>
          </w:tcPr>
          <w:p>
            <w:pPr>
              <w:spacing w:after="0"/>
              <w:rPr>
                <w:sz w:val="15"/>
                <w:szCs w:val="15"/>
                <w:color w:val="auto"/>
              </w:rPr>
            </w:pPr>
          </w:p>
        </w:tc>
        <w:tc>
          <w:tcPr>
            <w:tcW w:w="984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694">
              <w:r>
                <w:rPr>
                  <w:rFonts w:ascii="Arial" w:cs="Arial" w:eastAsia="Arial" w:hAnsi="Arial"/>
                  <w:sz w:val="18"/>
                  <w:szCs w:val="18"/>
                  <w:color w:val="0000FF"/>
                </w:rPr>
                <w:t>and among Flywire Corporation, the other Loan Parties party thereto from time to time, the Lenders party thereto from time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360" w:type="dxa"/>
            <w:vAlign w:val="bottom"/>
          </w:tcPr>
          <w:p>
            <w:pPr>
              <w:spacing w:after="0"/>
              <w:rPr>
                <w:sz w:val="15"/>
                <w:szCs w:val="15"/>
                <w:color w:val="auto"/>
              </w:rPr>
            </w:pPr>
          </w:p>
        </w:tc>
        <w:tc>
          <w:tcPr>
            <w:tcW w:w="978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694">
              <w:r>
                <w:rPr>
                  <w:rFonts w:ascii="Arial" w:cs="Arial" w:eastAsia="Arial" w:hAnsi="Arial"/>
                  <w:sz w:val="18"/>
                  <w:szCs w:val="18"/>
                  <w:color w:val="0000FF"/>
                </w:rPr>
                <w:t>to time, the Issuing Banks party thereto from time to time, and Citibank, incorporated by reference to Exhibit 10.1 to the</w:t>
              </w:r>
            </w:hyperlink>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360" w:type="dxa"/>
            <w:vAlign w:val="bottom"/>
          </w:tcPr>
          <w:p>
            <w:pPr>
              <w:spacing w:after="0"/>
              <w:rPr>
                <w:sz w:val="15"/>
                <w:szCs w:val="15"/>
                <w:color w:val="auto"/>
              </w:rPr>
            </w:pPr>
          </w:p>
        </w:tc>
        <w:tc>
          <w:tcPr>
            <w:tcW w:w="952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694">
              <w:r>
                <w:rPr>
                  <w:rFonts w:ascii="Arial" w:cs="Arial" w:eastAsia="Arial" w:hAnsi="Arial"/>
                  <w:sz w:val="18"/>
                  <w:szCs w:val="18"/>
                  <w:color w:val="0000FF"/>
                </w:rPr>
                <w:t>Registrant’s Quarterly Report on Form 10-Q for the period ended June 30, 2023 filed on August 8,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gridSpan w:val="9"/>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60" w:type="dxa"/>
            <w:vAlign w:val="bottom"/>
          </w:tcPr>
          <w:p>
            <w:pPr>
              <w:ind w:left="20"/>
              <w:spacing w:after="0"/>
              <w:rPr>
                <w:sz w:val="20"/>
                <w:szCs w:val="20"/>
                <w:color w:val="auto"/>
              </w:rPr>
            </w:pPr>
            <w:r>
              <w:rPr>
                <w:rFonts w:ascii="Arial" w:cs="Arial" w:eastAsia="Arial" w:hAnsi="Arial"/>
                <w:sz w:val="18"/>
                <w:szCs w:val="18"/>
                <w:color w:val="auto"/>
              </w:rPr>
              <w:t>10.16</w:t>
            </w:r>
          </w:p>
        </w:tc>
        <w:tc>
          <w:tcPr>
            <w:tcW w:w="9880" w:type="dxa"/>
            <w:vAlign w:val="bottom"/>
            <w:gridSpan w:val="33"/>
          </w:tcPr>
          <w:p>
            <w:pPr>
              <w:spacing w:after="0"/>
              <w:rPr>
                <w:rFonts w:ascii="Arial" w:cs="Arial" w:eastAsia="Arial" w:hAnsi="Arial"/>
                <w:sz w:val="18"/>
                <w:szCs w:val="18"/>
                <w:color w:val="0000FF"/>
              </w:rPr>
            </w:pPr>
            <w:hyperlink r:id="rId695">
              <w:r>
                <w:rPr>
                  <w:rFonts w:ascii="Arial" w:cs="Arial" w:eastAsia="Arial" w:hAnsi="Arial"/>
                  <w:sz w:val="18"/>
                  <w:szCs w:val="18"/>
                  <w:color w:val="0000FF"/>
                </w:rPr>
                <w:t>Pledge Agreement, dated as of July 29, 2021, by and among Flywire Corporation, the Grantors and the Administrative</w:t>
              </w:r>
            </w:hyperlink>
          </w:p>
        </w:tc>
      </w:tr>
      <w:tr>
        <w:trPr>
          <w:trHeight w:val="182"/>
        </w:trPr>
        <w:tc>
          <w:tcPr>
            <w:tcW w:w="1360" w:type="dxa"/>
            <w:vAlign w:val="bottom"/>
          </w:tcPr>
          <w:p>
            <w:pPr>
              <w:spacing w:after="0"/>
              <w:rPr>
                <w:sz w:val="15"/>
                <w:szCs w:val="15"/>
                <w:color w:val="auto"/>
              </w:rPr>
            </w:pPr>
          </w:p>
        </w:tc>
        <w:tc>
          <w:tcPr>
            <w:tcW w:w="942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8"/>
              </w:rPr>
            </w:pPr>
            <w:hyperlink r:id="rId695">
              <w:r>
                <w:rPr>
                  <w:rFonts w:ascii="Arial" w:cs="Arial" w:eastAsia="Arial" w:hAnsi="Arial"/>
                  <w:sz w:val="18"/>
                  <w:szCs w:val="18"/>
                  <w:color w:val="0000FF"/>
                  <w:w w:val="98"/>
                </w:rPr>
                <w:t>Agent, incorporated by reference to Exhibit 10.2 to the Registrant’s Current Report on Form 8-K filed on August 4, 2021.</w:t>
              </w:r>
            </w:hyperlink>
          </w:p>
        </w:tc>
        <w:tc>
          <w:tcPr>
            <w:tcW w:w="120" w:type="dxa"/>
            <w:vAlign w:val="bottom"/>
            <w:tcBorders>
              <w:bottom w:val="single" w:sz="8" w:color="0000FF"/>
            </w:tcBorders>
            <w:gridSpan w:val="4"/>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71"/>
        </w:trPr>
        <w:tc>
          <w:tcPr>
            <w:tcW w:w="1360" w:type="dxa"/>
            <w:vAlign w:val="bottom"/>
          </w:tcPr>
          <w:p>
            <w:pPr>
              <w:ind w:left="20"/>
              <w:spacing w:after="0"/>
              <w:rPr>
                <w:sz w:val="20"/>
                <w:szCs w:val="20"/>
                <w:color w:val="auto"/>
              </w:rPr>
            </w:pPr>
            <w:r>
              <w:rPr>
                <w:rFonts w:ascii="Arial" w:cs="Arial" w:eastAsia="Arial" w:hAnsi="Arial"/>
                <w:sz w:val="18"/>
                <w:szCs w:val="18"/>
                <w:color w:val="auto"/>
              </w:rPr>
              <w:t>10.17#</w:t>
            </w:r>
          </w:p>
        </w:tc>
        <w:tc>
          <w:tcPr>
            <w:tcW w:w="9880" w:type="dxa"/>
            <w:vAlign w:val="bottom"/>
            <w:gridSpan w:val="33"/>
          </w:tcPr>
          <w:p>
            <w:pPr>
              <w:spacing w:after="0"/>
              <w:rPr>
                <w:rFonts w:ascii="Arial" w:cs="Arial" w:eastAsia="Arial" w:hAnsi="Arial"/>
                <w:sz w:val="18"/>
                <w:szCs w:val="18"/>
                <w:color w:val="0000FF"/>
                <w:w w:val="99"/>
              </w:rPr>
            </w:pPr>
            <w:hyperlink r:id="rId696">
              <w:r>
                <w:rPr>
                  <w:rFonts w:ascii="Arial" w:cs="Arial" w:eastAsia="Arial" w:hAnsi="Arial"/>
                  <w:sz w:val="18"/>
                  <w:szCs w:val="18"/>
                  <w:color w:val="0000FF"/>
                  <w:w w:val="99"/>
                </w:rPr>
                <w:t>Management Cash Incentive Plan, incorporated by reference to Exhibit 10.17 to the Registrant's Annual Report on Form 10-</w:t>
              </w:r>
            </w:hyperlink>
          </w:p>
        </w:tc>
      </w:tr>
      <w:tr>
        <w:trPr>
          <w:trHeight w:val="182"/>
        </w:trPr>
        <w:tc>
          <w:tcPr>
            <w:tcW w:w="1360" w:type="dxa"/>
            <w:vAlign w:val="bottom"/>
          </w:tcPr>
          <w:p>
            <w:pPr>
              <w:spacing w:after="0"/>
              <w:rPr>
                <w:sz w:val="15"/>
                <w:szCs w:val="15"/>
                <w:color w:val="auto"/>
              </w:rPr>
            </w:pPr>
          </w:p>
        </w:tc>
        <w:tc>
          <w:tcPr>
            <w:tcW w:w="986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696">
              <w:r>
                <w:rPr>
                  <w:rFonts w:ascii="Arial" w:cs="Arial" w:eastAsia="Arial" w:hAnsi="Arial"/>
                  <w:sz w:val="18"/>
                  <w:szCs w:val="18"/>
                  <w:color w:val="0000FF"/>
                </w:rPr>
                <w:t>K for the year ended December 31, 2022 filed on March 10, 2023.</w:t>
              </w:r>
            </w:hyperlink>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60" w:type="dxa"/>
            <w:vAlign w:val="bottom"/>
            <w:gridSpan w:val="1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71"/>
        </w:trPr>
        <w:tc>
          <w:tcPr>
            <w:tcW w:w="1360" w:type="dxa"/>
            <w:vAlign w:val="bottom"/>
          </w:tcPr>
          <w:p>
            <w:pPr>
              <w:ind w:left="20"/>
              <w:spacing w:after="0"/>
              <w:rPr>
                <w:sz w:val="20"/>
                <w:szCs w:val="20"/>
                <w:color w:val="auto"/>
              </w:rPr>
            </w:pPr>
            <w:r>
              <w:rPr>
                <w:rFonts w:ascii="Arial" w:cs="Arial" w:eastAsia="Arial" w:hAnsi="Arial"/>
                <w:sz w:val="18"/>
                <w:szCs w:val="18"/>
                <w:color w:val="auto"/>
              </w:rPr>
              <w:t>10.18#</w:t>
            </w:r>
          </w:p>
        </w:tc>
        <w:tc>
          <w:tcPr>
            <w:tcW w:w="9880" w:type="dxa"/>
            <w:vAlign w:val="bottom"/>
            <w:gridSpan w:val="33"/>
          </w:tcPr>
          <w:p>
            <w:pPr>
              <w:spacing w:after="0"/>
              <w:rPr>
                <w:rFonts w:ascii="Arial" w:cs="Arial" w:eastAsia="Arial" w:hAnsi="Arial"/>
                <w:sz w:val="18"/>
                <w:szCs w:val="18"/>
                <w:color w:val="0000FF"/>
              </w:rPr>
            </w:pPr>
            <w:hyperlink r:id="rId697">
              <w:r>
                <w:rPr>
                  <w:rFonts w:ascii="Arial" w:cs="Arial" w:eastAsia="Arial" w:hAnsi="Arial"/>
                  <w:sz w:val="18"/>
                  <w:szCs w:val="18"/>
                  <w:color w:val="0000FF"/>
                </w:rPr>
                <w:t>Transition Agreement by and between Flywire Corporation and Michael Ellis, dated as of November 6, 2023, incorporated</w:t>
              </w:r>
            </w:hyperlink>
          </w:p>
        </w:tc>
      </w:tr>
      <w:tr>
        <w:trPr>
          <w:trHeight w:val="182"/>
        </w:trPr>
        <w:tc>
          <w:tcPr>
            <w:tcW w:w="1360" w:type="dxa"/>
            <w:vAlign w:val="bottom"/>
          </w:tcPr>
          <w:p>
            <w:pPr>
              <w:spacing w:after="0"/>
              <w:rPr>
                <w:sz w:val="15"/>
                <w:szCs w:val="15"/>
                <w:color w:val="auto"/>
              </w:rPr>
            </w:pPr>
          </w:p>
        </w:tc>
        <w:tc>
          <w:tcPr>
            <w:tcW w:w="972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697">
              <w:r>
                <w:rPr>
                  <w:rFonts w:ascii="Arial" w:cs="Arial" w:eastAsia="Arial" w:hAnsi="Arial"/>
                  <w:sz w:val="18"/>
                  <w:szCs w:val="18"/>
                  <w:color w:val="0000FF"/>
                </w:rPr>
                <w:t>by reference to Exhibit 10.1 to the Registrant’s Quarterly Report on Form 10-Q for the period ended September 30, 2023</w:t>
              </w:r>
            </w:hyperlink>
          </w:p>
        </w:tc>
        <w:tc>
          <w:tcPr>
            <w:tcW w:w="20" w:type="dxa"/>
            <w:vAlign w:val="bottom"/>
          </w:tcPr>
          <w:p>
            <w:pPr>
              <w:spacing w:after="0"/>
              <w:rPr>
                <w:sz w:val="15"/>
                <w:szCs w:val="15"/>
                <w:color w:val="auto"/>
              </w:rPr>
            </w:pPr>
          </w:p>
        </w:tc>
        <w:tc>
          <w:tcPr>
            <w:tcW w:w="140" w:type="dxa"/>
            <w:vAlign w:val="bottom"/>
            <w:gridSpan w:val="6"/>
          </w:tcPr>
          <w:p>
            <w:pPr>
              <w:spacing w:after="0"/>
              <w:rPr>
                <w:sz w:val="15"/>
                <w:szCs w:val="15"/>
                <w:color w:val="auto"/>
              </w:rPr>
            </w:pPr>
          </w:p>
        </w:tc>
      </w:tr>
      <w:tr>
        <w:trPr>
          <w:trHeight w:val="182"/>
        </w:trPr>
        <w:tc>
          <w:tcPr>
            <w:tcW w:w="1360" w:type="dxa"/>
            <w:vAlign w:val="bottom"/>
          </w:tcPr>
          <w:p>
            <w:pPr>
              <w:spacing w:after="0"/>
              <w:rPr>
                <w:sz w:val="15"/>
                <w:szCs w:val="15"/>
                <w:color w:val="auto"/>
              </w:rPr>
            </w:pPr>
          </w:p>
        </w:tc>
        <w:tc>
          <w:tcPr>
            <w:tcW w:w="962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697">
              <w:r>
                <w:rPr>
                  <w:rFonts w:ascii="Arial" w:cs="Arial" w:eastAsia="Arial" w:hAnsi="Arial"/>
                  <w:sz w:val="18"/>
                  <w:szCs w:val="18"/>
                  <w:color w:val="0000FF"/>
                </w:rPr>
                <w:t>filed on November 7, 2023.</w:t>
              </w:r>
            </w:hyperlink>
          </w:p>
        </w:tc>
        <w:tc>
          <w:tcPr>
            <w:tcW w:w="120" w:type="dxa"/>
            <w:vAlign w:val="bottom"/>
            <w:gridSpan w:val="3"/>
          </w:tcPr>
          <w:p>
            <w:pPr>
              <w:spacing w:after="0"/>
              <w:rPr>
                <w:sz w:val="15"/>
                <w:szCs w:val="15"/>
                <w:color w:val="auto"/>
              </w:rPr>
            </w:pPr>
          </w:p>
        </w:tc>
        <w:tc>
          <w:tcPr>
            <w:tcW w:w="140" w:type="dxa"/>
            <w:vAlign w:val="bottom"/>
            <w:gridSpan w:val="6"/>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1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680" w:type="dxa"/>
            <w:vAlign w:val="bottom"/>
            <w:gridSpan w:val="20"/>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71"/>
        </w:trPr>
        <w:tc>
          <w:tcPr>
            <w:tcW w:w="1360" w:type="dxa"/>
            <w:vAlign w:val="bottom"/>
          </w:tcPr>
          <w:p>
            <w:pPr>
              <w:ind w:left="20"/>
              <w:spacing w:after="0"/>
              <w:rPr>
                <w:sz w:val="20"/>
                <w:szCs w:val="20"/>
                <w:color w:val="auto"/>
              </w:rPr>
            </w:pPr>
            <w:r>
              <w:rPr>
                <w:rFonts w:ascii="Arial" w:cs="Arial" w:eastAsia="Arial" w:hAnsi="Arial"/>
                <w:sz w:val="18"/>
                <w:szCs w:val="18"/>
                <w:color w:val="auto"/>
              </w:rPr>
              <w:t>10.19*</w:t>
            </w:r>
          </w:p>
        </w:tc>
        <w:tc>
          <w:tcPr>
            <w:tcW w:w="9880" w:type="dxa"/>
            <w:vAlign w:val="bottom"/>
            <w:gridSpan w:val="33"/>
          </w:tcPr>
          <w:p>
            <w:pPr>
              <w:spacing w:after="0"/>
              <w:rPr>
                <w:sz w:val="20"/>
                <w:szCs w:val="20"/>
                <w:color w:val="auto"/>
              </w:rPr>
            </w:pPr>
            <w:r>
              <w:rPr>
                <w:rFonts w:ascii="Arial" w:cs="Arial" w:eastAsia="Arial" w:hAnsi="Arial"/>
                <w:sz w:val="18"/>
                <w:szCs w:val="18"/>
                <w:color w:val="0000FF"/>
              </w:rPr>
              <w:t>Amendment No. 1 to the Transition Agreement dated November 6, 2023 by and between Flywire Corporation and Michael</w:t>
            </w:r>
          </w:p>
        </w:tc>
      </w:tr>
      <w:tr>
        <w:trPr>
          <w:trHeight w:val="182"/>
        </w:trPr>
        <w:tc>
          <w:tcPr>
            <w:tcW w:w="1360" w:type="dxa"/>
            <w:vAlign w:val="bottom"/>
          </w:tcPr>
          <w:p>
            <w:pPr>
              <w:spacing w:after="0"/>
              <w:rPr>
                <w:sz w:val="15"/>
                <w:szCs w:val="15"/>
                <w:color w:val="auto"/>
              </w:rPr>
            </w:pPr>
          </w:p>
        </w:tc>
        <w:tc>
          <w:tcPr>
            <w:tcW w:w="290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Ellis, dated as of February 23, 2024.</w:t>
            </w:r>
          </w:p>
        </w:tc>
        <w:tc>
          <w:tcPr>
            <w:tcW w:w="20" w:type="dxa"/>
            <w:vAlign w:val="bottom"/>
            <w:tcBorders>
              <w:top w:val="single" w:sz="8" w:color="0000FF"/>
              <w:bottom w:val="single" w:sz="8" w:color="0000EE"/>
            </w:tcBorders>
          </w:tcPr>
          <w:p>
            <w:pPr>
              <w:spacing w:after="0"/>
              <w:rPr>
                <w:sz w:val="15"/>
                <w:szCs w:val="15"/>
                <w:color w:val="auto"/>
              </w:rPr>
            </w:pPr>
          </w:p>
        </w:tc>
        <w:tc>
          <w:tcPr>
            <w:tcW w:w="6820" w:type="dxa"/>
            <w:vAlign w:val="bottom"/>
            <w:tcBorders>
              <w:top w:val="single" w:sz="8" w:color="0000FF"/>
            </w:tcBorders>
            <w:gridSpan w:val="24"/>
          </w:tcPr>
          <w:p>
            <w:pPr>
              <w:spacing w:after="0"/>
              <w:rPr>
                <w:sz w:val="15"/>
                <w:szCs w:val="15"/>
                <w:color w:val="auto"/>
              </w:rPr>
            </w:pPr>
          </w:p>
        </w:tc>
        <w:tc>
          <w:tcPr>
            <w:tcW w:w="140" w:type="dxa"/>
            <w:vAlign w:val="bottom"/>
            <w:gridSpan w:val="6"/>
          </w:tcPr>
          <w:p>
            <w:pPr>
              <w:spacing w:after="0"/>
              <w:rPr>
                <w:sz w:val="15"/>
                <w:szCs w:val="15"/>
                <w:color w:val="auto"/>
              </w:rPr>
            </w:pPr>
          </w:p>
        </w:tc>
      </w:tr>
      <w:tr>
        <w:trPr>
          <w:trHeight w:val="371"/>
        </w:trPr>
        <w:tc>
          <w:tcPr>
            <w:tcW w:w="1360" w:type="dxa"/>
            <w:vAlign w:val="bottom"/>
          </w:tcPr>
          <w:p>
            <w:pPr>
              <w:ind w:left="20"/>
              <w:spacing w:after="0"/>
              <w:rPr>
                <w:sz w:val="20"/>
                <w:szCs w:val="20"/>
                <w:color w:val="auto"/>
              </w:rPr>
            </w:pPr>
            <w:r>
              <w:rPr>
                <w:rFonts w:ascii="Arial" w:cs="Arial" w:eastAsia="Arial" w:hAnsi="Arial"/>
                <w:sz w:val="18"/>
                <w:szCs w:val="18"/>
                <w:color w:val="auto"/>
              </w:rPr>
              <w:t>21.1*</w:t>
            </w:r>
          </w:p>
        </w:tc>
        <w:tc>
          <w:tcPr>
            <w:tcW w:w="29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List of Subsidiaries of the Registrant.</w:t>
            </w:r>
          </w:p>
        </w:tc>
        <w:tc>
          <w:tcPr>
            <w:tcW w:w="20" w:type="dxa"/>
            <w:vAlign w:val="bottom"/>
            <w:tcBorders>
              <w:bottom w:val="single" w:sz="8" w:color="0000EE"/>
            </w:tcBorders>
          </w:tcPr>
          <w:p>
            <w:pPr>
              <w:spacing w:after="0"/>
              <w:rPr>
                <w:sz w:val="24"/>
                <w:szCs w:val="24"/>
                <w:color w:val="auto"/>
              </w:rPr>
            </w:pPr>
          </w:p>
        </w:tc>
        <w:tc>
          <w:tcPr>
            <w:tcW w:w="6920" w:type="dxa"/>
            <w:vAlign w:val="bottom"/>
            <w:gridSpan w:val="28"/>
          </w:tcPr>
          <w:p>
            <w:pPr>
              <w:spacing w:after="0"/>
              <w:rPr>
                <w:sz w:val="24"/>
                <w:szCs w:val="24"/>
                <w:color w:val="auto"/>
              </w:rPr>
            </w:pPr>
          </w:p>
        </w:tc>
      </w:tr>
      <w:tr>
        <w:trPr>
          <w:trHeight w:val="371"/>
        </w:trPr>
        <w:tc>
          <w:tcPr>
            <w:tcW w:w="1360" w:type="dxa"/>
            <w:vAlign w:val="bottom"/>
          </w:tcPr>
          <w:p>
            <w:pPr>
              <w:ind w:left="20"/>
              <w:spacing w:after="0"/>
              <w:rPr>
                <w:sz w:val="20"/>
                <w:szCs w:val="20"/>
                <w:color w:val="auto"/>
              </w:rPr>
            </w:pPr>
            <w:r>
              <w:rPr>
                <w:rFonts w:ascii="Arial" w:cs="Arial" w:eastAsia="Arial" w:hAnsi="Arial"/>
                <w:sz w:val="18"/>
                <w:szCs w:val="18"/>
                <w:color w:val="auto"/>
              </w:rPr>
              <w:t>23.1*</w:t>
            </w:r>
          </w:p>
        </w:tc>
        <w:tc>
          <w:tcPr>
            <w:tcW w:w="9880" w:type="dxa"/>
            <w:vAlign w:val="bottom"/>
            <w:gridSpan w:val="33"/>
          </w:tcPr>
          <w:p>
            <w:pPr>
              <w:spacing w:after="0"/>
              <w:rPr>
                <w:sz w:val="20"/>
                <w:szCs w:val="20"/>
                <w:color w:val="auto"/>
              </w:rPr>
            </w:pPr>
            <w:r>
              <w:rPr>
                <w:rFonts w:ascii="Arial" w:cs="Arial" w:eastAsia="Arial" w:hAnsi="Arial"/>
                <w:sz w:val="18"/>
                <w:szCs w:val="18"/>
                <w:color w:val="0000FF"/>
              </w:rPr>
              <w:t>Consent of PricewaterhouseCoopers LLP, independent registered public accounting firm.</w:t>
            </w:r>
          </w:p>
        </w:tc>
      </w:tr>
      <w:tr>
        <w:trPr>
          <w:trHeight w:val="348"/>
        </w:trPr>
        <w:tc>
          <w:tcPr>
            <w:tcW w:w="1360" w:type="dxa"/>
            <w:vAlign w:val="bottom"/>
          </w:tcPr>
          <w:p>
            <w:pPr>
              <w:spacing w:after="0"/>
              <w:rPr>
                <w:sz w:val="24"/>
                <w:szCs w:val="24"/>
                <w:color w:val="auto"/>
              </w:rPr>
            </w:pPr>
          </w:p>
        </w:tc>
        <w:tc>
          <w:tcPr>
            <w:tcW w:w="5260" w:type="dxa"/>
            <w:vAlign w:val="bottom"/>
            <w:tcBorders>
              <w:top w:val="single" w:sz="8" w:color="0000FF"/>
            </w:tcBorders>
            <w:gridSpan w:val="6"/>
          </w:tcPr>
          <w:p>
            <w:pPr>
              <w:ind w:left="4120"/>
              <w:spacing w:after="0"/>
              <w:rPr>
                <w:sz w:val="20"/>
                <w:szCs w:val="20"/>
                <w:color w:val="auto"/>
              </w:rPr>
            </w:pPr>
            <w:r>
              <w:rPr>
                <w:rFonts w:ascii="Arial" w:cs="Arial" w:eastAsia="Arial" w:hAnsi="Arial"/>
                <w:sz w:val="18"/>
                <w:szCs w:val="18"/>
                <w:color w:val="auto"/>
              </w:rPr>
              <w:t>156</w:t>
            </w:r>
          </w:p>
        </w:tc>
        <w:tc>
          <w:tcPr>
            <w:tcW w:w="1800" w:type="dxa"/>
            <w:vAlign w:val="bottom"/>
            <w:tcBorders>
              <w:top w:val="single" w:sz="8" w:color="0000FF"/>
            </w:tcBorders>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45"/>
        </w:trPr>
        <w:tc>
          <w:tcPr>
            <w:tcW w:w="13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98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2"/>
        </w:trPr>
        <w:tc>
          <w:tcPr>
            <w:tcW w:w="1340" w:type="dxa"/>
            <w:vAlign w:val="bottom"/>
          </w:tcPr>
          <w:p>
            <w:pPr>
              <w:spacing w:after="0"/>
              <w:rPr>
                <w:sz w:val="15"/>
                <w:szCs w:val="15"/>
                <w:color w:val="auto"/>
              </w:rPr>
            </w:pPr>
          </w:p>
        </w:tc>
        <w:tc>
          <w:tcPr>
            <w:tcW w:w="624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bottom w:val="single" w:sz="8" w:color="0000EE"/>
            </w:tcBorders>
          </w:tcPr>
          <w:p>
            <w:pPr>
              <w:spacing w:after="0"/>
              <w:rPr>
                <w:sz w:val="15"/>
                <w:szCs w:val="15"/>
                <w:color w:val="auto"/>
              </w:rPr>
            </w:pPr>
          </w:p>
        </w:tc>
        <w:tc>
          <w:tcPr>
            <w:tcW w:w="3580" w:type="dxa"/>
            <w:vAlign w:val="bottom"/>
            <w:gridSpan w:val="5"/>
          </w:tcPr>
          <w:p>
            <w:pPr>
              <w:spacing w:after="0"/>
              <w:rPr>
                <w:sz w:val="15"/>
                <w:szCs w:val="15"/>
                <w:color w:val="auto"/>
              </w:rPr>
            </w:pPr>
          </w:p>
        </w:tc>
      </w:tr>
      <w:tr>
        <w:trPr>
          <w:trHeight w:val="371"/>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840" w:type="dxa"/>
            <w:vAlign w:val="bottom"/>
            <w:gridSpan w:val="8"/>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82"/>
        </w:trPr>
        <w:tc>
          <w:tcPr>
            <w:tcW w:w="1340" w:type="dxa"/>
            <w:vAlign w:val="bottom"/>
          </w:tcPr>
          <w:p>
            <w:pPr>
              <w:spacing w:after="0"/>
              <w:rPr>
                <w:sz w:val="15"/>
                <w:szCs w:val="15"/>
                <w:color w:val="auto"/>
              </w:rPr>
            </w:pPr>
          </w:p>
        </w:tc>
        <w:tc>
          <w:tcPr>
            <w:tcW w:w="624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520" w:type="dxa"/>
            <w:vAlign w:val="bottom"/>
            <w:tcBorders>
              <w:top w:val="single" w:sz="8" w:color="0000FF"/>
            </w:tcBorders>
            <w:gridSpan w:val="4"/>
          </w:tcPr>
          <w:p>
            <w:pPr>
              <w:spacing w:after="0"/>
              <w:rPr>
                <w:sz w:val="15"/>
                <w:szCs w:val="15"/>
                <w:color w:val="auto"/>
              </w:rPr>
            </w:pPr>
          </w:p>
        </w:tc>
        <w:tc>
          <w:tcPr>
            <w:tcW w:w="60" w:type="dxa"/>
            <w:vAlign w:val="bottom"/>
          </w:tcPr>
          <w:p>
            <w:pPr>
              <w:spacing w:after="0"/>
              <w:rPr>
                <w:sz w:val="15"/>
                <w:szCs w:val="15"/>
                <w:color w:val="auto"/>
              </w:rPr>
            </w:pPr>
          </w:p>
        </w:tc>
      </w:tr>
      <w:tr>
        <w:trPr>
          <w:trHeight w:val="371"/>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9840" w:type="dxa"/>
            <w:vAlign w:val="bottom"/>
            <w:gridSpan w:val="8"/>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2"/>
        </w:trPr>
        <w:tc>
          <w:tcPr>
            <w:tcW w:w="1340" w:type="dxa"/>
            <w:vAlign w:val="bottom"/>
          </w:tcPr>
          <w:p>
            <w:pPr>
              <w:spacing w:after="0"/>
              <w:rPr>
                <w:sz w:val="15"/>
                <w:szCs w:val="15"/>
                <w:color w:val="auto"/>
              </w:rPr>
            </w:pPr>
          </w:p>
        </w:tc>
        <w:tc>
          <w:tcPr>
            <w:tcW w:w="972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Sarbanes-Oxley Act of 2002.</w:t>
            </w:r>
          </w:p>
        </w:tc>
        <w:tc>
          <w:tcPr>
            <w:tcW w:w="120" w:type="dxa"/>
            <w:vAlign w:val="bottom"/>
            <w:gridSpan w:val="2"/>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71"/>
        </w:trPr>
        <w:tc>
          <w:tcPr>
            <w:tcW w:w="1340" w:type="dxa"/>
            <w:vAlign w:val="bottom"/>
          </w:tcPr>
          <w:p>
            <w:pPr>
              <w:spacing w:after="0"/>
              <w:rPr>
                <w:sz w:val="20"/>
                <w:szCs w:val="20"/>
                <w:color w:val="auto"/>
              </w:rPr>
            </w:pPr>
            <w:r>
              <w:rPr>
                <w:rFonts w:ascii="Arial" w:cs="Arial" w:eastAsia="Arial" w:hAnsi="Arial"/>
                <w:sz w:val="18"/>
                <w:szCs w:val="18"/>
                <w:color w:val="auto"/>
              </w:rPr>
              <w:t>32.2*</w:t>
            </w:r>
          </w:p>
        </w:tc>
        <w:tc>
          <w:tcPr>
            <w:tcW w:w="9840" w:type="dxa"/>
            <w:vAlign w:val="bottom"/>
            <w:gridSpan w:val="8"/>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2"/>
        </w:trPr>
        <w:tc>
          <w:tcPr>
            <w:tcW w:w="1340" w:type="dxa"/>
            <w:vAlign w:val="bottom"/>
          </w:tcPr>
          <w:p>
            <w:pPr>
              <w:spacing w:after="0"/>
              <w:rPr>
                <w:sz w:val="15"/>
                <w:szCs w:val="15"/>
                <w:color w:val="auto"/>
              </w:rPr>
            </w:pPr>
          </w:p>
        </w:tc>
        <w:tc>
          <w:tcPr>
            <w:tcW w:w="966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Sarbanes-Oxley Act of 2002.</w:t>
            </w:r>
          </w:p>
        </w:tc>
        <w:tc>
          <w:tcPr>
            <w:tcW w:w="180" w:type="dxa"/>
            <w:vAlign w:val="bottom"/>
            <w:gridSpan w:val="3"/>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r>
      <w:tr>
        <w:trPr>
          <w:trHeight w:val="371"/>
        </w:trPr>
        <w:tc>
          <w:tcPr>
            <w:tcW w:w="1340" w:type="dxa"/>
            <w:vAlign w:val="bottom"/>
          </w:tcPr>
          <w:p>
            <w:pPr>
              <w:spacing w:after="0"/>
              <w:rPr>
                <w:sz w:val="20"/>
                <w:szCs w:val="20"/>
                <w:color w:val="auto"/>
              </w:rPr>
            </w:pPr>
            <w:r>
              <w:rPr>
                <w:rFonts w:ascii="Arial" w:cs="Arial" w:eastAsia="Arial" w:hAnsi="Arial"/>
                <w:sz w:val="18"/>
                <w:szCs w:val="18"/>
                <w:color w:val="auto"/>
              </w:rPr>
              <w:t>97.1*</w:t>
            </w:r>
          </w:p>
        </w:tc>
        <w:tc>
          <w:tcPr>
            <w:tcW w:w="9840" w:type="dxa"/>
            <w:vAlign w:val="bottom"/>
            <w:gridSpan w:val="8"/>
          </w:tcPr>
          <w:p>
            <w:pPr>
              <w:spacing w:after="0"/>
              <w:rPr>
                <w:sz w:val="20"/>
                <w:szCs w:val="20"/>
                <w:color w:val="auto"/>
              </w:rPr>
            </w:pPr>
            <w:r>
              <w:rPr>
                <w:rFonts w:ascii="Arial" w:cs="Arial" w:eastAsia="Arial" w:hAnsi="Arial"/>
                <w:sz w:val="18"/>
                <w:szCs w:val="18"/>
                <w:color w:val="0000FF"/>
              </w:rPr>
              <w:t>Flywire Corporation Policy for the Recovery of Erroneously Awarded Compensation.</w:t>
            </w:r>
          </w:p>
        </w:tc>
      </w:tr>
      <w:tr>
        <w:trPr>
          <w:trHeight w:val="20"/>
        </w:trPr>
        <w:tc>
          <w:tcPr>
            <w:tcW w:w="1340" w:type="dxa"/>
            <w:vAlign w:val="bottom"/>
          </w:tcPr>
          <w:p>
            <w:pPr>
              <w:spacing w:after="0" w:line="20" w:lineRule="exact"/>
              <w:rPr>
                <w:sz w:val="1"/>
                <w:szCs w:val="1"/>
                <w:color w:val="auto"/>
              </w:rPr>
            </w:pPr>
          </w:p>
        </w:tc>
        <w:tc>
          <w:tcPr>
            <w:tcW w:w="6700" w:type="dxa"/>
            <w:vAlign w:val="bottom"/>
            <w:tcBorders>
              <w:right w:val="single" w:sz="8" w:color="0000EE"/>
            </w:tcBorders>
            <w:gridSpan w:val="4"/>
            <w:shd w:val="clear" w:color="auto" w:fill="0000FF"/>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r>
      <w:tr>
        <w:trPr>
          <w:trHeight w:val="379"/>
        </w:trPr>
        <w:tc>
          <w:tcPr>
            <w:tcW w:w="134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8"/>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r>
      <w:tr>
        <w:trPr>
          <w:trHeight w:val="239"/>
        </w:trPr>
        <w:tc>
          <w:tcPr>
            <w:tcW w:w="1340" w:type="dxa"/>
            <w:vAlign w:val="bottom"/>
          </w:tcPr>
          <w:p>
            <w:pPr>
              <w:spacing w:after="0"/>
              <w:rPr>
                <w:sz w:val="20"/>
                <w:szCs w:val="20"/>
                <w:color w:val="auto"/>
              </w:rPr>
            </w:pPr>
          </w:p>
        </w:tc>
        <w:tc>
          <w:tcPr>
            <w:tcW w:w="9840" w:type="dxa"/>
            <w:vAlign w:val="bottom"/>
            <w:gridSpan w:val="8"/>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391"/>
        </w:trPr>
        <w:tc>
          <w:tcPr>
            <w:tcW w:w="134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r>
    </w:tbl>
    <w:p>
      <w:pPr>
        <w:spacing w:after="0" w:line="152" w:lineRule="exact"/>
        <w:rPr>
          <w:sz w:val="20"/>
          <w:szCs w:val="20"/>
          <w:color w:val="auto"/>
        </w:rPr>
      </w:pPr>
    </w:p>
    <w:p>
      <w:pPr>
        <w:ind w:left="1360" w:hanging="1339"/>
        <w:spacing w:after="0"/>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6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143002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FLYWIRE CORPORATION</w:t>
      </w:r>
    </w:p>
    <w:p>
      <w:pPr>
        <w:spacing w:after="0" w:line="238" w:lineRule="exact"/>
        <w:rPr>
          <w:sz w:val="20"/>
          <w:szCs w:val="20"/>
          <w:color w:val="auto"/>
        </w:rPr>
      </w:pPr>
    </w:p>
    <w:p>
      <w:pPr>
        <w:ind w:left="180"/>
        <w:spacing w:after="0"/>
        <w:tabs>
          <w:tab w:leader="none" w:pos="4880" w:val="left"/>
          <w:tab w:leader="none" w:pos="7440" w:val="left"/>
        </w:tabs>
        <w:rPr>
          <w:sz w:val="20"/>
          <w:szCs w:val="20"/>
          <w:color w:val="auto"/>
        </w:rPr>
      </w:pPr>
      <w:r>
        <w:rPr>
          <w:rFonts w:ascii="Arial" w:cs="Arial" w:eastAsia="Arial" w:hAnsi="Arial"/>
          <w:sz w:val="18"/>
          <w:szCs w:val="18"/>
          <w:color w:val="auto"/>
        </w:rPr>
        <w:t>Date: February 28,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8890</wp:posOffset>
            </wp:positionV>
            <wp:extent cx="365633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4">
                      <a:extLst>
                        <a:ext uri="{28A0092B-C50C-407E-A947-70E740481C1C}"/>
                      </a:extLst>
                    </a:blip>
                    <a:srcRect/>
                    <a:stretch>
                      <a:fillRect/>
                    </a:stretch>
                  </pic:blipFill>
                  <pic:spPr bwMode="auto">
                    <a:xfrm>
                      <a:off x="0" y="0"/>
                      <a:ext cx="3656330" cy="8255"/>
                    </a:xfrm>
                    <a:prstGeom prst="rect">
                      <a:avLst/>
                    </a:prstGeom>
                    <a:noFill/>
                  </pic:spPr>
                </pic:pic>
              </a:graphicData>
            </a:graphic>
          </wp:anchor>
        </w:drawing>
      </w:r>
    </w:p>
    <w:p>
      <w:pPr>
        <w:spacing w:after="0" w:line="25"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Michael Massaro</w:t>
      </w:r>
    </w:p>
    <w:p>
      <w:pPr>
        <w:spacing w:after="0" w:line="30"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2" w:lineRule="exact"/>
        <w:rPr>
          <w:sz w:val="20"/>
          <w:szCs w:val="20"/>
          <w:color w:val="auto"/>
        </w:rPr>
      </w:pPr>
    </w:p>
    <w:p>
      <w:pPr>
        <w:ind w:left="7140"/>
        <w:spacing w:after="0"/>
        <w:rPr>
          <w:sz w:val="20"/>
          <w:szCs w:val="20"/>
          <w:color w:val="auto"/>
        </w:rPr>
      </w:pPr>
      <w:r>
        <w:rPr>
          <w:rFonts w:ascii="Arial" w:cs="Arial" w:eastAsia="Arial" w:hAnsi="Arial"/>
          <w:sz w:val="17"/>
          <w:szCs w:val="17"/>
          <w:b w:val="1"/>
          <w:bCs w:val="1"/>
          <w:color w:val="auto"/>
        </w:rPr>
        <w:t>(Principal Executive Officer)</w:t>
      </w:r>
    </w:p>
    <w:p>
      <w:pPr>
        <w:spacing w:after="0" w:line="246" w:lineRule="exact"/>
        <w:rPr>
          <w:sz w:val="20"/>
          <w:szCs w:val="20"/>
          <w:color w:val="auto"/>
        </w:rPr>
      </w:pPr>
    </w:p>
    <w:p>
      <w:pPr>
        <w:ind w:left="180"/>
        <w:spacing w:after="0"/>
        <w:tabs>
          <w:tab w:leader="none" w:pos="4880" w:val="left"/>
          <w:tab w:leader="none" w:pos="7620" w:val="left"/>
        </w:tabs>
        <w:rPr>
          <w:sz w:val="20"/>
          <w:szCs w:val="20"/>
          <w:color w:val="auto"/>
        </w:rPr>
      </w:pPr>
      <w:r>
        <w:rPr>
          <w:rFonts w:ascii="Arial" w:cs="Arial" w:eastAsia="Arial" w:hAnsi="Arial"/>
          <w:sz w:val="18"/>
          <w:szCs w:val="18"/>
          <w:color w:val="auto"/>
        </w:rPr>
        <w:t>Date: February 28,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8890</wp:posOffset>
            </wp:positionV>
            <wp:extent cx="365633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5">
                      <a:extLst>
                        <a:ext uri="{28A0092B-C50C-407E-A947-70E740481C1C}"/>
                      </a:extLst>
                    </a:blip>
                    <a:srcRect/>
                    <a:stretch>
                      <a:fillRect/>
                    </a:stretch>
                  </pic:blipFill>
                  <pic:spPr bwMode="auto">
                    <a:xfrm>
                      <a:off x="0" y="0"/>
                      <a:ext cx="3656330" cy="8255"/>
                    </a:xfrm>
                    <a:prstGeom prst="rect">
                      <a:avLst/>
                    </a:prstGeom>
                    <a:noFill/>
                  </pic:spPr>
                </pic:pic>
              </a:graphicData>
            </a:graphic>
          </wp:anchor>
        </w:drawing>
      </w:r>
    </w:p>
    <w:p>
      <w:pPr>
        <w:spacing w:after="0" w:line="26" w:lineRule="exact"/>
        <w:rPr>
          <w:sz w:val="20"/>
          <w:szCs w:val="20"/>
          <w:color w:val="auto"/>
        </w:rPr>
      </w:pPr>
    </w:p>
    <w:p>
      <w:pPr>
        <w:jc w:val="center"/>
        <w:ind w:left="5280"/>
        <w:spacing w:after="0"/>
        <w:rPr>
          <w:sz w:val="20"/>
          <w:szCs w:val="20"/>
          <w:color w:val="auto"/>
        </w:rPr>
      </w:pPr>
      <w:r>
        <w:rPr>
          <w:rFonts w:ascii="Arial" w:cs="Arial" w:eastAsia="Arial" w:hAnsi="Arial"/>
          <w:sz w:val="17"/>
          <w:szCs w:val="17"/>
          <w:b w:val="1"/>
          <w:bCs w:val="1"/>
          <w:color w:val="auto"/>
        </w:rPr>
        <w:t>Michael Ellis</w:t>
      </w:r>
    </w:p>
    <w:p>
      <w:pPr>
        <w:spacing w:after="0" w:line="39"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Financial Officer</w:t>
      </w:r>
    </w:p>
    <w:p>
      <w:pPr>
        <w:spacing w:after="0" w:line="24" w:lineRule="exact"/>
        <w:rPr>
          <w:sz w:val="20"/>
          <w:szCs w:val="20"/>
          <w:color w:val="auto"/>
        </w:rPr>
      </w:pPr>
    </w:p>
    <w:p>
      <w:pPr>
        <w:ind w:left="650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32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768" w:right="7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i w:val="1"/>
          <w:iCs w:val="1"/>
          <w:color w:val="auto"/>
        </w:rPr>
        <w:t>KNOW ALL PERSONS BY THESE PRESENTS</w:t>
      </w:r>
      <w:r>
        <w:rPr>
          <w:rFonts w:ascii="Arial" w:cs="Arial" w:eastAsia="Arial" w:hAnsi="Arial"/>
          <w:sz w:val="18"/>
          <w:szCs w:val="18"/>
          <w:color w:val="auto"/>
        </w:rPr>
        <w:t>, that each person whose signature appears below hereby constitutes and appoints</w:t>
      </w:r>
      <w:r>
        <w:rPr>
          <w:rFonts w:ascii="Arial" w:cs="Arial" w:eastAsia="Arial" w:hAnsi="Arial"/>
          <w:sz w:val="18"/>
          <w:szCs w:val="18"/>
          <w:i w:val="1"/>
          <w:iCs w:val="1"/>
          <w:color w:val="auto"/>
        </w:rPr>
        <w:t xml:space="preserve"> </w:t>
      </w:r>
      <w:r>
        <w:rPr>
          <w:rFonts w:ascii="Arial" w:cs="Arial" w:eastAsia="Arial" w:hAnsi="Arial"/>
          <w:sz w:val="18"/>
          <w:szCs w:val="18"/>
          <w:color w:val="auto"/>
        </w:rPr>
        <w:t>Michael Massaro and Michael Ellis, and each of them, as his or her true and lawful attorneys-in-fact, proxies,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44"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this Annual Report on Form 10-K has been signed by the following persons on behalf of the registrant and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20"/>
                <w:szCs w:val="20"/>
                <w:color w:val="auto"/>
              </w:rPr>
            </w:pP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Title</w:t>
            </w:r>
          </w:p>
        </w:tc>
        <w:tc>
          <w:tcPr>
            <w:tcW w:w="14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Date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/s/ Michael Massaro</w:t>
            </w:r>
          </w:p>
        </w:tc>
        <w:tc>
          <w:tcPr>
            <w:tcW w:w="22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1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rPr>
              <w:t>February 28, 2024</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414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Pr>
          <w:p>
            <w:pPr>
              <w:jc w:val="center"/>
              <w:spacing w:after="0" w:line="177" w:lineRule="exact"/>
              <w:rPr>
                <w:sz w:val="20"/>
                <w:szCs w:val="20"/>
                <w:color w:val="auto"/>
              </w:rPr>
            </w:pPr>
            <w:r>
              <w:rPr>
                <w:rFonts w:ascii="Arial" w:cs="Arial" w:eastAsia="Arial" w:hAnsi="Arial"/>
                <w:sz w:val="18"/>
                <w:szCs w:val="18"/>
                <w:color w:val="auto"/>
                <w:w w:val="99"/>
              </w:rPr>
              <w:t>Michael Massaro</w:t>
            </w:r>
          </w:p>
        </w:tc>
        <w:tc>
          <w:tcPr>
            <w:tcW w:w="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
          </w:tcPr>
          <w:p>
            <w:pPr>
              <w:jc w:val="center"/>
              <w:ind w:right="20"/>
              <w:spacing w:after="0" w:line="204" w:lineRule="exact"/>
              <w:rPr>
                <w:sz w:val="20"/>
                <w:szCs w:val="20"/>
                <w:color w:val="auto"/>
              </w:rPr>
            </w:pPr>
            <w:r>
              <w:rPr>
                <w:rFonts w:ascii="Arial" w:cs="Arial" w:eastAsia="Arial" w:hAnsi="Arial"/>
                <w:sz w:val="18"/>
                <w:szCs w:val="18"/>
                <w:color w:val="auto"/>
                <w:w w:val="99"/>
              </w:rPr>
              <w:t>/s/ Michael Ellis</w:t>
            </w:r>
          </w:p>
        </w:tc>
        <w:tc>
          <w:tcPr>
            <w:tcW w:w="220" w:type="dxa"/>
            <w:vAlign w:val="bottom"/>
          </w:tcPr>
          <w:p>
            <w:pPr>
              <w:spacing w:after="0"/>
              <w:rPr>
                <w:sz w:val="17"/>
                <w:szCs w:val="17"/>
                <w:color w:val="auto"/>
              </w:rPr>
            </w:pPr>
          </w:p>
        </w:tc>
        <w:tc>
          <w:tcPr>
            <w:tcW w:w="4140" w:type="dxa"/>
            <w:vAlign w:val="bottom"/>
          </w:tcPr>
          <w:p>
            <w:pPr>
              <w:jc w:val="center"/>
              <w:spacing w:after="0" w:line="204" w:lineRule="exact"/>
              <w:rPr>
                <w:sz w:val="20"/>
                <w:szCs w:val="20"/>
                <w:color w:val="auto"/>
              </w:rPr>
            </w:pPr>
            <w:r>
              <w:rPr>
                <w:rFonts w:ascii="Arial" w:cs="Arial" w:eastAsia="Arial" w:hAnsi="Arial"/>
                <w:sz w:val="18"/>
                <w:szCs w:val="18"/>
                <w:color w:val="auto"/>
                <w:w w:val="99"/>
              </w:rPr>
              <w:t>Chief Financial Officer</w:t>
            </w:r>
          </w:p>
        </w:tc>
        <w:tc>
          <w:tcPr>
            <w:tcW w:w="140" w:type="dxa"/>
            <w:vAlign w:val="bottom"/>
          </w:tcPr>
          <w:p>
            <w:pPr>
              <w:spacing w:after="0"/>
              <w:rPr>
                <w:sz w:val="17"/>
                <w:szCs w:val="17"/>
                <w:color w:val="auto"/>
              </w:rPr>
            </w:pPr>
          </w:p>
        </w:tc>
        <w:tc>
          <w:tcPr>
            <w:tcW w:w="2120" w:type="dxa"/>
            <w:vAlign w:val="bottom"/>
          </w:tcPr>
          <w:p>
            <w:pPr>
              <w:jc w:val="center"/>
              <w:spacing w:after="0" w:line="204" w:lineRule="exact"/>
              <w:rPr>
                <w:sz w:val="20"/>
                <w:szCs w:val="20"/>
                <w:color w:val="auto"/>
              </w:rPr>
            </w:pPr>
            <w:r>
              <w:rPr>
                <w:rFonts w:ascii="Arial" w:cs="Arial" w:eastAsia="Arial" w:hAnsi="Arial"/>
                <w:sz w:val="18"/>
                <w:szCs w:val="18"/>
                <w:color w:val="auto"/>
              </w:rPr>
              <w:t>February 28, 2024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414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(Principal Financial and Accounting Officer)</w:t>
            </w: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Pr>
          <w:p>
            <w:pPr>
              <w:jc w:val="center"/>
              <w:spacing w:after="0" w:line="177" w:lineRule="exact"/>
              <w:rPr>
                <w:sz w:val="20"/>
                <w:szCs w:val="20"/>
                <w:color w:val="auto"/>
              </w:rPr>
            </w:pPr>
            <w:r>
              <w:rPr>
                <w:rFonts w:ascii="Arial" w:cs="Arial" w:eastAsia="Arial" w:hAnsi="Arial"/>
                <w:sz w:val="18"/>
                <w:szCs w:val="18"/>
                <w:color w:val="auto"/>
                <w:w w:val="99"/>
              </w:rPr>
              <w:t>Michael Ellis</w:t>
            </w:r>
          </w:p>
        </w:tc>
        <w:tc>
          <w:tcPr>
            <w:tcW w:w="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 Phillip Riese</w:t>
            </w:r>
          </w:p>
        </w:tc>
        <w:tc>
          <w:tcPr>
            <w:tcW w:w="2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Chairman of the Board of Directors</w:t>
            </w:r>
          </w:p>
        </w:tc>
        <w:tc>
          <w:tcPr>
            <w:tcW w:w="14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rPr>
              <w:t>February 28, 2024</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8"/>
              </w:rPr>
              <w:t>Phillip Riese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/s/ Diane Offereins</w:t>
            </w:r>
          </w:p>
        </w:tc>
        <w:tc>
          <w:tcPr>
            <w:tcW w:w="2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rPr>
              <w:t>February 28, 2024</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6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9"/>
              </w:rPr>
              <w:t>Diane Offereins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 Alex Finkelstein</w:t>
            </w:r>
          </w:p>
        </w:tc>
        <w:tc>
          <w:tcPr>
            <w:tcW w:w="2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rPr>
              <w:t>February 28, 2024</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Alex Finkelstein</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/s/ Matt Harris</w:t>
            </w:r>
          </w:p>
        </w:tc>
        <w:tc>
          <w:tcPr>
            <w:tcW w:w="2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rPr>
              <w:t>February 28, 2024</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Matt Harris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 Edwin Santos</w:t>
            </w:r>
          </w:p>
        </w:tc>
        <w:tc>
          <w:tcPr>
            <w:tcW w:w="2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rPr>
              <w:t>February 28, 2024</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Edwin Santos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gridSpan w:val="2"/>
          </w:tcPr>
          <w:p>
            <w:pPr>
              <w:jc w:val="center"/>
              <w:ind w:right="40"/>
              <w:spacing w:after="0"/>
              <w:rPr>
                <w:sz w:val="20"/>
                <w:szCs w:val="20"/>
                <w:color w:val="auto"/>
              </w:rPr>
            </w:pPr>
            <w:r>
              <w:rPr>
                <w:rFonts w:ascii="Arial" w:cs="Arial" w:eastAsia="Arial" w:hAnsi="Arial"/>
                <w:sz w:val="18"/>
                <w:szCs w:val="18"/>
                <w:color w:val="auto"/>
              </w:rPr>
              <w:t>/s/ Gretchen Howard</w:t>
            </w:r>
          </w:p>
        </w:tc>
        <w:tc>
          <w:tcPr>
            <w:tcW w:w="2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rPr>
              <w:t>February 28, 2024</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Gretchen Howard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1"/>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2"/>
          </w:tcPr>
          <w:p>
            <w:pPr>
              <w:jc w:val="right"/>
              <w:ind w:right="261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b w:val="1"/>
          <w:bCs w:val="1"/>
          <w:color w:val="auto"/>
        </w:rPr>
        <w:t>Exhibit 10.19</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TRANSITION AGREEMENT</w:t>
      </w:r>
    </w:p>
    <w:p>
      <w:pPr>
        <w:spacing w:after="0" w:line="39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AMENDMENT NO. 1 TO THE TRANSITION AGREEMENT (the “Amendment”) is entered into as of February 23, 2024 by and between Flywire Corporation, a Delaware corporation (the “Company”), and Michael Ellis (the “Employee” or “you” and together with the Company, the “Parties”).</w:t>
      </w:r>
    </w:p>
    <w:p>
      <w:pPr>
        <w:spacing w:after="0" w:line="16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Employee are parties to that certain Transition Agreement, dated as of November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2023 (the “Transition Agreement”); and</w:t>
      </w:r>
    </w:p>
    <w:p>
      <w:pPr>
        <w:spacing w:after="0" w:line="151"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Section 22 of the Transition Agreement, the Company and the Employee desire to amend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Transition Agreement as set forth herein.</w:t>
      </w:r>
    </w:p>
    <w:p>
      <w:pPr>
        <w:spacing w:after="0" w:line="1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and covenants set forth herein, the Parties hereby agree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follows:</w:t>
      </w:r>
    </w:p>
    <w:p>
      <w:pPr>
        <w:spacing w:after="0" w:line="151" w:lineRule="exact"/>
        <w:rPr>
          <w:sz w:val="20"/>
          <w:szCs w:val="20"/>
          <w:color w:val="auto"/>
        </w:rPr>
      </w:pPr>
    </w:p>
    <w:p>
      <w:pPr>
        <w:ind w:firstLine="757"/>
        <w:spacing w:after="0" w:line="261" w:lineRule="auto"/>
        <w:tabs>
          <w:tab w:leader="none" w:pos="10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All capitalized terms not otherwise defined in this Amendment shall have the meanings ascribed to them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Transition Agreement.</w:t>
      </w:r>
    </w:p>
    <w:p>
      <w:pPr>
        <w:spacing w:after="0" w:line="150" w:lineRule="exact"/>
        <w:rPr>
          <w:rFonts w:ascii="Times New Roman" w:cs="Times New Roman" w:eastAsia="Times New Roman" w:hAnsi="Times New Roman"/>
          <w:sz w:val="22"/>
          <w:szCs w:val="22"/>
          <w:color w:val="auto"/>
        </w:rPr>
      </w:pPr>
    </w:p>
    <w:p>
      <w:pPr>
        <w:ind w:firstLine="757"/>
        <w:spacing w:after="0" w:line="261" w:lineRule="auto"/>
        <w:tabs>
          <w:tab w:leader="none" w:pos="10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 to Transition Agreement</w:t>
      </w:r>
      <w:r>
        <w:rPr>
          <w:rFonts w:ascii="Times New Roman" w:cs="Times New Roman" w:eastAsia="Times New Roman" w:hAnsi="Times New Roman"/>
          <w:sz w:val="22"/>
          <w:szCs w:val="22"/>
          <w:color w:val="auto"/>
        </w:rPr>
        <w:t>. Section 6(a) of the Transition Agreement is hereby amended and restated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its entirety to read as follows:</w:t>
      </w:r>
    </w:p>
    <w:p>
      <w:pPr>
        <w:spacing w:after="0" w:line="149"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Options</w:t>
      </w:r>
      <w:r>
        <w:rPr>
          <w:rFonts w:ascii="Times New Roman" w:cs="Times New Roman" w:eastAsia="Times New Roman" w:hAnsi="Times New Roman"/>
          <w:sz w:val="22"/>
          <w:szCs w:val="22"/>
          <w:color w:val="auto"/>
        </w:rPr>
        <w:t>. On April 26, 2015, you were granted a stock option (the “</w:t>
      </w:r>
      <w:r>
        <w:rPr>
          <w:rFonts w:ascii="Times New Roman" w:cs="Times New Roman" w:eastAsia="Times New Roman" w:hAnsi="Times New Roman"/>
          <w:sz w:val="22"/>
          <w:szCs w:val="22"/>
          <w:b w:val="1"/>
          <w:bCs w:val="1"/>
          <w:i w:val="1"/>
          <w:iCs w:val="1"/>
          <w:color w:val="auto"/>
        </w:rPr>
        <w:t>First Option</w:t>
      </w:r>
      <w:r>
        <w:rPr>
          <w:rFonts w:ascii="Times New Roman" w:cs="Times New Roman" w:eastAsia="Times New Roman" w:hAnsi="Times New Roman"/>
          <w:sz w:val="22"/>
          <w:szCs w:val="22"/>
          <w:color w:val="auto"/>
        </w:rPr>
        <w:t>”) to purchase 516,873 shares of the Company’s common stock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under the Company’s 2009 Equity Incentive Plan (the “</w:t>
      </w:r>
      <w:r>
        <w:rPr>
          <w:rFonts w:ascii="Times New Roman" w:cs="Times New Roman" w:eastAsia="Times New Roman" w:hAnsi="Times New Roman"/>
          <w:sz w:val="22"/>
          <w:szCs w:val="22"/>
          <w:b w:val="1"/>
          <w:bCs w:val="1"/>
          <w:i w:val="1"/>
          <w:iCs w:val="1"/>
          <w:color w:val="auto"/>
        </w:rPr>
        <w:t>2009 Plan</w:t>
      </w:r>
      <w:r>
        <w:rPr>
          <w:rFonts w:ascii="Times New Roman" w:cs="Times New Roman" w:eastAsia="Times New Roman" w:hAnsi="Times New Roman"/>
          <w:sz w:val="22"/>
          <w:szCs w:val="22"/>
          <w:color w:val="auto"/>
        </w:rPr>
        <w:t>”). On November 28, 2018, you were granted a stock option (the “</w:t>
      </w:r>
      <w:r>
        <w:rPr>
          <w:rFonts w:ascii="Times New Roman" w:cs="Times New Roman" w:eastAsia="Times New Roman" w:hAnsi="Times New Roman"/>
          <w:sz w:val="22"/>
          <w:szCs w:val="22"/>
          <w:b w:val="1"/>
          <w:bCs w:val="1"/>
          <w:i w:val="1"/>
          <w:iCs w:val="1"/>
          <w:color w:val="auto"/>
        </w:rPr>
        <w:t>Second Option</w:t>
      </w:r>
      <w:r>
        <w:rPr>
          <w:rFonts w:ascii="Times New Roman" w:cs="Times New Roman" w:eastAsia="Times New Roman" w:hAnsi="Times New Roman"/>
          <w:sz w:val="22"/>
          <w:szCs w:val="22"/>
          <w:color w:val="auto"/>
        </w:rPr>
        <w:t>”) to purchase 195,000 shares of Common Stock under the Company’s 2018 Equity Incentive Plan (the “</w:t>
      </w:r>
      <w:r>
        <w:rPr>
          <w:rFonts w:ascii="Times New Roman" w:cs="Times New Roman" w:eastAsia="Times New Roman" w:hAnsi="Times New Roman"/>
          <w:sz w:val="22"/>
          <w:szCs w:val="22"/>
          <w:b w:val="1"/>
          <w:bCs w:val="1"/>
          <w:i w:val="1"/>
          <w:iCs w:val="1"/>
          <w:color w:val="auto"/>
        </w:rPr>
        <w:t>2018 Plan</w:t>
      </w:r>
      <w:r>
        <w:rPr>
          <w:rFonts w:ascii="Times New Roman" w:cs="Times New Roman" w:eastAsia="Times New Roman" w:hAnsi="Times New Roman"/>
          <w:sz w:val="22"/>
          <w:szCs w:val="22"/>
          <w:color w:val="auto"/>
        </w:rPr>
        <w:t>”). On January 21, 2021, you were granted an additional stock option (the “</w:t>
      </w:r>
      <w:r>
        <w:rPr>
          <w:rFonts w:ascii="Times New Roman" w:cs="Times New Roman" w:eastAsia="Times New Roman" w:hAnsi="Times New Roman"/>
          <w:sz w:val="22"/>
          <w:szCs w:val="22"/>
          <w:b w:val="1"/>
          <w:bCs w:val="1"/>
          <w:i w:val="1"/>
          <w:iCs w:val="1"/>
          <w:color w:val="auto"/>
        </w:rPr>
        <w:t>Third Option</w:t>
      </w:r>
      <w:r>
        <w:rPr>
          <w:rFonts w:ascii="Times New Roman" w:cs="Times New Roman" w:eastAsia="Times New Roman" w:hAnsi="Times New Roman"/>
          <w:sz w:val="22"/>
          <w:szCs w:val="22"/>
          <w:color w:val="auto"/>
        </w:rPr>
        <w:t>” and collectively with the First Option and the Second Option, the “</w:t>
      </w:r>
      <w:r>
        <w:rPr>
          <w:rFonts w:ascii="Times New Roman" w:cs="Times New Roman" w:eastAsia="Times New Roman" w:hAnsi="Times New Roman"/>
          <w:sz w:val="22"/>
          <w:szCs w:val="22"/>
          <w:b w:val="1"/>
          <w:bCs w:val="1"/>
          <w:i w:val="1"/>
          <w:iCs w:val="1"/>
          <w:color w:val="auto"/>
        </w:rPr>
        <w:t>Options</w:t>
      </w:r>
      <w:r>
        <w:rPr>
          <w:rFonts w:ascii="Times New Roman" w:cs="Times New Roman" w:eastAsia="Times New Roman" w:hAnsi="Times New Roman"/>
          <w:sz w:val="22"/>
          <w:szCs w:val="22"/>
          <w:color w:val="auto"/>
        </w:rPr>
        <w:t>”) to purchase an additional 195,000 shares of Common Stock under the 2018 Plan. As of the Notification Date: (i) all of the shares subject to the First Option have vested, 101,729 of which remain exercisable, (ii) all of the shares subject to the Second Option have vested, 111,932 of which remain exercisable, and (iii) 134,062 of the shares subject to the Third Option have vested, of which 42,562 remain exercisable and 60,938 remain unvested. You have exercised and subsequently sold certain of the shares subject to the Options. You acknowledge and agree that as of the date hereof, you hold 240,901 shares of Common Stock (including any unvested RSUs (defined below)) and you hold an additional 27,805 shares of Common Stock (including any unvested RSUs) through the Michael Ellis 2021 Grantor Retained Annuity Trust No. 2. Pursuant to the applicable notice of stock option grants and stock option agreements (each, collectively, a “</w:t>
      </w:r>
      <w:r>
        <w:rPr>
          <w:rFonts w:ascii="Times New Roman" w:cs="Times New Roman" w:eastAsia="Times New Roman" w:hAnsi="Times New Roman"/>
          <w:sz w:val="22"/>
          <w:szCs w:val="22"/>
          <w:b w:val="1"/>
          <w:bCs w:val="1"/>
          <w:i w:val="1"/>
          <w:iCs w:val="1"/>
          <w:color w:val="auto"/>
        </w:rPr>
        <w:t>Stock Option Agreement</w:t>
      </w:r>
      <w:r>
        <w:rPr>
          <w:rFonts w:ascii="Times New Roman" w:cs="Times New Roman" w:eastAsia="Times New Roman" w:hAnsi="Times New Roman"/>
          <w:sz w:val="22"/>
          <w:szCs w:val="22"/>
          <w:color w:val="auto"/>
        </w:rPr>
        <w:t>”) between you and the Company, any vested shares subject to your Options shall remain exercisable at any time until the date three months after the Separation Date (and such shares to the extent unexercised will expire on such date). Any unvested shares subject to your Options will expire on the Separation Date for no consideration. The Stock Option Agreements and, if applicable, any agreements or notices pursuant to which you acquired or acquire any shares subject to your Options will remain in full force and effect, and you agree to remain bound by those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61" w:name="page162"/>
    <w:bookmarkEnd w:id="161"/>
    <w:p>
      <w:pPr>
        <w:jc w:val="both"/>
        <w:ind w:firstLine="757"/>
        <w:spacing w:after="0" w:line="237" w:lineRule="auto"/>
        <w:tabs>
          <w:tab w:leader="none" w:pos="101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Confirmation of the Transition Agreement</w:t>
      </w:r>
      <w:r>
        <w:rPr>
          <w:rFonts w:ascii="Times New Roman" w:cs="Times New Roman" w:eastAsia="Times New Roman" w:hAnsi="Times New Roman"/>
          <w:sz w:val="22"/>
          <w:szCs w:val="22"/>
          <w:color w:val="auto"/>
        </w:rPr>
        <w:t>. Except as amended hereby, all of the terms of the Transition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remain and continue in full force and effect and are hereby confirmed in all respects, and all references to the Transition Agreement shall be deemed to refer to such Transition Agreement as amended hereby. This Amendment and the Transition Agreement, including all exhibits thereto, constitute the entire agreement between the Parties with respect to the subject matter hereof and supersedes and merges all prior agreements or understandings, whether written or oral, with respect to the subject matter hereof.</w:t>
      </w:r>
    </w:p>
    <w:p>
      <w:pPr>
        <w:spacing w:after="0" w:line="173" w:lineRule="exact"/>
        <w:rPr>
          <w:rFonts w:ascii="Times New Roman" w:cs="Times New Roman" w:eastAsia="Times New Roman" w:hAnsi="Times New Roman"/>
          <w:sz w:val="22"/>
          <w:szCs w:val="22"/>
          <w:color w:val="auto"/>
        </w:rPr>
      </w:pPr>
    </w:p>
    <w:p>
      <w:pPr>
        <w:ind w:right="20" w:firstLine="757"/>
        <w:spacing w:after="0" w:line="261" w:lineRule="auto"/>
        <w:tabs>
          <w:tab w:leader="none" w:pos="101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color w:val="auto"/>
        </w:rPr>
        <w:t>. This Amendment may not be amended, modified or revoked, in whole or in part, except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 writing signed by the Employee and a duly authorized officer of the Company.</w:t>
      </w:r>
    </w:p>
    <w:p>
      <w:pPr>
        <w:spacing w:after="0" w:line="150" w:lineRule="exact"/>
        <w:rPr>
          <w:rFonts w:ascii="Times New Roman" w:cs="Times New Roman" w:eastAsia="Times New Roman" w:hAnsi="Times New Roman"/>
          <w:sz w:val="22"/>
          <w:szCs w:val="22"/>
          <w:color w:val="auto"/>
        </w:rPr>
      </w:pPr>
    </w:p>
    <w:p>
      <w:pPr>
        <w:ind w:firstLine="757"/>
        <w:spacing w:after="0" w:line="261" w:lineRule="auto"/>
        <w:tabs>
          <w:tab w:leader="none" w:pos="101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Amendment will be construed and interpreted in accordance with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Commonwealth of Massachusetts (other than their choice-of-law provisions).</w:t>
      </w:r>
    </w:p>
    <w:p>
      <w:pPr>
        <w:spacing w:after="0" w:line="150"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Amendment may be executed in two or more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62" w:name="page163"/>
    <w:bookmarkEnd w:id="162"/>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this Amendment No. 1 to the Transition Agreement as of the date first above written above.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lywire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By: /s/ Rob Orgel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3328035</wp:posOffset>
            </wp:positionH>
            <wp:positionV relativeFrom="paragraph">
              <wp:posOffset>-13970</wp:posOffset>
            </wp:positionV>
            <wp:extent cx="86360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2">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b w:val="1"/>
          <w:bCs w:val="1"/>
          <w:color w:val="auto"/>
        </w:rPr>
        <w:t>Name: Rob Orgel</w:t>
      </w:r>
    </w:p>
    <w:p>
      <w:pPr>
        <w:spacing w:after="0" w:line="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b w:val="1"/>
          <w:bCs w:val="1"/>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-13970</wp:posOffset>
            </wp:positionV>
            <wp:extent cx="136969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3">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Name: Michael Ellis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lywire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1 </w:t>
      </w:r>
      <w:r>
        <w:rPr>
          <w:rFonts w:ascii="Times New Roman" w:cs="Times New Roman" w:eastAsia="Times New Roman" w:hAnsi="Times New Roman"/>
          <w:sz w:val="12"/>
          <w:szCs w:val="12"/>
          <w:b w:val="1"/>
          <w:bCs w:val="1"/>
          <w:color w:val="auto"/>
        </w:rPr>
        <w:t>to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403860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63" w:name="page164"/>
    <w:bookmarkEnd w:id="163"/>
    <w:p>
      <w:pPr>
        <w:ind w:left="9240"/>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1240" w:type="dxa"/>
            <w:vAlign w:val="bottom"/>
            <w:gridSpan w:val="3"/>
          </w:tcPr>
          <w:p>
            <w:pPr>
              <w:ind w:left="3720"/>
              <w:spacing w:after="0"/>
              <w:rPr>
                <w:sz w:val="20"/>
                <w:szCs w:val="20"/>
                <w:color w:val="auto"/>
              </w:rPr>
            </w:pPr>
            <w:r>
              <w:rPr>
                <w:rFonts w:ascii="Arial" w:cs="Arial" w:eastAsia="Arial" w:hAnsi="Arial"/>
                <w:sz w:val="18"/>
                <w:szCs w:val="18"/>
                <w:b w:val="1"/>
                <w:bCs w:val="1"/>
                <w:color w:val="auto"/>
              </w:rPr>
              <w:t>SUBSIDIARIES OF FLYWIRE CORPORATION</w:t>
            </w:r>
          </w:p>
        </w:tc>
      </w:tr>
      <w:tr>
        <w:trPr>
          <w:trHeight w:val="123"/>
        </w:trPr>
        <w:tc>
          <w:tcPr>
            <w:tcW w:w="5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300" w:type="dxa"/>
            <w:vAlign w:val="bottom"/>
          </w:tcPr>
          <w:p>
            <w:pPr>
              <w:spacing w:after="0"/>
              <w:rPr>
                <w:sz w:val="10"/>
                <w:szCs w:val="10"/>
                <w:color w:val="auto"/>
              </w:rPr>
            </w:pPr>
          </w:p>
        </w:tc>
      </w:tr>
      <w:tr>
        <w:trPr>
          <w:trHeight w:val="256"/>
        </w:trPr>
        <w:tc>
          <w:tcPr>
            <w:tcW w:w="5680" w:type="dxa"/>
            <w:vAlign w:val="bottom"/>
            <w:tcBorders>
              <w:left w:val="single" w:sz="8" w:color="4BACC6"/>
              <w:right w:val="single" w:sz="8" w:color="4BACC6"/>
            </w:tcBorders>
            <w:shd w:val="clear" w:color="auto" w:fill="4BACC6"/>
          </w:tcPr>
          <w:p>
            <w:pPr>
              <w:ind w:left="120"/>
              <w:spacing w:after="0"/>
              <w:rPr>
                <w:sz w:val="20"/>
                <w:szCs w:val="20"/>
                <w:color w:val="auto"/>
              </w:rPr>
            </w:pPr>
            <w:r>
              <w:rPr>
                <w:rFonts w:ascii="Arial" w:cs="Arial" w:eastAsia="Arial" w:hAnsi="Arial"/>
                <w:sz w:val="18"/>
                <w:szCs w:val="18"/>
                <w:color w:val="auto"/>
              </w:rPr>
              <w:t>Name of Subsidiary</w:t>
            </w:r>
          </w:p>
        </w:tc>
        <w:tc>
          <w:tcPr>
            <w:tcW w:w="260" w:type="dxa"/>
            <w:vAlign w:val="bottom"/>
            <w:tcBorders>
              <w:right w:val="single" w:sz="8" w:color="4BACC6"/>
            </w:tcBorders>
            <w:shd w:val="clear" w:color="auto" w:fill="4BACC6"/>
          </w:tcPr>
          <w:p>
            <w:pPr>
              <w:spacing w:after="0"/>
              <w:rPr>
                <w:sz w:val="22"/>
                <w:szCs w:val="22"/>
                <w:color w:val="auto"/>
              </w:rPr>
            </w:pPr>
          </w:p>
        </w:tc>
        <w:tc>
          <w:tcPr>
            <w:tcW w:w="5300" w:type="dxa"/>
            <w:vAlign w:val="bottom"/>
            <w:tcBorders>
              <w:right w:val="single" w:sz="8" w:color="4BACC6"/>
            </w:tcBorders>
            <w:shd w:val="clear" w:color="auto" w:fill="4BACC6"/>
          </w:tcPr>
          <w:p>
            <w:pPr>
              <w:ind w:left="80"/>
              <w:spacing w:after="0"/>
              <w:rPr>
                <w:sz w:val="20"/>
                <w:szCs w:val="20"/>
                <w:color w:val="auto"/>
              </w:rPr>
            </w:pPr>
            <w:r>
              <w:rPr>
                <w:rFonts w:ascii="Arial" w:cs="Arial" w:eastAsia="Arial" w:hAnsi="Arial"/>
                <w:sz w:val="18"/>
                <w:szCs w:val="18"/>
                <w:color w:val="auto"/>
              </w:rPr>
              <w:t>Jurisdiction of Organization</w:t>
            </w:r>
          </w:p>
        </w:tc>
      </w:tr>
      <w:tr>
        <w:trPr>
          <w:trHeight w:val="239"/>
        </w:trPr>
        <w:tc>
          <w:tcPr>
            <w:tcW w:w="5680" w:type="dxa"/>
            <w:vAlign w:val="bottom"/>
            <w:tcBorders>
              <w:left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LATAM Corporation</w:t>
            </w:r>
          </w:p>
        </w:tc>
        <w:tc>
          <w:tcPr>
            <w:tcW w:w="260" w:type="dxa"/>
            <w:vAlign w:val="bottom"/>
            <w:tcBorders>
              <w:right w:val="single" w:sz="8" w:color="92CDDC"/>
            </w:tcBorders>
            <w:shd w:val="clear" w:color="auto" w:fill="DAEEF3"/>
          </w:tcPr>
          <w:p>
            <w:pPr>
              <w:spacing w:after="0"/>
              <w:rPr>
                <w:sz w:val="20"/>
                <w:szCs w:val="20"/>
                <w:color w:val="auto"/>
              </w:rPr>
            </w:pPr>
          </w:p>
        </w:tc>
        <w:tc>
          <w:tcPr>
            <w:tcW w:w="5300" w:type="dxa"/>
            <w:vAlign w:val="bottom"/>
            <w:tcBorders>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right w:val="single" w:sz="8" w:color="92CDDC"/>
            </w:tcBorders>
            <w:shd w:val="clear" w:color="auto" w:fill="DAEEF3"/>
          </w:tcPr>
          <w:p>
            <w:pPr>
              <w:spacing w:after="0"/>
              <w:rPr>
                <w:sz w:val="16"/>
                <w:szCs w:val="16"/>
                <w:color w:val="auto"/>
              </w:rPr>
            </w:pPr>
          </w:p>
        </w:tc>
        <w:tc>
          <w:tcPr>
            <w:tcW w:w="260" w:type="dxa"/>
            <w:vAlign w:val="bottom"/>
            <w:tcBorders>
              <w:bottom w:val="single" w:sz="8" w:color="92CDDC"/>
              <w:right w:val="single" w:sz="8" w:color="92CDDC"/>
            </w:tcBorders>
            <w:shd w:val="clear" w:color="auto" w:fill="DAEEF3"/>
          </w:tcPr>
          <w:p>
            <w:pPr>
              <w:spacing w:after="0"/>
              <w:rPr>
                <w:sz w:val="16"/>
                <w:szCs w:val="16"/>
                <w:color w:val="auto"/>
              </w:rPr>
            </w:pPr>
          </w:p>
        </w:tc>
        <w:tc>
          <w:tcPr>
            <w:tcW w:w="530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Flywire AEA Corporation</w:t>
            </w:r>
          </w:p>
        </w:tc>
        <w:tc>
          <w:tcPr>
            <w:tcW w:w="260" w:type="dxa"/>
            <w:vAlign w:val="bottom"/>
            <w:tcBorders>
              <w:right w:val="single" w:sz="8" w:color="92CDDC"/>
            </w:tcBorders>
          </w:tcPr>
          <w:p>
            <w:pPr>
              <w:spacing w:after="0"/>
              <w:rPr>
                <w:sz w:val="20"/>
                <w:szCs w:val="20"/>
                <w:color w:val="auto"/>
              </w:rPr>
            </w:pPr>
          </w:p>
        </w:tc>
        <w:tc>
          <w:tcPr>
            <w:tcW w:w="5300" w:type="dxa"/>
            <w:vAlign w:val="bottom"/>
            <w:tcBorders>
              <w:right w:val="single" w:sz="8" w:color="92CDDC"/>
            </w:tcBorders>
          </w:tcPr>
          <w:p>
            <w:pPr>
              <w:ind w:left="8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right w:val="single" w:sz="8" w:color="92CDDC"/>
            </w:tcBorders>
          </w:tcPr>
          <w:p>
            <w:pPr>
              <w:spacing w:after="0"/>
              <w:rPr>
                <w:sz w:val="16"/>
                <w:szCs w:val="16"/>
                <w:color w:val="auto"/>
              </w:rPr>
            </w:pPr>
          </w:p>
        </w:tc>
        <w:tc>
          <w:tcPr>
            <w:tcW w:w="260" w:type="dxa"/>
            <w:vAlign w:val="bottom"/>
            <w:tcBorders>
              <w:bottom w:val="single" w:sz="8" w:color="92CDDC"/>
              <w:right w:val="single" w:sz="8" w:color="92CDDC"/>
            </w:tcBorders>
          </w:tcPr>
          <w:p>
            <w:pPr>
              <w:spacing w:after="0"/>
              <w:rPr>
                <w:sz w:val="16"/>
                <w:szCs w:val="16"/>
                <w:color w:val="auto"/>
              </w:rPr>
            </w:pPr>
          </w:p>
        </w:tc>
        <w:tc>
          <w:tcPr>
            <w:tcW w:w="5300" w:type="dxa"/>
            <w:vAlign w:val="bottom"/>
            <w:tcBorders>
              <w:bottom w:val="single" w:sz="8" w:color="92CDDC"/>
              <w:right w:val="single" w:sz="8" w:color="92CDDC"/>
            </w:tcBorders>
          </w:tcPr>
          <w:p>
            <w:pPr>
              <w:spacing w:after="0"/>
              <w:rPr>
                <w:sz w:val="16"/>
                <w:szCs w:val="16"/>
                <w:color w:val="auto"/>
              </w:rPr>
            </w:pPr>
          </w:p>
        </w:tc>
      </w:tr>
      <w:tr>
        <w:trPr>
          <w:trHeight w:val="232"/>
        </w:trPr>
        <w:tc>
          <w:tcPr>
            <w:tcW w:w="5680" w:type="dxa"/>
            <w:vAlign w:val="bottom"/>
            <w:tcBorders>
              <w:left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Healthcare Corporation</w:t>
            </w:r>
          </w:p>
        </w:tc>
        <w:tc>
          <w:tcPr>
            <w:tcW w:w="260" w:type="dxa"/>
            <w:vAlign w:val="bottom"/>
            <w:tcBorders>
              <w:right w:val="single" w:sz="8" w:color="92CDDC"/>
            </w:tcBorders>
            <w:shd w:val="clear" w:color="auto" w:fill="DAEEF3"/>
          </w:tcPr>
          <w:p>
            <w:pPr>
              <w:spacing w:after="0"/>
              <w:rPr>
                <w:sz w:val="20"/>
                <w:szCs w:val="20"/>
                <w:color w:val="auto"/>
              </w:rPr>
            </w:pPr>
          </w:p>
        </w:tc>
        <w:tc>
          <w:tcPr>
            <w:tcW w:w="5300" w:type="dxa"/>
            <w:vAlign w:val="bottom"/>
            <w:tcBorders>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right w:val="single" w:sz="8" w:color="92CDDC"/>
            </w:tcBorders>
            <w:shd w:val="clear" w:color="auto" w:fill="DAEEF3"/>
          </w:tcPr>
          <w:p>
            <w:pPr>
              <w:spacing w:after="0"/>
              <w:rPr>
                <w:sz w:val="16"/>
                <w:szCs w:val="16"/>
                <w:color w:val="auto"/>
              </w:rPr>
            </w:pPr>
          </w:p>
        </w:tc>
        <w:tc>
          <w:tcPr>
            <w:tcW w:w="260" w:type="dxa"/>
            <w:vAlign w:val="bottom"/>
            <w:tcBorders>
              <w:bottom w:val="single" w:sz="8" w:color="92CDDC"/>
              <w:right w:val="single" w:sz="8" w:color="92CDDC"/>
            </w:tcBorders>
            <w:shd w:val="clear" w:color="auto" w:fill="DAEEF3"/>
          </w:tcPr>
          <w:p>
            <w:pPr>
              <w:spacing w:after="0"/>
              <w:rPr>
                <w:sz w:val="16"/>
                <w:szCs w:val="16"/>
                <w:color w:val="auto"/>
              </w:rPr>
            </w:pPr>
          </w:p>
        </w:tc>
        <w:tc>
          <w:tcPr>
            <w:tcW w:w="530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23"/>
        </w:trPr>
        <w:tc>
          <w:tcPr>
            <w:tcW w:w="5680" w:type="dxa"/>
            <w:vAlign w:val="bottom"/>
            <w:tcBorders>
              <w:left w:val="single" w:sz="8" w:color="92CDDC"/>
              <w:bottom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Flywire U.S. Holdings, Inc.</w:t>
            </w:r>
          </w:p>
        </w:tc>
        <w:tc>
          <w:tcPr>
            <w:tcW w:w="260" w:type="dxa"/>
            <w:vAlign w:val="bottom"/>
            <w:tcBorders>
              <w:bottom w:val="single" w:sz="8" w:color="92CDDC"/>
              <w:right w:val="single" w:sz="8" w:color="92CDDC"/>
            </w:tcBorders>
          </w:tcPr>
          <w:p>
            <w:pPr>
              <w:spacing w:after="0"/>
              <w:rPr>
                <w:sz w:val="19"/>
                <w:szCs w:val="19"/>
                <w:color w:val="auto"/>
              </w:rPr>
            </w:pPr>
          </w:p>
        </w:tc>
        <w:tc>
          <w:tcPr>
            <w:tcW w:w="5300" w:type="dxa"/>
            <w:vAlign w:val="bottom"/>
            <w:tcBorders>
              <w:bottom w:val="single" w:sz="8" w:color="92CDDC"/>
              <w:right w:val="single" w:sz="8" w:color="92CDDC"/>
            </w:tcBorders>
          </w:tcPr>
          <w:p>
            <w:pPr>
              <w:ind w:left="80"/>
              <w:spacing w:after="0"/>
              <w:rPr>
                <w:sz w:val="20"/>
                <w:szCs w:val="20"/>
                <w:color w:val="auto"/>
              </w:rPr>
            </w:pPr>
            <w:r>
              <w:rPr>
                <w:rFonts w:ascii="Arial" w:cs="Arial" w:eastAsia="Arial" w:hAnsi="Arial"/>
                <w:sz w:val="18"/>
                <w:szCs w:val="18"/>
                <w:color w:val="auto"/>
              </w:rPr>
              <w:t>United States of America</w:t>
            </w:r>
          </w:p>
        </w:tc>
      </w:tr>
      <w:tr>
        <w:trPr>
          <w:trHeight w:val="232"/>
        </w:trPr>
        <w:tc>
          <w:tcPr>
            <w:tcW w:w="5680" w:type="dxa"/>
            <w:vAlign w:val="bottom"/>
            <w:tcBorders>
              <w:left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OnPlan Holdings, LLC</w:t>
            </w:r>
          </w:p>
        </w:tc>
        <w:tc>
          <w:tcPr>
            <w:tcW w:w="260" w:type="dxa"/>
            <w:vAlign w:val="bottom"/>
            <w:tcBorders>
              <w:right w:val="single" w:sz="8" w:color="92CDDC"/>
            </w:tcBorders>
            <w:shd w:val="clear" w:color="auto" w:fill="DAEEF3"/>
          </w:tcPr>
          <w:p>
            <w:pPr>
              <w:spacing w:after="0"/>
              <w:rPr>
                <w:sz w:val="20"/>
                <w:szCs w:val="20"/>
                <w:color w:val="auto"/>
              </w:rPr>
            </w:pPr>
          </w:p>
        </w:tc>
        <w:tc>
          <w:tcPr>
            <w:tcW w:w="5300" w:type="dxa"/>
            <w:vAlign w:val="bottom"/>
            <w:tcBorders>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right w:val="single" w:sz="8" w:color="92CDDC"/>
            </w:tcBorders>
            <w:shd w:val="clear" w:color="auto" w:fill="DAEEF3"/>
          </w:tcPr>
          <w:p>
            <w:pPr>
              <w:spacing w:after="0"/>
              <w:rPr>
                <w:sz w:val="16"/>
                <w:szCs w:val="16"/>
                <w:color w:val="auto"/>
              </w:rPr>
            </w:pPr>
          </w:p>
        </w:tc>
        <w:tc>
          <w:tcPr>
            <w:tcW w:w="260" w:type="dxa"/>
            <w:vAlign w:val="bottom"/>
            <w:tcBorders>
              <w:bottom w:val="single" w:sz="8" w:color="92CDDC"/>
              <w:right w:val="single" w:sz="8" w:color="92CDDC"/>
            </w:tcBorders>
            <w:shd w:val="clear" w:color="auto" w:fill="DAEEF3"/>
          </w:tcPr>
          <w:p>
            <w:pPr>
              <w:spacing w:after="0"/>
              <w:rPr>
                <w:sz w:val="16"/>
                <w:szCs w:val="16"/>
                <w:color w:val="auto"/>
              </w:rPr>
            </w:pPr>
          </w:p>
        </w:tc>
        <w:tc>
          <w:tcPr>
            <w:tcW w:w="530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Flywire Securities Corporation</w:t>
            </w:r>
          </w:p>
        </w:tc>
        <w:tc>
          <w:tcPr>
            <w:tcW w:w="260" w:type="dxa"/>
            <w:vAlign w:val="bottom"/>
            <w:tcBorders>
              <w:right w:val="single" w:sz="8" w:color="92CDDC"/>
            </w:tcBorders>
          </w:tcPr>
          <w:p>
            <w:pPr>
              <w:spacing w:after="0"/>
              <w:rPr>
                <w:sz w:val="20"/>
                <w:szCs w:val="20"/>
                <w:color w:val="auto"/>
              </w:rPr>
            </w:pPr>
          </w:p>
        </w:tc>
        <w:tc>
          <w:tcPr>
            <w:tcW w:w="5300" w:type="dxa"/>
            <w:vAlign w:val="bottom"/>
            <w:tcBorders>
              <w:right w:val="single" w:sz="8" w:color="92CDDC"/>
            </w:tcBorders>
          </w:tcPr>
          <w:p>
            <w:pPr>
              <w:ind w:left="8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right w:val="single" w:sz="8" w:color="92CDDC"/>
            </w:tcBorders>
          </w:tcPr>
          <w:p>
            <w:pPr>
              <w:spacing w:after="0"/>
              <w:rPr>
                <w:sz w:val="16"/>
                <w:szCs w:val="16"/>
                <w:color w:val="auto"/>
              </w:rPr>
            </w:pPr>
          </w:p>
        </w:tc>
        <w:tc>
          <w:tcPr>
            <w:tcW w:w="260" w:type="dxa"/>
            <w:vAlign w:val="bottom"/>
            <w:tcBorders>
              <w:bottom w:val="single" w:sz="8" w:color="92CDDC"/>
              <w:right w:val="single" w:sz="8" w:color="92CDDC"/>
            </w:tcBorders>
          </w:tcPr>
          <w:p>
            <w:pPr>
              <w:spacing w:after="0"/>
              <w:rPr>
                <w:sz w:val="16"/>
                <w:szCs w:val="16"/>
                <w:color w:val="auto"/>
              </w:rPr>
            </w:pPr>
          </w:p>
        </w:tc>
        <w:tc>
          <w:tcPr>
            <w:tcW w:w="5300" w:type="dxa"/>
            <w:vAlign w:val="bottom"/>
            <w:tcBorders>
              <w:bottom w:val="single" w:sz="8" w:color="92CDDC"/>
              <w:right w:val="single" w:sz="8" w:color="92CDDC"/>
            </w:tcBorders>
          </w:tcPr>
          <w:p>
            <w:pPr>
              <w:spacing w:after="0"/>
              <w:rPr>
                <w:sz w:val="16"/>
                <w:szCs w:val="16"/>
                <w:color w:val="auto"/>
              </w:rPr>
            </w:pPr>
          </w:p>
        </w:tc>
      </w:tr>
      <w:tr>
        <w:trPr>
          <w:trHeight w:val="232"/>
        </w:trPr>
        <w:tc>
          <w:tcPr>
            <w:tcW w:w="5680" w:type="dxa"/>
            <w:vAlign w:val="bottom"/>
            <w:tcBorders>
              <w:left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Global Corp.</w:t>
            </w:r>
          </w:p>
        </w:tc>
        <w:tc>
          <w:tcPr>
            <w:tcW w:w="260" w:type="dxa"/>
            <w:vAlign w:val="bottom"/>
            <w:tcBorders>
              <w:right w:val="single" w:sz="8" w:color="92CDDC"/>
            </w:tcBorders>
            <w:shd w:val="clear" w:color="auto" w:fill="DAEEF3"/>
          </w:tcPr>
          <w:p>
            <w:pPr>
              <w:spacing w:after="0"/>
              <w:rPr>
                <w:sz w:val="20"/>
                <w:szCs w:val="20"/>
                <w:color w:val="auto"/>
              </w:rPr>
            </w:pPr>
          </w:p>
        </w:tc>
        <w:tc>
          <w:tcPr>
            <w:tcW w:w="5300" w:type="dxa"/>
            <w:vAlign w:val="bottom"/>
            <w:tcBorders>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right w:val="single" w:sz="8" w:color="92CDDC"/>
            </w:tcBorders>
            <w:shd w:val="clear" w:color="auto" w:fill="DAEEF3"/>
          </w:tcPr>
          <w:p>
            <w:pPr>
              <w:spacing w:after="0"/>
              <w:rPr>
                <w:sz w:val="16"/>
                <w:szCs w:val="16"/>
                <w:color w:val="auto"/>
              </w:rPr>
            </w:pPr>
          </w:p>
        </w:tc>
        <w:tc>
          <w:tcPr>
            <w:tcW w:w="260" w:type="dxa"/>
            <w:vAlign w:val="bottom"/>
            <w:tcBorders>
              <w:bottom w:val="single" w:sz="8" w:color="92CDDC"/>
              <w:right w:val="single" w:sz="8" w:color="92CDDC"/>
            </w:tcBorders>
            <w:shd w:val="clear" w:color="auto" w:fill="DAEEF3"/>
          </w:tcPr>
          <w:p>
            <w:pPr>
              <w:spacing w:after="0"/>
              <w:rPr>
                <w:sz w:val="16"/>
                <w:szCs w:val="16"/>
                <w:color w:val="auto"/>
              </w:rPr>
            </w:pPr>
          </w:p>
        </w:tc>
        <w:tc>
          <w:tcPr>
            <w:tcW w:w="530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Flywire Payments Corporation</w:t>
            </w:r>
          </w:p>
        </w:tc>
        <w:tc>
          <w:tcPr>
            <w:tcW w:w="260" w:type="dxa"/>
            <w:vAlign w:val="bottom"/>
            <w:tcBorders>
              <w:right w:val="single" w:sz="8" w:color="92CDDC"/>
            </w:tcBorders>
          </w:tcPr>
          <w:p>
            <w:pPr>
              <w:spacing w:after="0"/>
              <w:rPr>
                <w:sz w:val="20"/>
                <w:szCs w:val="20"/>
                <w:color w:val="auto"/>
              </w:rPr>
            </w:pPr>
          </w:p>
        </w:tc>
        <w:tc>
          <w:tcPr>
            <w:tcW w:w="5300" w:type="dxa"/>
            <w:vAlign w:val="bottom"/>
            <w:tcBorders>
              <w:right w:val="single" w:sz="8" w:color="92CDDC"/>
            </w:tcBorders>
          </w:tcPr>
          <w:p>
            <w:pPr>
              <w:ind w:left="8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right w:val="single" w:sz="8" w:color="92CDDC"/>
            </w:tcBorders>
          </w:tcPr>
          <w:p>
            <w:pPr>
              <w:spacing w:after="0"/>
              <w:rPr>
                <w:sz w:val="16"/>
                <w:szCs w:val="16"/>
                <w:color w:val="auto"/>
              </w:rPr>
            </w:pPr>
          </w:p>
        </w:tc>
        <w:tc>
          <w:tcPr>
            <w:tcW w:w="260" w:type="dxa"/>
            <w:vAlign w:val="bottom"/>
            <w:tcBorders>
              <w:bottom w:val="single" w:sz="8" w:color="92CDDC"/>
              <w:right w:val="single" w:sz="8" w:color="92CDDC"/>
            </w:tcBorders>
          </w:tcPr>
          <w:p>
            <w:pPr>
              <w:spacing w:after="0"/>
              <w:rPr>
                <w:sz w:val="16"/>
                <w:szCs w:val="16"/>
                <w:color w:val="auto"/>
              </w:rPr>
            </w:pPr>
          </w:p>
        </w:tc>
        <w:tc>
          <w:tcPr>
            <w:tcW w:w="5300" w:type="dxa"/>
            <w:vAlign w:val="bottom"/>
            <w:tcBorders>
              <w:bottom w:val="single" w:sz="8" w:color="92CDDC"/>
              <w:right w:val="single" w:sz="8" w:color="92CDDC"/>
            </w:tcBorders>
          </w:tcPr>
          <w:p>
            <w:pPr>
              <w:spacing w:after="0"/>
              <w:rPr>
                <w:sz w:val="16"/>
                <w:szCs w:val="16"/>
                <w:color w:val="auto"/>
              </w:rPr>
            </w:pPr>
          </w:p>
        </w:tc>
      </w:tr>
      <w:tr>
        <w:trPr>
          <w:trHeight w:val="232"/>
        </w:trPr>
        <w:tc>
          <w:tcPr>
            <w:tcW w:w="5680" w:type="dxa"/>
            <w:vAlign w:val="bottom"/>
            <w:tcBorders>
              <w:left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Simplificare Inc.</w:t>
            </w:r>
          </w:p>
        </w:tc>
        <w:tc>
          <w:tcPr>
            <w:tcW w:w="260" w:type="dxa"/>
            <w:vAlign w:val="bottom"/>
            <w:tcBorders>
              <w:right w:val="single" w:sz="8" w:color="92CDDC"/>
            </w:tcBorders>
            <w:shd w:val="clear" w:color="auto" w:fill="DAEEF3"/>
          </w:tcPr>
          <w:p>
            <w:pPr>
              <w:spacing w:after="0"/>
              <w:rPr>
                <w:sz w:val="20"/>
                <w:szCs w:val="20"/>
                <w:color w:val="auto"/>
              </w:rPr>
            </w:pPr>
          </w:p>
        </w:tc>
        <w:tc>
          <w:tcPr>
            <w:tcW w:w="5300" w:type="dxa"/>
            <w:vAlign w:val="bottom"/>
            <w:tcBorders>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United States of America</w:t>
            </w:r>
          </w:p>
        </w:tc>
      </w:tr>
      <w:tr>
        <w:trPr>
          <w:trHeight w:val="193"/>
        </w:trPr>
        <w:tc>
          <w:tcPr>
            <w:tcW w:w="5680" w:type="dxa"/>
            <w:vAlign w:val="bottom"/>
            <w:tcBorders>
              <w:left w:val="single" w:sz="8" w:color="92CDDC"/>
              <w:bottom w:val="single" w:sz="8" w:color="92CDDC"/>
              <w:right w:val="single" w:sz="8" w:color="92CDDC"/>
            </w:tcBorders>
            <w:shd w:val="clear" w:color="auto" w:fill="DAEEF3"/>
          </w:tcPr>
          <w:p>
            <w:pPr>
              <w:spacing w:after="0"/>
              <w:rPr>
                <w:sz w:val="16"/>
                <w:szCs w:val="16"/>
                <w:color w:val="auto"/>
              </w:rPr>
            </w:pPr>
          </w:p>
        </w:tc>
        <w:tc>
          <w:tcPr>
            <w:tcW w:w="260" w:type="dxa"/>
            <w:vAlign w:val="bottom"/>
            <w:tcBorders>
              <w:bottom w:val="single" w:sz="8" w:color="92CDDC"/>
              <w:right w:val="single" w:sz="8" w:color="92CDDC"/>
            </w:tcBorders>
            <w:shd w:val="clear" w:color="auto" w:fill="DAEEF3"/>
          </w:tcPr>
          <w:p>
            <w:pPr>
              <w:spacing w:after="0"/>
              <w:rPr>
                <w:sz w:val="16"/>
                <w:szCs w:val="16"/>
                <w:color w:val="auto"/>
              </w:rPr>
            </w:pPr>
          </w:p>
        </w:tc>
        <w:tc>
          <w:tcPr>
            <w:tcW w:w="530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Flywire Pacific Pty Ltd</w:t>
            </w:r>
          </w:p>
        </w:tc>
        <w:tc>
          <w:tcPr>
            <w:tcW w:w="260" w:type="dxa"/>
            <w:vAlign w:val="bottom"/>
            <w:tcBorders>
              <w:right w:val="single" w:sz="8" w:color="92CDDC"/>
            </w:tcBorders>
          </w:tcPr>
          <w:p>
            <w:pPr>
              <w:spacing w:after="0"/>
              <w:rPr>
                <w:sz w:val="20"/>
                <w:szCs w:val="20"/>
                <w:color w:val="auto"/>
              </w:rPr>
            </w:pPr>
          </w:p>
        </w:tc>
        <w:tc>
          <w:tcPr>
            <w:tcW w:w="5300" w:type="dxa"/>
            <w:vAlign w:val="bottom"/>
            <w:tcBorders>
              <w:right w:val="single" w:sz="8" w:color="92CDDC"/>
            </w:tcBorders>
          </w:tcPr>
          <w:p>
            <w:pPr>
              <w:ind w:left="80"/>
              <w:spacing w:after="0"/>
              <w:rPr>
                <w:sz w:val="20"/>
                <w:szCs w:val="20"/>
                <w:color w:val="auto"/>
              </w:rPr>
            </w:pPr>
            <w:r>
              <w:rPr>
                <w:rFonts w:ascii="Arial" w:cs="Arial" w:eastAsia="Arial" w:hAnsi="Arial"/>
                <w:sz w:val="18"/>
                <w:szCs w:val="18"/>
                <w:color w:val="auto"/>
              </w:rPr>
              <w:t>Australia</w:t>
            </w:r>
          </w:p>
        </w:tc>
      </w:tr>
      <w:tr>
        <w:trPr>
          <w:trHeight w:val="193"/>
        </w:trPr>
        <w:tc>
          <w:tcPr>
            <w:tcW w:w="5680" w:type="dxa"/>
            <w:vAlign w:val="bottom"/>
            <w:tcBorders>
              <w:left w:val="single" w:sz="8" w:color="92CDDC"/>
              <w:bottom w:val="single" w:sz="8" w:color="92CDDC"/>
              <w:right w:val="single" w:sz="8" w:color="92CDDC"/>
            </w:tcBorders>
          </w:tcPr>
          <w:p>
            <w:pPr>
              <w:spacing w:after="0"/>
              <w:rPr>
                <w:sz w:val="16"/>
                <w:szCs w:val="16"/>
                <w:color w:val="auto"/>
              </w:rPr>
            </w:pPr>
          </w:p>
        </w:tc>
        <w:tc>
          <w:tcPr>
            <w:tcW w:w="260" w:type="dxa"/>
            <w:vAlign w:val="bottom"/>
            <w:tcBorders>
              <w:bottom w:val="single" w:sz="8" w:color="92CDDC"/>
              <w:right w:val="single" w:sz="8" w:color="92CDDC"/>
            </w:tcBorders>
          </w:tcPr>
          <w:p>
            <w:pPr>
              <w:spacing w:after="0"/>
              <w:rPr>
                <w:sz w:val="16"/>
                <w:szCs w:val="16"/>
                <w:color w:val="auto"/>
              </w:rPr>
            </w:pPr>
          </w:p>
        </w:tc>
        <w:tc>
          <w:tcPr>
            <w:tcW w:w="5300" w:type="dxa"/>
            <w:vAlign w:val="bottom"/>
            <w:tcBorders>
              <w:bottom w:val="single" w:sz="8" w:color="92CDDC"/>
              <w:right w:val="single" w:sz="8" w:color="92CDDC"/>
            </w:tcBorders>
          </w:tcPr>
          <w:p>
            <w:pPr>
              <w:spacing w:after="0"/>
              <w:rPr>
                <w:sz w:val="16"/>
                <w:szCs w:val="16"/>
                <w:color w:val="auto"/>
              </w:rPr>
            </w:pPr>
          </w:p>
        </w:tc>
      </w:tr>
      <w:tr>
        <w:trPr>
          <w:trHeight w:val="223"/>
        </w:trPr>
        <w:tc>
          <w:tcPr>
            <w:tcW w:w="5680" w:type="dxa"/>
            <w:vAlign w:val="bottom"/>
            <w:tcBorders>
              <w:left w:val="single" w:sz="8" w:color="92CDDC"/>
              <w:bottom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Cohort Solutions Pty Ltd</w:t>
            </w:r>
          </w:p>
        </w:tc>
        <w:tc>
          <w:tcPr>
            <w:tcW w:w="260" w:type="dxa"/>
            <w:vAlign w:val="bottom"/>
            <w:tcBorders>
              <w:bottom w:val="single" w:sz="8" w:color="92CDDC"/>
              <w:right w:val="single" w:sz="8" w:color="92CDDC"/>
            </w:tcBorders>
            <w:shd w:val="clear" w:color="auto" w:fill="DAEEF3"/>
          </w:tcPr>
          <w:p>
            <w:pPr>
              <w:spacing w:after="0"/>
              <w:rPr>
                <w:sz w:val="19"/>
                <w:szCs w:val="19"/>
                <w:color w:val="auto"/>
              </w:rPr>
            </w:pPr>
          </w:p>
        </w:tc>
        <w:tc>
          <w:tcPr>
            <w:tcW w:w="5300" w:type="dxa"/>
            <w:vAlign w:val="bottom"/>
            <w:tcBorders>
              <w:bottom w:val="single" w:sz="8" w:color="92CDDC"/>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Australia</w:t>
            </w:r>
          </w:p>
        </w:tc>
      </w:tr>
      <w:tr>
        <w:trPr>
          <w:trHeight w:val="223"/>
        </w:trPr>
        <w:tc>
          <w:tcPr>
            <w:tcW w:w="5680" w:type="dxa"/>
            <w:vAlign w:val="bottom"/>
            <w:tcBorders>
              <w:left w:val="single" w:sz="8" w:color="92CDDC"/>
              <w:bottom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OSHC Australia Pty Ltd</w:t>
            </w:r>
          </w:p>
        </w:tc>
        <w:tc>
          <w:tcPr>
            <w:tcW w:w="260" w:type="dxa"/>
            <w:vAlign w:val="bottom"/>
            <w:tcBorders>
              <w:bottom w:val="single" w:sz="8" w:color="92CDDC"/>
              <w:right w:val="single" w:sz="8" w:color="92CDDC"/>
            </w:tcBorders>
          </w:tcPr>
          <w:p>
            <w:pPr>
              <w:spacing w:after="0"/>
              <w:rPr>
                <w:sz w:val="19"/>
                <w:szCs w:val="19"/>
                <w:color w:val="auto"/>
              </w:rPr>
            </w:pPr>
          </w:p>
        </w:tc>
        <w:tc>
          <w:tcPr>
            <w:tcW w:w="5300" w:type="dxa"/>
            <w:vAlign w:val="bottom"/>
            <w:tcBorders>
              <w:bottom w:val="single" w:sz="8" w:color="92CDDC"/>
              <w:right w:val="single" w:sz="8" w:color="92CDDC"/>
            </w:tcBorders>
          </w:tcPr>
          <w:p>
            <w:pPr>
              <w:ind w:left="80"/>
              <w:spacing w:after="0"/>
              <w:rPr>
                <w:sz w:val="20"/>
                <w:szCs w:val="20"/>
                <w:color w:val="auto"/>
              </w:rPr>
            </w:pPr>
            <w:r>
              <w:rPr>
                <w:rFonts w:ascii="Arial" w:cs="Arial" w:eastAsia="Arial" w:hAnsi="Arial"/>
                <w:sz w:val="18"/>
                <w:szCs w:val="18"/>
                <w:color w:val="auto"/>
              </w:rPr>
              <w:t>Australia</w:t>
            </w:r>
          </w:p>
        </w:tc>
      </w:tr>
      <w:tr>
        <w:trPr>
          <w:trHeight w:val="223"/>
        </w:trPr>
        <w:tc>
          <w:tcPr>
            <w:tcW w:w="5680" w:type="dxa"/>
            <w:vAlign w:val="bottom"/>
            <w:tcBorders>
              <w:left w:val="single" w:sz="8" w:color="92CDDC"/>
              <w:bottom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Learning Information Systems Pty Limited</w:t>
            </w:r>
          </w:p>
        </w:tc>
        <w:tc>
          <w:tcPr>
            <w:tcW w:w="260" w:type="dxa"/>
            <w:vAlign w:val="bottom"/>
            <w:tcBorders>
              <w:bottom w:val="single" w:sz="8" w:color="92CDDC"/>
              <w:right w:val="single" w:sz="8" w:color="92CDDC"/>
            </w:tcBorders>
            <w:shd w:val="clear" w:color="auto" w:fill="DAEEF3"/>
          </w:tcPr>
          <w:p>
            <w:pPr>
              <w:spacing w:after="0"/>
              <w:rPr>
                <w:sz w:val="19"/>
                <w:szCs w:val="19"/>
                <w:color w:val="auto"/>
              </w:rPr>
            </w:pPr>
          </w:p>
        </w:tc>
        <w:tc>
          <w:tcPr>
            <w:tcW w:w="5300" w:type="dxa"/>
            <w:vAlign w:val="bottom"/>
            <w:tcBorders>
              <w:bottom w:val="single" w:sz="8" w:color="92CDDC"/>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Australia</w:t>
            </w:r>
          </w:p>
        </w:tc>
      </w:tr>
      <w:tr>
        <w:trPr>
          <w:trHeight w:val="223"/>
        </w:trPr>
        <w:tc>
          <w:tcPr>
            <w:tcW w:w="5680" w:type="dxa"/>
            <w:vAlign w:val="bottom"/>
            <w:tcBorders>
              <w:left w:val="single" w:sz="8" w:color="92CDDC"/>
              <w:bottom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Cohort Go Brasil Representaçoes Eireli</w:t>
            </w:r>
          </w:p>
        </w:tc>
        <w:tc>
          <w:tcPr>
            <w:tcW w:w="260" w:type="dxa"/>
            <w:vAlign w:val="bottom"/>
            <w:tcBorders>
              <w:bottom w:val="single" w:sz="8" w:color="92CDDC"/>
              <w:right w:val="single" w:sz="8" w:color="92CDDC"/>
            </w:tcBorders>
          </w:tcPr>
          <w:p>
            <w:pPr>
              <w:spacing w:after="0"/>
              <w:rPr>
                <w:sz w:val="19"/>
                <w:szCs w:val="19"/>
                <w:color w:val="auto"/>
              </w:rPr>
            </w:pPr>
          </w:p>
        </w:tc>
        <w:tc>
          <w:tcPr>
            <w:tcW w:w="5300" w:type="dxa"/>
            <w:vAlign w:val="bottom"/>
            <w:tcBorders>
              <w:bottom w:val="single" w:sz="8" w:color="92CDDC"/>
              <w:right w:val="single" w:sz="8" w:color="92CDDC"/>
            </w:tcBorders>
          </w:tcPr>
          <w:p>
            <w:pPr>
              <w:ind w:left="80"/>
              <w:spacing w:after="0"/>
              <w:rPr>
                <w:sz w:val="20"/>
                <w:szCs w:val="20"/>
                <w:color w:val="auto"/>
              </w:rPr>
            </w:pPr>
            <w:r>
              <w:rPr>
                <w:rFonts w:ascii="Arial" w:cs="Arial" w:eastAsia="Arial" w:hAnsi="Arial"/>
                <w:sz w:val="18"/>
                <w:szCs w:val="18"/>
                <w:color w:val="auto"/>
              </w:rPr>
              <w:t>Brazil</w:t>
            </w:r>
          </w:p>
        </w:tc>
      </w:tr>
      <w:tr>
        <w:trPr>
          <w:trHeight w:val="232"/>
        </w:trPr>
        <w:tc>
          <w:tcPr>
            <w:tcW w:w="5680" w:type="dxa"/>
            <w:vAlign w:val="bottom"/>
            <w:tcBorders>
              <w:left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Serviços Ltda</w:t>
            </w:r>
          </w:p>
        </w:tc>
        <w:tc>
          <w:tcPr>
            <w:tcW w:w="260" w:type="dxa"/>
            <w:vAlign w:val="bottom"/>
            <w:tcBorders>
              <w:right w:val="single" w:sz="8" w:color="92CDDC"/>
            </w:tcBorders>
            <w:shd w:val="clear" w:color="auto" w:fill="DAEEF3"/>
          </w:tcPr>
          <w:p>
            <w:pPr>
              <w:spacing w:after="0"/>
              <w:rPr>
                <w:sz w:val="20"/>
                <w:szCs w:val="20"/>
                <w:color w:val="auto"/>
              </w:rPr>
            </w:pPr>
          </w:p>
        </w:tc>
        <w:tc>
          <w:tcPr>
            <w:tcW w:w="5300" w:type="dxa"/>
            <w:vAlign w:val="bottom"/>
            <w:tcBorders>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Brazil</w:t>
            </w:r>
          </w:p>
        </w:tc>
      </w:tr>
      <w:tr>
        <w:trPr>
          <w:trHeight w:val="193"/>
        </w:trPr>
        <w:tc>
          <w:tcPr>
            <w:tcW w:w="5680" w:type="dxa"/>
            <w:vAlign w:val="bottom"/>
            <w:tcBorders>
              <w:left w:val="single" w:sz="8" w:color="92CDDC"/>
              <w:bottom w:val="single" w:sz="8" w:color="92CDDC"/>
              <w:right w:val="single" w:sz="8" w:color="92CDDC"/>
            </w:tcBorders>
            <w:shd w:val="clear" w:color="auto" w:fill="DAEEF3"/>
          </w:tcPr>
          <w:p>
            <w:pPr>
              <w:spacing w:after="0"/>
              <w:rPr>
                <w:sz w:val="16"/>
                <w:szCs w:val="16"/>
                <w:color w:val="auto"/>
              </w:rPr>
            </w:pPr>
          </w:p>
        </w:tc>
        <w:tc>
          <w:tcPr>
            <w:tcW w:w="260" w:type="dxa"/>
            <w:vAlign w:val="bottom"/>
            <w:tcBorders>
              <w:bottom w:val="single" w:sz="8" w:color="92CDDC"/>
              <w:right w:val="single" w:sz="8" w:color="92CDDC"/>
            </w:tcBorders>
            <w:shd w:val="clear" w:color="auto" w:fill="DAEEF3"/>
          </w:tcPr>
          <w:p>
            <w:pPr>
              <w:spacing w:after="0"/>
              <w:rPr>
                <w:sz w:val="16"/>
                <w:szCs w:val="16"/>
                <w:color w:val="auto"/>
              </w:rPr>
            </w:pPr>
          </w:p>
        </w:tc>
        <w:tc>
          <w:tcPr>
            <w:tcW w:w="530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Flywire Canada, Inc.</w:t>
            </w:r>
          </w:p>
        </w:tc>
        <w:tc>
          <w:tcPr>
            <w:tcW w:w="260" w:type="dxa"/>
            <w:vAlign w:val="bottom"/>
            <w:tcBorders>
              <w:right w:val="single" w:sz="8" w:color="92CDDC"/>
            </w:tcBorders>
          </w:tcPr>
          <w:p>
            <w:pPr>
              <w:spacing w:after="0"/>
              <w:rPr>
                <w:sz w:val="20"/>
                <w:szCs w:val="20"/>
                <w:color w:val="auto"/>
              </w:rPr>
            </w:pPr>
          </w:p>
        </w:tc>
        <w:tc>
          <w:tcPr>
            <w:tcW w:w="5300" w:type="dxa"/>
            <w:vAlign w:val="bottom"/>
            <w:tcBorders>
              <w:right w:val="single" w:sz="8" w:color="92CDDC"/>
            </w:tcBorders>
          </w:tcPr>
          <w:p>
            <w:pPr>
              <w:ind w:left="80"/>
              <w:spacing w:after="0"/>
              <w:rPr>
                <w:sz w:val="20"/>
                <w:szCs w:val="20"/>
                <w:color w:val="auto"/>
              </w:rPr>
            </w:pPr>
            <w:r>
              <w:rPr>
                <w:rFonts w:ascii="Arial" w:cs="Arial" w:eastAsia="Arial" w:hAnsi="Arial"/>
                <w:sz w:val="18"/>
                <w:szCs w:val="18"/>
                <w:color w:val="auto"/>
              </w:rPr>
              <w:t>Canada</w:t>
            </w:r>
          </w:p>
        </w:tc>
      </w:tr>
      <w:tr>
        <w:trPr>
          <w:trHeight w:val="193"/>
        </w:trPr>
        <w:tc>
          <w:tcPr>
            <w:tcW w:w="5680" w:type="dxa"/>
            <w:vAlign w:val="bottom"/>
            <w:tcBorders>
              <w:left w:val="single" w:sz="8" w:color="92CDDC"/>
              <w:bottom w:val="single" w:sz="8" w:color="92CDDC"/>
              <w:right w:val="single" w:sz="8" w:color="92CDDC"/>
            </w:tcBorders>
          </w:tcPr>
          <w:p>
            <w:pPr>
              <w:spacing w:after="0"/>
              <w:rPr>
                <w:sz w:val="16"/>
                <w:szCs w:val="16"/>
                <w:color w:val="auto"/>
              </w:rPr>
            </w:pPr>
          </w:p>
        </w:tc>
        <w:tc>
          <w:tcPr>
            <w:tcW w:w="260" w:type="dxa"/>
            <w:vAlign w:val="bottom"/>
            <w:tcBorders>
              <w:bottom w:val="single" w:sz="8" w:color="92CDDC"/>
              <w:right w:val="single" w:sz="8" w:color="92CDDC"/>
            </w:tcBorders>
          </w:tcPr>
          <w:p>
            <w:pPr>
              <w:spacing w:after="0"/>
              <w:rPr>
                <w:sz w:val="16"/>
                <w:szCs w:val="16"/>
                <w:color w:val="auto"/>
              </w:rPr>
            </w:pPr>
          </w:p>
        </w:tc>
        <w:tc>
          <w:tcPr>
            <w:tcW w:w="5300" w:type="dxa"/>
            <w:vAlign w:val="bottom"/>
            <w:tcBorders>
              <w:bottom w:val="single" w:sz="8" w:color="92CDDC"/>
              <w:right w:val="single" w:sz="8" w:color="92CDDC"/>
            </w:tcBorders>
          </w:tcPr>
          <w:p>
            <w:pPr>
              <w:spacing w:after="0"/>
              <w:rPr>
                <w:sz w:val="16"/>
                <w:szCs w:val="16"/>
                <w:color w:val="auto"/>
              </w:rPr>
            </w:pPr>
          </w:p>
        </w:tc>
      </w:tr>
      <w:tr>
        <w:trPr>
          <w:trHeight w:val="223"/>
        </w:trPr>
        <w:tc>
          <w:tcPr>
            <w:tcW w:w="5680" w:type="dxa"/>
            <w:vAlign w:val="bottom"/>
            <w:tcBorders>
              <w:left w:val="single" w:sz="8" w:color="92CDDC"/>
              <w:bottom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Payments Canada, Inc.</w:t>
            </w:r>
          </w:p>
        </w:tc>
        <w:tc>
          <w:tcPr>
            <w:tcW w:w="260" w:type="dxa"/>
            <w:vAlign w:val="bottom"/>
            <w:tcBorders>
              <w:bottom w:val="single" w:sz="8" w:color="92CDDC"/>
              <w:right w:val="single" w:sz="8" w:color="92CDDC"/>
            </w:tcBorders>
            <w:shd w:val="clear" w:color="auto" w:fill="DAEEF3"/>
          </w:tcPr>
          <w:p>
            <w:pPr>
              <w:spacing w:after="0"/>
              <w:rPr>
                <w:sz w:val="19"/>
                <w:szCs w:val="19"/>
                <w:color w:val="auto"/>
              </w:rPr>
            </w:pPr>
          </w:p>
        </w:tc>
        <w:tc>
          <w:tcPr>
            <w:tcW w:w="5300" w:type="dxa"/>
            <w:vAlign w:val="bottom"/>
            <w:tcBorders>
              <w:bottom w:val="single" w:sz="8" w:color="92CDDC"/>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Canada</w:t>
            </w:r>
          </w:p>
        </w:tc>
      </w:tr>
      <w:tr>
        <w:trPr>
          <w:trHeight w:val="223"/>
        </w:trPr>
        <w:tc>
          <w:tcPr>
            <w:tcW w:w="5680" w:type="dxa"/>
            <w:vAlign w:val="bottom"/>
            <w:tcBorders>
              <w:left w:val="single" w:sz="8" w:color="92CDDC"/>
              <w:bottom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Cohort Solutions (Canada) Ltd</w:t>
            </w:r>
          </w:p>
        </w:tc>
        <w:tc>
          <w:tcPr>
            <w:tcW w:w="260" w:type="dxa"/>
            <w:vAlign w:val="bottom"/>
            <w:tcBorders>
              <w:bottom w:val="single" w:sz="8" w:color="92CDDC"/>
              <w:right w:val="single" w:sz="8" w:color="92CDDC"/>
            </w:tcBorders>
          </w:tcPr>
          <w:p>
            <w:pPr>
              <w:spacing w:after="0"/>
              <w:rPr>
                <w:sz w:val="19"/>
                <w:szCs w:val="19"/>
                <w:color w:val="auto"/>
              </w:rPr>
            </w:pPr>
          </w:p>
        </w:tc>
        <w:tc>
          <w:tcPr>
            <w:tcW w:w="5300" w:type="dxa"/>
            <w:vAlign w:val="bottom"/>
            <w:tcBorders>
              <w:bottom w:val="single" w:sz="8" w:color="92CDDC"/>
              <w:right w:val="single" w:sz="8" w:color="92CDDC"/>
            </w:tcBorders>
          </w:tcPr>
          <w:p>
            <w:pPr>
              <w:ind w:left="80"/>
              <w:spacing w:after="0"/>
              <w:rPr>
                <w:sz w:val="20"/>
                <w:szCs w:val="20"/>
                <w:color w:val="auto"/>
              </w:rPr>
            </w:pPr>
            <w:r>
              <w:rPr>
                <w:rFonts w:ascii="Arial" w:cs="Arial" w:eastAsia="Arial" w:hAnsi="Arial"/>
                <w:sz w:val="18"/>
                <w:szCs w:val="18"/>
                <w:color w:val="auto"/>
              </w:rPr>
              <w:t>Canada</w:t>
            </w:r>
          </w:p>
        </w:tc>
      </w:tr>
      <w:tr>
        <w:trPr>
          <w:trHeight w:val="223"/>
        </w:trPr>
        <w:tc>
          <w:tcPr>
            <w:tcW w:w="5680" w:type="dxa"/>
            <w:vAlign w:val="bottom"/>
            <w:tcBorders>
              <w:left w:val="single" w:sz="8" w:color="92CDDC"/>
              <w:bottom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(Hong Kong) Limited</w:t>
            </w:r>
          </w:p>
        </w:tc>
        <w:tc>
          <w:tcPr>
            <w:tcW w:w="260" w:type="dxa"/>
            <w:vAlign w:val="bottom"/>
            <w:tcBorders>
              <w:bottom w:val="single" w:sz="8" w:color="92CDDC"/>
              <w:right w:val="single" w:sz="8" w:color="92CDDC"/>
            </w:tcBorders>
            <w:shd w:val="clear" w:color="auto" w:fill="DAEEF3"/>
          </w:tcPr>
          <w:p>
            <w:pPr>
              <w:spacing w:after="0"/>
              <w:rPr>
                <w:sz w:val="19"/>
                <w:szCs w:val="19"/>
                <w:color w:val="auto"/>
              </w:rPr>
            </w:pPr>
          </w:p>
        </w:tc>
        <w:tc>
          <w:tcPr>
            <w:tcW w:w="5300" w:type="dxa"/>
            <w:vAlign w:val="bottom"/>
            <w:tcBorders>
              <w:bottom w:val="single" w:sz="8" w:color="92CDDC"/>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Hong Kong</w:t>
            </w:r>
          </w:p>
        </w:tc>
      </w:tr>
      <w:tr>
        <w:trPr>
          <w:trHeight w:val="232"/>
        </w:trPr>
        <w:tc>
          <w:tcPr>
            <w:tcW w:w="5680" w:type="dxa"/>
            <w:vAlign w:val="bottom"/>
            <w:tcBorders>
              <w:left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FW Solutions India LLP</w:t>
            </w:r>
          </w:p>
        </w:tc>
        <w:tc>
          <w:tcPr>
            <w:tcW w:w="260" w:type="dxa"/>
            <w:vAlign w:val="bottom"/>
            <w:tcBorders>
              <w:right w:val="single" w:sz="8" w:color="92CDDC"/>
            </w:tcBorders>
          </w:tcPr>
          <w:p>
            <w:pPr>
              <w:spacing w:after="0"/>
              <w:rPr>
                <w:sz w:val="20"/>
                <w:szCs w:val="20"/>
                <w:color w:val="auto"/>
              </w:rPr>
            </w:pPr>
          </w:p>
        </w:tc>
        <w:tc>
          <w:tcPr>
            <w:tcW w:w="5300" w:type="dxa"/>
            <w:vAlign w:val="bottom"/>
            <w:tcBorders>
              <w:right w:val="single" w:sz="8" w:color="92CDDC"/>
            </w:tcBorders>
          </w:tcPr>
          <w:p>
            <w:pPr>
              <w:ind w:left="80"/>
              <w:spacing w:after="0"/>
              <w:rPr>
                <w:sz w:val="20"/>
                <w:szCs w:val="20"/>
                <w:color w:val="auto"/>
              </w:rPr>
            </w:pPr>
            <w:r>
              <w:rPr>
                <w:rFonts w:ascii="Arial" w:cs="Arial" w:eastAsia="Arial" w:hAnsi="Arial"/>
                <w:sz w:val="18"/>
                <w:szCs w:val="18"/>
                <w:color w:val="auto"/>
              </w:rPr>
              <w:t>India</w:t>
            </w:r>
          </w:p>
        </w:tc>
      </w:tr>
      <w:tr>
        <w:trPr>
          <w:trHeight w:val="193"/>
        </w:trPr>
        <w:tc>
          <w:tcPr>
            <w:tcW w:w="5680" w:type="dxa"/>
            <w:vAlign w:val="bottom"/>
            <w:tcBorders>
              <w:left w:val="single" w:sz="8" w:color="92CDDC"/>
              <w:bottom w:val="single" w:sz="8" w:color="92CDDC"/>
              <w:right w:val="single" w:sz="8" w:color="92CDDC"/>
            </w:tcBorders>
          </w:tcPr>
          <w:p>
            <w:pPr>
              <w:spacing w:after="0"/>
              <w:rPr>
                <w:sz w:val="16"/>
                <w:szCs w:val="16"/>
                <w:color w:val="auto"/>
              </w:rPr>
            </w:pPr>
          </w:p>
        </w:tc>
        <w:tc>
          <w:tcPr>
            <w:tcW w:w="260" w:type="dxa"/>
            <w:vAlign w:val="bottom"/>
            <w:tcBorders>
              <w:bottom w:val="single" w:sz="8" w:color="92CDDC"/>
              <w:right w:val="single" w:sz="8" w:color="92CDDC"/>
            </w:tcBorders>
          </w:tcPr>
          <w:p>
            <w:pPr>
              <w:spacing w:after="0"/>
              <w:rPr>
                <w:sz w:val="16"/>
                <w:szCs w:val="16"/>
                <w:color w:val="auto"/>
              </w:rPr>
            </w:pPr>
          </w:p>
        </w:tc>
        <w:tc>
          <w:tcPr>
            <w:tcW w:w="5300" w:type="dxa"/>
            <w:vAlign w:val="bottom"/>
            <w:tcBorders>
              <w:bottom w:val="single" w:sz="8" w:color="92CDDC"/>
              <w:right w:val="single" w:sz="8" w:color="92CDDC"/>
            </w:tcBorders>
          </w:tcPr>
          <w:p>
            <w:pPr>
              <w:spacing w:after="0"/>
              <w:rPr>
                <w:sz w:val="16"/>
                <w:szCs w:val="16"/>
                <w:color w:val="auto"/>
              </w:rPr>
            </w:pPr>
          </w:p>
        </w:tc>
      </w:tr>
      <w:tr>
        <w:trPr>
          <w:trHeight w:val="223"/>
        </w:trPr>
        <w:tc>
          <w:tcPr>
            <w:tcW w:w="5680" w:type="dxa"/>
            <w:vAlign w:val="bottom"/>
            <w:tcBorders>
              <w:left w:val="single" w:sz="8" w:color="92CDDC"/>
              <w:bottom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Lis Studylink India Private Limited</w:t>
            </w:r>
          </w:p>
        </w:tc>
        <w:tc>
          <w:tcPr>
            <w:tcW w:w="260" w:type="dxa"/>
            <w:vAlign w:val="bottom"/>
            <w:tcBorders>
              <w:bottom w:val="single" w:sz="8" w:color="92CDDC"/>
              <w:right w:val="single" w:sz="8" w:color="92CDDC"/>
            </w:tcBorders>
            <w:shd w:val="clear" w:color="auto" w:fill="DAEEF3"/>
          </w:tcPr>
          <w:p>
            <w:pPr>
              <w:spacing w:after="0"/>
              <w:rPr>
                <w:sz w:val="19"/>
                <w:szCs w:val="19"/>
                <w:color w:val="auto"/>
              </w:rPr>
            </w:pPr>
          </w:p>
        </w:tc>
        <w:tc>
          <w:tcPr>
            <w:tcW w:w="5300" w:type="dxa"/>
            <w:vAlign w:val="bottom"/>
            <w:tcBorders>
              <w:bottom w:val="single" w:sz="8" w:color="92CDDC"/>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India</w:t>
            </w:r>
          </w:p>
        </w:tc>
      </w:tr>
      <w:tr>
        <w:trPr>
          <w:trHeight w:val="232"/>
        </w:trPr>
        <w:tc>
          <w:tcPr>
            <w:tcW w:w="5680" w:type="dxa"/>
            <w:vAlign w:val="bottom"/>
            <w:tcBorders>
              <w:left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Simplificare Ltd.</w:t>
            </w:r>
          </w:p>
        </w:tc>
        <w:tc>
          <w:tcPr>
            <w:tcW w:w="260" w:type="dxa"/>
            <w:vAlign w:val="bottom"/>
            <w:tcBorders>
              <w:right w:val="single" w:sz="8" w:color="92CDDC"/>
            </w:tcBorders>
          </w:tcPr>
          <w:p>
            <w:pPr>
              <w:spacing w:after="0"/>
              <w:rPr>
                <w:sz w:val="20"/>
                <w:szCs w:val="20"/>
                <w:color w:val="auto"/>
              </w:rPr>
            </w:pPr>
          </w:p>
        </w:tc>
        <w:tc>
          <w:tcPr>
            <w:tcW w:w="5300" w:type="dxa"/>
            <w:vAlign w:val="bottom"/>
            <w:tcBorders>
              <w:right w:val="single" w:sz="8" w:color="92CDDC"/>
            </w:tcBorders>
          </w:tcPr>
          <w:p>
            <w:pPr>
              <w:ind w:left="80"/>
              <w:spacing w:after="0"/>
              <w:rPr>
                <w:sz w:val="20"/>
                <w:szCs w:val="20"/>
                <w:color w:val="auto"/>
              </w:rPr>
            </w:pPr>
            <w:r>
              <w:rPr>
                <w:rFonts w:ascii="Arial" w:cs="Arial" w:eastAsia="Arial" w:hAnsi="Arial"/>
                <w:sz w:val="18"/>
                <w:szCs w:val="18"/>
                <w:color w:val="auto"/>
              </w:rPr>
              <w:t>Israel</w:t>
            </w:r>
          </w:p>
        </w:tc>
      </w:tr>
      <w:tr>
        <w:trPr>
          <w:trHeight w:val="193"/>
        </w:trPr>
        <w:tc>
          <w:tcPr>
            <w:tcW w:w="5680" w:type="dxa"/>
            <w:vAlign w:val="bottom"/>
            <w:tcBorders>
              <w:left w:val="single" w:sz="8" w:color="92CDDC"/>
              <w:bottom w:val="single" w:sz="8" w:color="92CDDC"/>
              <w:right w:val="single" w:sz="8" w:color="92CDDC"/>
            </w:tcBorders>
          </w:tcPr>
          <w:p>
            <w:pPr>
              <w:spacing w:after="0"/>
              <w:rPr>
                <w:sz w:val="16"/>
                <w:szCs w:val="16"/>
                <w:color w:val="auto"/>
              </w:rPr>
            </w:pPr>
          </w:p>
        </w:tc>
        <w:tc>
          <w:tcPr>
            <w:tcW w:w="260" w:type="dxa"/>
            <w:vAlign w:val="bottom"/>
            <w:tcBorders>
              <w:bottom w:val="single" w:sz="8" w:color="92CDDC"/>
              <w:right w:val="single" w:sz="8" w:color="92CDDC"/>
            </w:tcBorders>
          </w:tcPr>
          <w:p>
            <w:pPr>
              <w:spacing w:after="0"/>
              <w:rPr>
                <w:sz w:val="16"/>
                <w:szCs w:val="16"/>
                <w:color w:val="auto"/>
              </w:rPr>
            </w:pPr>
          </w:p>
        </w:tc>
        <w:tc>
          <w:tcPr>
            <w:tcW w:w="5300" w:type="dxa"/>
            <w:vAlign w:val="bottom"/>
            <w:tcBorders>
              <w:bottom w:val="single" w:sz="8" w:color="92CDDC"/>
              <w:right w:val="single" w:sz="8" w:color="92CDDC"/>
            </w:tcBorders>
          </w:tcPr>
          <w:p>
            <w:pPr>
              <w:spacing w:after="0"/>
              <w:rPr>
                <w:sz w:val="16"/>
                <w:szCs w:val="16"/>
                <w:color w:val="auto"/>
              </w:rPr>
            </w:pPr>
          </w:p>
        </w:tc>
      </w:tr>
      <w:tr>
        <w:trPr>
          <w:trHeight w:val="232"/>
        </w:trPr>
        <w:tc>
          <w:tcPr>
            <w:tcW w:w="5680" w:type="dxa"/>
            <w:vAlign w:val="bottom"/>
            <w:tcBorders>
              <w:left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G.K.</w:t>
            </w:r>
          </w:p>
        </w:tc>
        <w:tc>
          <w:tcPr>
            <w:tcW w:w="260" w:type="dxa"/>
            <w:vAlign w:val="bottom"/>
            <w:tcBorders>
              <w:right w:val="single" w:sz="8" w:color="92CDDC"/>
            </w:tcBorders>
            <w:shd w:val="clear" w:color="auto" w:fill="DAEEF3"/>
          </w:tcPr>
          <w:p>
            <w:pPr>
              <w:spacing w:after="0"/>
              <w:rPr>
                <w:sz w:val="20"/>
                <w:szCs w:val="20"/>
                <w:color w:val="auto"/>
              </w:rPr>
            </w:pPr>
          </w:p>
        </w:tc>
        <w:tc>
          <w:tcPr>
            <w:tcW w:w="5300" w:type="dxa"/>
            <w:vAlign w:val="bottom"/>
            <w:tcBorders>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Japan</w:t>
            </w:r>
          </w:p>
        </w:tc>
      </w:tr>
      <w:tr>
        <w:trPr>
          <w:trHeight w:val="193"/>
        </w:trPr>
        <w:tc>
          <w:tcPr>
            <w:tcW w:w="5680" w:type="dxa"/>
            <w:vAlign w:val="bottom"/>
            <w:tcBorders>
              <w:left w:val="single" w:sz="8" w:color="92CDDC"/>
              <w:bottom w:val="single" w:sz="8" w:color="92CDDC"/>
              <w:right w:val="single" w:sz="8" w:color="92CDDC"/>
            </w:tcBorders>
            <w:shd w:val="clear" w:color="auto" w:fill="DAEEF3"/>
          </w:tcPr>
          <w:p>
            <w:pPr>
              <w:spacing w:after="0"/>
              <w:rPr>
                <w:sz w:val="16"/>
                <w:szCs w:val="16"/>
                <w:color w:val="auto"/>
              </w:rPr>
            </w:pPr>
          </w:p>
        </w:tc>
        <w:tc>
          <w:tcPr>
            <w:tcW w:w="260" w:type="dxa"/>
            <w:vAlign w:val="bottom"/>
            <w:tcBorders>
              <w:bottom w:val="single" w:sz="8" w:color="92CDDC"/>
              <w:right w:val="single" w:sz="8" w:color="92CDDC"/>
            </w:tcBorders>
            <w:shd w:val="clear" w:color="auto" w:fill="DAEEF3"/>
          </w:tcPr>
          <w:p>
            <w:pPr>
              <w:spacing w:after="0"/>
              <w:rPr>
                <w:sz w:val="16"/>
                <w:szCs w:val="16"/>
                <w:color w:val="auto"/>
              </w:rPr>
            </w:pPr>
          </w:p>
        </w:tc>
        <w:tc>
          <w:tcPr>
            <w:tcW w:w="530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Flywire Europe, UAB</w:t>
            </w:r>
          </w:p>
        </w:tc>
        <w:tc>
          <w:tcPr>
            <w:tcW w:w="260" w:type="dxa"/>
            <w:vAlign w:val="bottom"/>
            <w:tcBorders>
              <w:right w:val="single" w:sz="8" w:color="92CDDC"/>
            </w:tcBorders>
          </w:tcPr>
          <w:p>
            <w:pPr>
              <w:spacing w:after="0"/>
              <w:rPr>
                <w:sz w:val="20"/>
                <w:szCs w:val="20"/>
                <w:color w:val="auto"/>
              </w:rPr>
            </w:pPr>
          </w:p>
        </w:tc>
        <w:tc>
          <w:tcPr>
            <w:tcW w:w="5300" w:type="dxa"/>
            <w:vAlign w:val="bottom"/>
            <w:tcBorders>
              <w:right w:val="single" w:sz="8" w:color="92CDDC"/>
            </w:tcBorders>
          </w:tcPr>
          <w:p>
            <w:pPr>
              <w:ind w:left="80"/>
              <w:spacing w:after="0"/>
              <w:rPr>
                <w:sz w:val="20"/>
                <w:szCs w:val="20"/>
                <w:color w:val="auto"/>
              </w:rPr>
            </w:pPr>
            <w:r>
              <w:rPr>
                <w:rFonts w:ascii="Arial" w:cs="Arial" w:eastAsia="Arial" w:hAnsi="Arial"/>
                <w:sz w:val="18"/>
                <w:szCs w:val="18"/>
                <w:color w:val="auto"/>
              </w:rPr>
              <w:t>Lithuania</w:t>
            </w:r>
          </w:p>
        </w:tc>
      </w:tr>
      <w:tr>
        <w:trPr>
          <w:trHeight w:val="193"/>
        </w:trPr>
        <w:tc>
          <w:tcPr>
            <w:tcW w:w="5680" w:type="dxa"/>
            <w:vAlign w:val="bottom"/>
            <w:tcBorders>
              <w:left w:val="single" w:sz="8" w:color="92CDDC"/>
              <w:bottom w:val="single" w:sz="8" w:color="92CDDC"/>
              <w:right w:val="single" w:sz="8" w:color="92CDDC"/>
            </w:tcBorders>
          </w:tcPr>
          <w:p>
            <w:pPr>
              <w:spacing w:after="0"/>
              <w:rPr>
                <w:sz w:val="16"/>
                <w:szCs w:val="16"/>
                <w:color w:val="auto"/>
              </w:rPr>
            </w:pPr>
          </w:p>
        </w:tc>
        <w:tc>
          <w:tcPr>
            <w:tcW w:w="260" w:type="dxa"/>
            <w:vAlign w:val="bottom"/>
            <w:tcBorders>
              <w:bottom w:val="single" w:sz="8" w:color="92CDDC"/>
              <w:right w:val="single" w:sz="8" w:color="92CDDC"/>
            </w:tcBorders>
          </w:tcPr>
          <w:p>
            <w:pPr>
              <w:spacing w:after="0"/>
              <w:rPr>
                <w:sz w:val="16"/>
                <w:szCs w:val="16"/>
                <w:color w:val="auto"/>
              </w:rPr>
            </w:pPr>
          </w:p>
        </w:tc>
        <w:tc>
          <w:tcPr>
            <w:tcW w:w="5300" w:type="dxa"/>
            <w:vAlign w:val="bottom"/>
            <w:tcBorders>
              <w:bottom w:val="single" w:sz="8" w:color="92CDDC"/>
              <w:right w:val="single" w:sz="8" w:color="92CDDC"/>
            </w:tcBorders>
          </w:tcPr>
          <w:p>
            <w:pPr>
              <w:spacing w:after="0"/>
              <w:rPr>
                <w:sz w:val="16"/>
                <w:szCs w:val="16"/>
                <w:color w:val="auto"/>
              </w:rPr>
            </w:pPr>
          </w:p>
        </w:tc>
      </w:tr>
      <w:tr>
        <w:trPr>
          <w:trHeight w:val="223"/>
        </w:trPr>
        <w:tc>
          <w:tcPr>
            <w:tcW w:w="5680" w:type="dxa"/>
            <w:vAlign w:val="bottom"/>
            <w:tcBorders>
              <w:left w:val="single" w:sz="8" w:color="92CDDC"/>
              <w:bottom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Mexico, S.A. de C.V.</w:t>
            </w:r>
          </w:p>
        </w:tc>
        <w:tc>
          <w:tcPr>
            <w:tcW w:w="260" w:type="dxa"/>
            <w:vAlign w:val="bottom"/>
            <w:tcBorders>
              <w:bottom w:val="single" w:sz="8" w:color="92CDDC"/>
              <w:right w:val="single" w:sz="8" w:color="92CDDC"/>
            </w:tcBorders>
            <w:shd w:val="clear" w:color="auto" w:fill="DAEEF3"/>
          </w:tcPr>
          <w:p>
            <w:pPr>
              <w:spacing w:after="0"/>
              <w:rPr>
                <w:sz w:val="19"/>
                <w:szCs w:val="19"/>
                <w:color w:val="auto"/>
              </w:rPr>
            </w:pPr>
          </w:p>
        </w:tc>
        <w:tc>
          <w:tcPr>
            <w:tcW w:w="5300" w:type="dxa"/>
            <w:vAlign w:val="bottom"/>
            <w:tcBorders>
              <w:bottom w:val="single" w:sz="8" w:color="92CDDC"/>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Mexico</w:t>
            </w:r>
          </w:p>
        </w:tc>
      </w:tr>
      <w:tr>
        <w:trPr>
          <w:trHeight w:val="223"/>
        </w:trPr>
        <w:tc>
          <w:tcPr>
            <w:tcW w:w="5680" w:type="dxa"/>
            <w:vAlign w:val="bottom"/>
            <w:tcBorders>
              <w:left w:val="single" w:sz="8" w:color="92CDDC"/>
              <w:bottom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Cohort Solutions (NZ) Ltd</w:t>
            </w:r>
          </w:p>
        </w:tc>
        <w:tc>
          <w:tcPr>
            <w:tcW w:w="260" w:type="dxa"/>
            <w:vAlign w:val="bottom"/>
            <w:tcBorders>
              <w:bottom w:val="single" w:sz="8" w:color="92CDDC"/>
              <w:right w:val="single" w:sz="8" w:color="92CDDC"/>
            </w:tcBorders>
          </w:tcPr>
          <w:p>
            <w:pPr>
              <w:spacing w:after="0"/>
              <w:rPr>
                <w:sz w:val="19"/>
                <w:szCs w:val="19"/>
                <w:color w:val="auto"/>
              </w:rPr>
            </w:pPr>
          </w:p>
        </w:tc>
        <w:tc>
          <w:tcPr>
            <w:tcW w:w="5300" w:type="dxa"/>
            <w:vAlign w:val="bottom"/>
            <w:tcBorders>
              <w:bottom w:val="single" w:sz="8" w:color="92CDDC"/>
              <w:right w:val="single" w:sz="8" w:color="92CDDC"/>
            </w:tcBorders>
          </w:tcPr>
          <w:p>
            <w:pPr>
              <w:ind w:left="80"/>
              <w:spacing w:after="0"/>
              <w:rPr>
                <w:sz w:val="20"/>
                <w:szCs w:val="20"/>
                <w:color w:val="auto"/>
              </w:rPr>
            </w:pPr>
            <w:r>
              <w:rPr>
                <w:rFonts w:ascii="Arial" w:cs="Arial" w:eastAsia="Arial" w:hAnsi="Arial"/>
                <w:sz w:val="18"/>
                <w:szCs w:val="18"/>
                <w:color w:val="auto"/>
              </w:rPr>
              <w:t>New Zealand</w:t>
            </w:r>
          </w:p>
        </w:tc>
      </w:tr>
      <w:tr>
        <w:trPr>
          <w:trHeight w:val="232"/>
        </w:trPr>
        <w:tc>
          <w:tcPr>
            <w:tcW w:w="5680" w:type="dxa"/>
            <w:vAlign w:val="bottom"/>
            <w:tcBorders>
              <w:left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peerTransfer Commercial Consulting (Shanghai) Co., Ltd.</w:t>
            </w:r>
          </w:p>
        </w:tc>
        <w:tc>
          <w:tcPr>
            <w:tcW w:w="260" w:type="dxa"/>
            <w:vAlign w:val="bottom"/>
            <w:tcBorders>
              <w:right w:val="single" w:sz="8" w:color="92CDDC"/>
            </w:tcBorders>
            <w:shd w:val="clear" w:color="auto" w:fill="DAEEF3"/>
          </w:tcPr>
          <w:p>
            <w:pPr>
              <w:spacing w:after="0"/>
              <w:rPr>
                <w:sz w:val="20"/>
                <w:szCs w:val="20"/>
                <w:color w:val="auto"/>
              </w:rPr>
            </w:pPr>
          </w:p>
        </w:tc>
        <w:tc>
          <w:tcPr>
            <w:tcW w:w="5300" w:type="dxa"/>
            <w:vAlign w:val="bottom"/>
            <w:tcBorders>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People’s Republic of China</w:t>
            </w:r>
          </w:p>
        </w:tc>
      </w:tr>
      <w:tr>
        <w:trPr>
          <w:trHeight w:val="193"/>
        </w:trPr>
        <w:tc>
          <w:tcPr>
            <w:tcW w:w="5680" w:type="dxa"/>
            <w:vAlign w:val="bottom"/>
            <w:tcBorders>
              <w:left w:val="single" w:sz="8" w:color="92CDDC"/>
              <w:bottom w:val="single" w:sz="8" w:color="92CDDC"/>
              <w:right w:val="single" w:sz="8" w:color="92CDDC"/>
            </w:tcBorders>
            <w:shd w:val="clear" w:color="auto" w:fill="DAEEF3"/>
          </w:tcPr>
          <w:p>
            <w:pPr>
              <w:spacing w:after="0"/>
              <w:rPr>
                <w:sz w:val="16"/>
                <w:szCs w:val="16"/>
                <w:color w:val="auto"/>
              </w:rPr>
            </w:pPr>
          </w:p>
        </w:tc>
        <w:tc>
          <w:tcPr>
            <w:tcW w:w="260" w:type="dxa"/>
            <w:vAlign w:val="bottom"/>
            <w:tcBorders>
              <w:bottom w:val="single" w:sz="8" w:color="92CDDC"/>
              <w:right w:val="single" w:sz="8" w:color="92CDDC"/>
            </w:tcBorders>
            <w:shd w:val="clear" w:color="auto" w:fill="DAEEF3"/>
          </w:tcPr>
          <w:p>
            <w:pPr>
              <w:spacing w:after="0"/>
              <w:rPr>
                <w:sz w:val="16"/>
                <w:szCs w:val="16"/>
                <w:color w:val="auto"/>
              </w:rPr>
            </w:pPr>
          </w:p>
        </w:tc>
        <w:tc>
          <w:tcPr>
            <w:tcW w:w="530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Flywire Romania S.R.L.</w:t>
            </w:r>
          </w:p>
        </w:tc>
        <w:tc>
          <w:tcPr>
            <w:tcW w:w="260" w:type="dxa"/>
            <w:vAlign w:val="bottom"/>
            <w:tcBorders>
              <w:right w:val="single" w:sz="8" w:color="92CDDC"/>
            </w:tcBorders>
          </w:tcPr>
          <w:p>
            <w:pPr>
              <w:spacing w:after="0"/>
              <w:rPr>
                <w:sz w:val="20"/>
                <w:szCs w:val="20"/>
                <w:color w:val="auto"/>
              </w:rPr>
            </w:pPr>
          </w:p>
        </w:tc>
        <w:tc>
          <w:tcPr>
            <w:tcW w:w="5300" w:type="dxa"/>
            <w:vAlign w:val="bottom"/>
            <w:tcBorders>
              <w:right w:val="single" w:sz="8" w:color="92CDDC"/>
            </w:tcBorders>
          </w:tcPr>
          <w:p>
            <w:pPr>
              <w:ind w:left="80"/>
              <w:spacing w:after="0"/>
              <w:rPr>
                <w:sz w:val="20"/>
                <w:szCs w:val="20"/>
                <w:color w:val="auto"/>
              </w:rPr>
            </w:pPr>
            <w:r>
              <w:rPr>
                <w:rFonts w:ascii="Arial" w:cs="Arial" w:eastAsia="Arial" w:hAnsi="Arial"/>
                <w:sz w:val="18"/>
                <w:szCs w:val="18"/>
                <w:color w:val="auto"/>
              </w:rPr>
              <w:t>Romania</w:t>
            </w:r>
          </w:p>
        </w:tc>
      </w:tr>
      <w:tr>
        <w:trPr>
          <w:trHeight w:val="193"/>
        </w:trPr>
        <w:tc>
          <w:tcPr>
            <w:tcW w:w="5680" w:type="dxa"/>
            <w:vAlign w:val="bottom"/>
            <w:tcBorders>
              <w:left w:val="single" w:sz="8" w:color="92CDDC"/>
              <w:bottom w:val="single" w:sz="8" w:color="92CDDC"/>
              <w:right w:val="single" w:sz="8" w:color="92CDDC"/>
            </w:tcBorders>
          </w:tcPr>
          <w:p>
            <w:pPr>
              <w:spacing w:after="0"/>
              <w:rPr>
                <w:sz w:val="16"/>
                <w:szCs w:val="16"/>
                <w:color w:val="auto"/>
              </w:rPr>
            </w:pPr>
          </w:p>
        </w:tc>
        <w:tc>
          <w:tcPr>
            <w:tcW w:w="260" w:type="dxa"/>
            <w:vAlign w:val="bottom"/>
            <w:tcBorders>
              <w:bottom w:val="single" w:sz="8" w:color="92CDDC"/>
              <w:right w:val="single" w:sz="8" w:color="92CDDC"/>
            </w:tcBorders>
          </w:tcPr>
          <w:p>
            <w:pPr>
              <w:spacing w:after="0"/>
              <w:rPr>
                <w:sz w:val="16"/>
                <w:szCs w:val="16"/>
                <w:color w:val="auto"/>
              </w:rPr>
            </w:pPr>
          </w:p>
        </w:tc>
        <w:tc>
          <w:tcPr>
            <w:tcW w:w="5300" w:type="dxa"/>
            <w:vAlign w:val="bottom"/>
            <w:tcBorders>
              <w:bottom w:val="single" w:sz="8" w:color="92CDDC"/>
              <w:right w:val="single" w:sz="8" w:color="92CDDC"/>
            </w:tcBorders>
          </w:tcPr>
          <w:p>
            <w:pPr>
              <w:spacing w:after="0"/>
              <w:rPr>
                <w:sz w:val="16"/>
                <w:szCs w:val="16"/>
                <w:color w:val="auto"/>
              </w:rPr>
            </w:pPr>
          </w:p>
        </w:tc>
      </w:tr>
      <w:tr>
        <w:trPr>
          <w:trHeight w:val="232"/>
        </w:trPr>
        <w:tc>
          <w:tcPr>
            <w:tcW w:w="5680" w:type="dxa"/>
            <w:vAlign w:val="bottom"/>
            <w:tcBorders>
              <w:left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(Singapore) Pte. Ltd</w:t>
            </w:r>
          </w:p>
        </w:tc>
        <w:tc>
          <w:tcPr>
            <w:tcW w:w="260" w:type="dxa"/>
            <w:vAlign w:val="bottom"/>
            <w:tcBorders>
              <w:right w:val="single" w:sz="8" w:color="92CDDC"/>
            </w:tcBorders>
            <w:shd w:val="clear" w:color="auto" w:fill="DAEEF3"/>
          </w:tcPr>
          <w:p>
            <w:pPr>
              <w:spacing w:after="0"/>
              <w:rPr>
                <w:sz w:val="20"/>
                <w:szCs w:val="20"/>
                <w:color w:val="auto"/>
              </w:rPr>
            </w:pPr>
          </w:p>
        </w:tc>
        <w:tc>
          <w:tcPr>
            <w:tcW w:w="5300" w:type="dxa"/>
            <w:vAlign w:val="bottom"/>
            <w:tcBorders>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Singapore</w:t>
            </w:r>
          </w:p>
        </w:tc>
      </w:tr>
      <w:tr>
        <w:trPr>
          <w:trHeight w:val="193"/>
        </w:trPr>
        <w:tc>
          <w:tcPr>
            <w:tcW w:w="5680" w:type="dxa"/>
            <w:vAlign w:val="bottom"/>
            <w:tcBorders>
              <w:left w:val="single" w:sz="8" w:color="92CDDC"/>
              <w:bottom w:val="single" w:sz="8" w:color="92CDDC"/>
              <w:right w:val="single" w:sz="8" w:color="92CDDC"/>
            </w:tcBorders>
            <w:shd w:val="clear" w:color="auto" w:fill="DAEEF3"/>
          </w:tcPr>
          <w:p>
            <w:pPr>
              <w:spacing w:after="0"/>
              <w:rPr>
                <w:sz w:val="16"/>
                <w:szCs w:val="16"/>
                <w:color w:val="auto"/>
              </w:rPr>
            </w:pPr>
          </w:p>
        </w:tc>
        <w:tc>
          <w:tcPr>
            <w:tcW w:w="260" w:type="dxa"/>
            <w:vAlign w:val="bottom"/>
            <w:tcBorders>
              <w:bottom w:val="single" w:sz="8" w:color="92CDDC"/>
              <w:right w:val="single" w:sz="8" w:color="92CDDC"/>
            </w:tcBorders>
            <w:shd w:val="clear" w:color="auto" w:fill="DAEEF3"/>
          </w:tcPr>
          <w:p>
            <w:pPr>
              <w:spacing w:after="0"/>
              <w:rPr>
                <w:sz w:val="16"/>
                <w:szCs w:val="16"/>
                <w:color w:val="auto"/>
              </w:rPr>
            </w:pPr>
          </w:p>
        </w:tc>
        <w:tc>
          <w:tcPr>
            <w:tcW w:w="530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32"/>
        </w:trPr>
        <w:tc>
          <w:tcPr>
            <w:tcW w:w="5680" w:type="dxa"/>
            <w:vAlign w:val="bottom"/>
            <w:tcBorders>
              <w:left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Flywire S.L.U.</w:t>
            </w:r>
          </w:p>
        </w:tc>
        <w:tc>
          <w:tcPr>
            <w:tcW w:w="260" w:type="dxa"/>
            <w:vAlign w:val="bottom"/>
            <w:tcBorders>
              <w:right w:val="single" w:sz="8" w:color="92CDDC"/>
            </w:tcBorders>
          </w:tcPr>
          <w:p>
            <w:pPr>
              <w:spacing w:after="0"/>
              <w:rPr>
                <w:sz w:val="20"/>
                <w:szCs w:val="20"/>
                <w:color w:val="auto"/>
              </w:rPr>
            </w:pPr>
          </w:p>
        </w:tc>
        <w:tc>
          <w:tcPr>
            <w:tcW w:w="5300" w:type="dxa"/>
            <w:vAlign w:val="bottom"/>
            <w:tcBorders>
              <w:right w:val="single" w:sz="8" w:color="92CDDC"/>
            </w:tcBorders>
          </w:tcPr>
          <w:p>
            <w:pPr>
              <w:ind w:left="80"/>
              <w:spacing w:after="0"/>
              <w:rPr>
                <w:sz w:val="20"/>
                <w:szCs w:val="20"/>
                <w:color w:val="auto"/>
              </w:rPr>
            </w:pPr>
            <w:r>
              <w:rPr>
                <w:rFonts w:ascii="Arial" w:cs="Arial" w:eastAsia="Arial" w:hAnsi="Arial"/>
                <w:sz w:val="18"/>
                <w:szCs w:val="18"/>
                <w:color w:val="auto"/>
              </w:rPr>
              <w:t>Spain</w:t>
            </w:r>
          </w:p>
        </w:tc>
      </w:tr>
      <w:tr>
        <w:trPr>
          <w:trHeight w:val="193"/>
        </w:trPr>
        <w:tc>
          <w:tcPr>
            <w:tcW w:w="5680" w:type="dxa"/>
            <w:vAlign w:val="bottom"/>
            <w:tcBorders>
              <w:left w:val="single" w:sz="8" w:color="92CDDC"/>
              <w:bottom w:val="single" w:sz="8" w:color="92CDDC"/>
              <w:right w:val="single" w:sz="8" w:color="92CDDC"/>
            </w:tcBorders>
          </w:tcPr>
          <w:p>
            <w:pPr>
              <w:spacing w:after="0"/>
              <w:rPr>
                <w:sz w:val="16"/>
                <w:szCs w:val="16"/>
                <w:color w:val="auto"/>
              </w:rPr>
            </w:pPr>
          </w:p>
        </w:tc>
        <w:tc>
          <w:tcPr>
            <w:tcW w:w="260" w:type="dxa"/>
            <w:vAlign w:val="bottom"/>
            <w:tcBorders>
              <w:bottom w:val="single" w:sz="8" w:color="92CDDC"/>
              <w:right w:val="single" w:sz="8" w:color="92CDDC"/>
            </w:tcBorders>
          </w:tcPr>
          <w:p>
            <w:pPr>
              <w:spacing w:after="0"/>
              <w:rPr>
                <w:sz w:val="16"/>
                <w:szCs w:val="16"/>
                <w:color w:val="auto"/>
              </w:rPr>
            </w:pPr>
          </w:p>
        </w:tc>
        <w:tc>
          <w:tcPr>
            <w:tcW w:w="5300" w:type="dxa"/>
            <w:vAlign w:val="bottom"/>
            <w:tcBorders>
              <w:bottom w:val="single" w:sz="8" w:color="92CDDC"/>
              <w:right w:val="single" w:sz="8" w:color="92CDDC"/>
            </w:tcBorders>
          </w:tcPr>
          <w:p>
            <w:pPr>
              <w:spacing w:after="0"/>
              <w:rPr>
                <w:sz w:val="16"/>
                <w:szCs w:val="16"/>
                <w:color w:val="auto"/>
              </w:rPr>
            </w:pPr>
          </w:p>
        </w:tc>
      </w:tr>
      <w:tr>
        <w:trPr>
          <w:trHeight w:val="232"/>
        </w:trPr>
        <w:tc>
          <w:tcPr>
            <w:tcW w:w="5680" w:type="dxa"/>
            <w:vAlign w:val="bottom"/>
            <w:tcBorders>
              <w:left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Flywire Payments Ltd.</w:t>
            </w:r>
          </w:p>
        </w:tc>
        <w:tc>
          <w:tcPr>
            <w:tcW w:w="260" w:type="dxa"/>
            <w:vAlign w:val="bottom"/>
            <w:tcBorders>
              <w:right w:val="single" w:sz="8" w:color="92CDDC"/>
            </w:tcBorders>
            <w:shd w:val="clear" w:color="auto" w:fill="DAEEF3"/>
          </w:tcPr>
          <w:p>
            <w:pPr>
              <w:spacing w:after="0"/>
              <w:rPr>
                <w:sz w:val="20"/>
                <w:szCs w:val="20"/>
                <w:color w:val="auto"/>
              </w:rPr>
            </w:pPr>
          </w:p>
        </w:tc>
        <w:tc>
          <w:tcPr>
            <w:tcW w:w="5300" w:type="dxa"/>
            <w:vAlign w:val="bottom"/>
            <w:tcBorders>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United Kingdom</w:t>
            </w:r>
          </w:p>
        </w:tc>
      </w:tr>
      <w:tr>
        <w:trPr>
          <w:trHeight w:val="193"/>
        </w:trPr>
        <w:tc>
          <w:tcPr>
            <w:tcW w:w="5680" w:type="dxa"/>
            <w:vAlign w:val="bottom"/>
            <w:tcBorders>
              <w:left w:val="single" w:sz="8" w:color="92CDDC"/>
              <w:bottom w:val="single" w:sz="8" w:color="92CDDC"/>
              <w:right w:val="single" w:sz="8" w:color="92CDDC"/>
            </w:tcBorders>
            <w:shd w:val="clear" w:color="auto" w:fill="DAEEF3"/>
          </w:tcPr>
          <w:p>
            <w:pPr>
              <w:spacing w:after="0"/>
              <w:rPr>
                <w:sz w:val="16"/>
                <w:szCs w:val="16"/>
                <w:color w:val="auto"/>
              </w:rPr>
            </w:pPr>
          </w:p>
        </w:tc>
        <w:tc>
          <w:tcPr>
            <w:tcW w:w="260" w:type="dxa"/>
            <w:vAlign w:val="bottom"/>
            <w:tcBorders>
              <w:bottom w:val="single" w:sz="8" w:color="92CDDC"/>
              <w:right w:val="single" w:sz="8" w:color="92CDDC"/>
            </w:tcBorders>
            <w:shd w:val="clear" w:color="auto" w:fill="DAEEF3"/>
          </w:tcPr>
          <w:p>
            <w:pPr>
              <w:spacing w:after="0"/>
              <w:rPr>
                <w:sz w:val="16"/>
                <w:szCs w:val="16"/>
                <w:color w:val="auto"/>
              </w:rPr>
            </w:pPr>
          </w:p>
        </w:tc>
        <w:tc>
          <w:tcPr>
            <w:tcW w:w="5300" w:type="dxa"/>
            <w:vAlign w:val="bottom"/>
            <w:tcBorders>
              <w:bottom w:val="single" w:sz="8" w:color="92CDDC"/>
              <w:right w:val="single" w:sz="8" w:color="92CDDC"/>
            </w:tcBorders>
            <w:shd w:val="clear" w:color="auto" w:fill="DAEEF3"/>
          </w:tcPr>
          <w:p>
            <w:pPr>
              <w:spacing w:after="0"/>
              <w:rPr>
                <w:sz w:val="16"/>
                <w:szCs w:val="16"/>
                <w:color w:val="auto"/>
              </w:rPr>
            </w:pPr>
          </w:p>
        </w:tc>
      </w:tr>
      <w:tr>
        <w:trPr>
          <w:trHeight w:val="223"/>
        </w:trPr>
        <w:tc>
          <w:tcPr>
            <w:tcW w:w="5680" w:type="dxa"/>
            <w:vAlign w:val="bottom"/>
            <w:tcBorders>
              <w:left w:val="single" w:sz="8" w:color="92CDDC"/>
              <w:bottom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WPM Group Limited</w:t>
            </w:r>
          </w:p>
        </w:tc>
        <w:tc>
          <w:tcPr>
            <w:tcW w:w="260" w:type="dxa"/>
            <w:vAlign w:val="bottom"/>
            <w:tcBorders>
              <w:bottom w:val="single" w:sz="8" w:color="92CDDC"/>
              <w:right w:val="single" w:sz="8" w:color="92CDDC"/>
            </w:tcBorders>
          </w:tcPr>
          <w:p>
            <w:pPr>
              <w:spacing w:after="0"/>
              <w:rPr>
                <w:sz w:val="19"/>
                <w:szCs w:val="19"/>
                <w:color w:val="auto"/>
              </w:rPr>
            </w:pPr>
          </w:p>
        </w:tc>
        <w:tc>
          <w:tcPr>
            <w:tcW w:w="5300" w:type="dxa"/>
            <w:vAlign w:val="bottom"/>
            <w:tcBorders>
              <w:bottom w:val="single" w:sz="8" w:color="92CDDC"/>
              <w:right w:val="single" w:sz="8" w:color="92CDDC"/>
            </w:tcBorders>
          </w:tcPr>
          <w:p>
            <w:pPr>
              <w:ind w:left="80"/>
              <w:spacing w:after="0"/>
              <w:rPr>
                <w:sz w:val="20"/>
                <w:szCs w:val="20"/>
                <w:color w:val="auto"/>
              </w:rPr>
            </w:pPr>
            <w:r>
              <w:rPr>
                <w:rFonts w:ascii="Arial" w:cs="Arial" w:eastAsia="Arial" w:hAnsi="Arial"/>
                <w:sz w:val="18"/>
                <w:szCs w:val="18"/>
                <w:color w:val="auto"/>
              </w:rPr>
              <w:t>United Kingdom</w:t>
            </w:r>
          </w:p>
        </w:tc>
      </w:tr>
      <w:tr>
        <w:trPr>
          <w:trHeight w:val="223"/>
        </w:trPr>
        <w:tc>
          <w:tcPr>
            <w:tcW w:w="5680" w:type="dxa"/>
            <w:vAlign w:val="bottom"/>
            <w:tcBorders>
              <w:left w:val="single" w:sz="8" w:color="92CDDC"/>
              <w:bottom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WPM Education Limited</w:t>
            </w:r>
          </w:p>
        </w:tc>
        <w:tc>
          <w:tcPr>
            <w:tcW w:w="260" w:type="dxa"/>
            <w:vAlign w:val="bottom"/>
            <w:tcBorders>
              <w:bottom w:val="single" w:sz="8" w:color="92CDDC"/>
              <w:right w:val="single" w:sz="8" w:color="92CDDC"/>
            </w:tcBorders>
            <w:shd w:val="clear" w:color="auto" w:fill="DAEEF3"/>
          </w:tcPr>
          <w:p>
            <w:pPr>
              <w:spacing w:after="0"/>
              <w:rPr>
                <w:sz w:val="19"/>
                <w:szCs w:val="19"/>
                <w:color w:val="auto"/>
              </w:rPr>
            </w:pPr>
          </w:p>
        </w:tc>
        <w:tc>
          <w:tcPr>
            <w:tcW w:w="5300" w:type="dxa"/>
            <w:vAlign w:val="bottom"/>
            <w:tcBorders>
              <w:bottom w:val="single" w:sz="8" w:color="92CDDC"/>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United Kingdom</w:t>
            </w:r>
          </w:p>
        </w:tc>
      </w:tr>
      <w:tr>
        <w:trPr>
          <w:trHeight w:val="223"/>
        </w:trPr>
        <w:tc>
          <w:tcPr>
            <w:tcW w:w="5680" w:type="dxa"/>
            <w:vAlign w:val="bottom"/>
            <w:tcBorders>
              <w:left w:val="single" w:sz="8" w:color="92CDDC"/>
              <w:bottom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WPM Payment Security Limited</w:t>
            </w:r>
          </w:p>
        </w:tc>
        <w:tc>
          <w:tcPr>
            <w:tcW w:w="260" w:type="dxa"/>
            <w:vAlign w:val="bottom"/>
            <w:tcBorders>
              <w:bottom w:val="single" w:sz="8" w:color="92CDDC"/>
              <w:right w:val="single" w:sz="8" w:color="92CDDC"/>
            </w:tcBorders>
          </w:tcPr>
          <w:p>
            <w:pPr>
              <w:spacing w:after="0"/>
              <w:rPr>
                <w:sz w:val="19"/>
                <w:szCs w:val="19"/>
                <w:color w:val="auto"/>
              </w:rPr>
            </w:pPr>
          </w:p>
        </w:tc>
        <w:tc>
          <w:tcPr>
            <w:tcW w:w="5300" w:type="dxa"/>
            <w:vAlign w:val="bottom"/>
            <w:tcBorders>
              <w:bottom w:val="single" w:sz="8" w:color="92CDDC"/>
              <w:right w:val="single" w:sz="8" w:color="92CDDC"/>
            </w:tcBorders>
          </w:tcPr>
          <w:p>
            <w:pPr>
              <w:ind w:left="80"/>
              <w:spacing w:after="0"/>
              <w:rPr>
                <w:sz w:val="20"/>
                <w:szCs w:val="20"/>
                <w:color w:val="auto"/>
              </w:rPr>
            </w:pPr>
            <w:r>
              <w:rPr>
                <w:rFonts w:ascii="Arial" w:cs="Arial" w:eastAsia="Arial" w:hAnsi="Arial"/>
                <w:sz w:val="18"/>
                <w:szCs w:val="18"/>
                <w:color w:val="auto"/>
              </w:rPr>
              <w:t>United Kingdom</w:t>
            </w:r>
          </w:p>
        </w:tc>
      </w:tr>
      <w:tr>
        <w:trPr>
          <w:trHeight w:val="223"/>
        </w:trPr>
        <w:tc>
          <w:tcPr>
            <w:tcW w:w="5680" w:type="dxa"/>
            <w:vAlign w:val="bottom"/>
            <w:tcBorders>
              <w:left w:val="single" w:sz="8" w:color="92CDDC"/>
              <w:bottom w:val="single" w:sz="8" w:color="92CDDC"/>
              <w:right w:val="single" w:sz="8" w:color="92CDDC"/>
            </w:tcBorders>
            <w:shd w:val="clear" w:color="auto" w:fill="DAEEF3"/>
          </w:tcPr>
          <w:p>
            <w:pPr>
              <w:ind w:left="120"/>
              <w:spacing w:after="0"/>
              <w:rPr>
                <w:sz w:val="20"/>
                <w:szCs w:val="20"/>
                <w:color w:val="auto"/>
              </w:rPr>
            </w:pPr>
            <w:r>
              <w:rPr>
                <w:rFonts w:ascii="Arial" w:cs="Arial" w:eastAsia="Arial" w:hAnsi="Arial"/>
                <w:sz w:val="18"/>
                <w:szCs w:val="18"/>
                <w:color w:val="auto"/>
              </w:rPr>
              <w:t>WPM Group Services Limited</w:t>
            </w:r>
          </w:p>
        </w:tc>
        <w:tc>
          <w:tcPr>
            <w:tcW w:w="260" w:type="dxa"/>
            <w:vAlign w:val="bottom"/>
            <w:tcBorders>
              <w:bottom w:val="single" w:sz="8" w:color="92CDDC"/>
              <w:right w:val="single" w:sz="8" w:color="92CDDC"/>
            </w:tcBorders>
            <w:shd w:val="clear" w:color="auto" w:fill="DAEEF3"/>
          </w:tcPr>
          <w:p>
            <w:pPr>
              <w:spacing w:after="0"/>
              <w:rPr>
                <w:sz w:val="19"/>
                <w:szCs w:val="19"/>
                <w:color w:val="auto"/>
              </w:rPr>
            </w:pPr>
          </w:p>
        </w:tc>
        <w:tc>
          <w:tcPr>
            <w:tcW w:w="5300" w:type="dxa"/>
            <w:vAlign w:val="bottom"/>
            <w:tcBorders>
              <w:bottom w:val="single" w:sz="8" w:color="92CDDC"/>
              <w:right w:val="single" w:sz="8" w:color="92CDDC"/>
            </w:tcBorders>
            <w:shd w:val="clear" w:color="auto" w:fill="DAEEF3"/>
          </w:tcPr>
          <w:p>
            <w:pPr>
              <w:ind w:left="80"/>
              <w:spacing w:after="0"/>
              <w:rPr>
                <w:sz w:val="20"/>
                <w:szCs w:val="20"/>
                <w:color w:val="auto"/>
              </w:rPr>
            </w:pPr>
            <w:r>
              <w:rPr>
                <w:rFonts w:ascii="Arial" w:cs="Arial" w:eastAsia="Arial" w:hAnsi="Arial"/>
                <w:sz w:val="18"/>
                <w:szCs w:val="18"/>
                <w:color w:val="auto"/>
              </w:rPr>
              <w:t>United Kingdom</w:t>
            </w:r>
          </w:p>
        </w:tc>
      </w:tr>
      <w:tr>
        <w:trPr>
          <w:trHeight w:val="223"/>
        </w:trPr>
        <w:tc>
          <w:tcPr>
            <w:tcW w:w="5680" w:type="dxa"/>
            <w:vAlign w:val="bottom"/>
            <w:tcBorders>
              <w:left w:val="single" w:sz="8" w:color="92CDDC"/>
              <w:bottom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WPM Payments Limited</w:t>
            </w:r>
          </w:p>
        </w:tc>
        <w:tc>
          <w:tcPr>
            <w:tcW w:w="260" w:type="dxa"/>
            <w:vAlign w:val="bottom"/>
            <w:tcBorders>
              <w:bottom w:val="single" w:sz="8" w:color="92CDDC"/>
              <w:right w:val="single" w:sz="8" w:color="92CDDC"/>
            </w:tcBorders>
          </w:tcPr>
          <w:p>
            <w:pPr>
              <w:spacing w:after="0"/>
              <w:rPr>
                <w:sz w:val="19"/>
                <w:szCs w:val="19"/>
                <w:color w:val="auto"/>
              </w:rPr>
            </w:pPr>
          </w:p>
        </w:tc>
        <w:tc>
          <w:tcPr>
            <w:tcW w:w="5300" w:type="dxa"/>
            <w:vAlign w:val="bottom"/>
            <w:tcBorders>
              <w:bottom w:val="single" w:sz="8" w:color="92CDDC"/>
              <w:right w:val="single" w:sz="8" w:color="92CDDC"/>
            </w:tcBorders>
          </w:tcPr>
          <w:p>
            <w:pPr>
              <w:ind w:left="80"/>
              <w:spacing w:after="0"/>
              <w:rPr>
                <w:sz w:val="20"/>
                <w:szCs w:val="20"/>
                <w:color w:val="auto"/>
              </w:rPr>
            </w:pPr>
            <w:r>
              <w:rPr>
                <w:rFonts w:ascii="Arial" w:cs="Arial" w:eastAsia="Arial" w:hAnsi="Arial"/>
                <w:sz w:val="18"/>
                <w:szCs w:val="18"/>
                <w:color w:val="auto"/>
              </w:rPr>
              <w:t>United Kingdom</w:t>
            </w:r>
          </w:p>
        </w:tc>
      </w:tr>
      <w:tr>
        <w:trPr>
          <w:trHeight w:val="223"/>
        </w:trPr>
        <w:tc>
          <w:tcPr>
            <w:tcW w:w="5680" w:type="dxa"/>
            <w:vAlign w:val="bottom"/>
            <w:tcBorders>
              <w:left w:val="single" w:sz="8" w:color="92CDDC"/>
              <w:bottom w:val="single" w:sz="8" w:color="92CDDC"/>
              <w:right w:val="single" w:sz="8" w:color="92CDDC"/>
            </w:tcBorders>
          </w:tcPr>
          <w:p>
            <w:pPr>
              <w:ind w:left="120"/>
              <w:spacing w:after="0"/>
              <w:rPr>
                <w:sz w:val="20"/>
                <w:szCs w:val="20"/>
                <w:color w:val="auto"/>
              </w:rPr>
            </w:pPr>
            <w:r>
              <w:rPr>
                <w:rFonts w:ascii="Arial" w:cs="Arial" w:eastAsia="Arial" w:hAnsi="Arial"/>
                <w:sz w:val="18"/>
                <w:szCs w:val="18"/>
                <w:color w:val="auto"/>
              </w:rPr>
              <w:t>Learning Information System Limited</w:t>
            </w:r>
          </w:p>
        </w:tc>
        <w:tc>
          <w:tcPr>
            <w:tcW w:w="260" w:type="dxa"/>
            <w:vAlign w:val="bottom"/>
            <w:tcBorders>
              <w:bottom w:val="single" w:sz="8" w:color="92CDDC"/>
              <w:right w:val="single" w:sz="8" w:color="92CDDC"/>
            </w:tcBorders>
          </w:tcPr>
          <w:p>
            <w:pPr>
              <w:spacing w:after="0"/>
              <w:rPr>
                <w:sz w:val="19"/>
                <w:szCs w:val="19"/>
                <w:color w:val="auto"/>
              </w:rPr>
            </w:pPr>
          </w:p>
        </w:tc>
        <w:tc>
          <w:tcPr>
            <w:tcW w:w="5300" w:type="dxa"/>
            <w:vAlign w:val="bottom"/>
            <w:tcBorders>
              <w:bottom w:val="single" w:sz="8" w:color="92CDDC"/>
              <w:right w:val="single" w:sz="8" w:color="92CDDC"/>
            </w:tcBorders>
          </w:tcPr>
          <w:p>
            <w:pPr>
              <w:ind w:left="8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240"/>
          </w:cols>
          <w:pgMar w:left="320" w:top="903" w:right="339" w:bottom="1031"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255905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ind w:left="9240"/>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hereby consent to the incorporation by reference in the Registration Statements on Form S-3 (333-273835) and Forms S-8 (Nos. 333-256695, 333-263956 and 333-270587) of Flywire Corporation of our report dated February 28, 2024 relating to the financial statements and the effectiveness of internal control over financial reporting, which appears in this Form 10-K.</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5" w:right="51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7"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 Michael Massaro, certify that:</w:t>
      </w:r>
    </w:p>
    <w:p>
      <w:pPr>
        <w:spacing w:after="0" w:line="103" w:lineRule="exact"/>
        <w:rPr>
          <w:sz w:val="20"/>
          <w:szCs w:val="20"/>
          <w:color w:val="auto"/>
        </w:rPr>
      </w:pPr>
    </w:p>
    <w:p>
      <w:pPr>
        <w:ind w:left="400" w:hanging="392"/>
        <w:spacing w:after="0"/>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2023 of Flywire Corporation;</w:t>
      </w:r>
    </w:p>
    <w:p>
      <w:pPr>
        <w:spacing w:after="0" w:line="103" w:lineRule="exact"/>
        <w:rPr>
          <w:rFonts w:ascii="Arial" w:cs="Arial" w:eastAsia="Arial" w:hAnsi="Arial"/>
          <w:sz w:val="18"/>
          <w:szCs w:val="18"/>
          <w:color w:val="auto"/>
        </w:rPr>
      </w:pPr>
    </w:p>
    <w:p>
      <w:pPr>
        <w:ind w:left="520" w:hanging="512"/>
        <w:spacing w:after="0" w:line="252" w:lineRule="auto"/>
        <w:tabs>
          <w:tab w:leader="none" w:pos="4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520" w:right="380" w:hanging="512"/>
        <w:spacing w:after="0" w:line="241" w:lineRule="auto"/>
        <w:tabs>
          <w:tab w:leader="none" w:pos="4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8"/>
          <w:szCs w:val="18"/>
          <w:color w:val="auto"/>
        </w:rPr>
      </w:pPr>
    </w:p>
    <w:p>
      <w:pPr>
        <w:ind w:right="60" w:firstLine="8"/>
        <w:spacing w:after="0" w:line="242" w:lineRule="auto"/>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Arial" w:cs="Arial" w:eastAsia="Arial" w:hAnsi="Arial"/>
          <w:sz w:val="18"/>
          <w:szCs w:val="18"/>
          <w:color w:val="auto"/>
        </w:rPr>
      </w:pPr>
    </w:p>
    <w:p>
      <w:pPr>
        <w:ind w:left="1660" w:right="280" w:hanging="507"/>
        <w:spacing w:after="0" w:line="246" w:lineRule="auto"/>
        <w:tabs>
          <w:tab w:leader="none" w:pos="155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1660" w:right="180" w:hanging="507"/>
        <w:spacing w:after="0" w:line="274" w:lineRule="auto"/>
        <w:tabs>
          <w:tab w:leader="none" w:pos="155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7"/>
          <w:szCs w:val="17"/>
          <w:color w:val="auto"/>
        </w:rPr>
      </w:pPr>
    </w:p>
    <w:p>
      <w:pPr>
        <w:ind w:left="1660" w:right="280" w:hanging="507"/>
        <w:spacing w:after="0" w:line="252" w:lineRule="auto"/>
        <w:tabs>
          <w:tab w:leader="none" w:pos="155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60" w:right="20" w:hanging="507"/>
        <w:spacing w:after="0" w:line="274" w:lineRule="auto"/>
        <w:tabs>
          <w:tab w:leader="none" w:pos="155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7"/>
          <w:szCs w:val="17"/>
          <w:color w:val="auto"/>
        </w:rPr>
      </w:pPr>
    </w:p>
    <w:p>
      <w:pPr>
        <w:ind w:left="520" w:right="400" w:hanging="512"/>
        <w:spacing w:after="0" w:line="252" w:lineRule="auto"/>
        <w:tabs>
          <w:tab w:leader="none" w:pos="4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660" w:right="140" w:hanging="507"/>
        <w:spacing w:after="0" w:line="252" w:lineRule="auto"/>
        <w:tabs>
          <w:tab w:leader="none" w:pos="155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660" w:right="540" w:hanging="507"/>
        <w:spacing w:after="0" w:line="271" w:lineRule="auto"/>
        <w:tabs>
          <w:tab w:leader="none" w:pos="155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ind w:left="7820" w:right="760" w:hanging="7803"/>
        <w:spacing w:after="0" w:line="279" w:lineRule="auto"/>
        <w:tabs>
          <w:tab w:leader="none" w:pos="7800" w:val="left"/>
        </w:tabs>
        <w:rPr>
          <w:sz w:val="20"/>
          <w:szCs w:val="20"/>
          <w:color w:val="auto"/>
        </w:rPr>
      </w:pPr>
      <w:r>
        <w:rPr>
          <w:rFonts w:ascii="Arial" w:cs="Arial" w:eastAsia="Arial" w:hAnsi="Arial"/>
          <w:sz w:val="18"/>
          <w:szCs w:val="18"/>
          <w:color w:val="auto"/>
        </w:rPr>
        <w:t>Date: February 28, 2024</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-3175</wp:posOffset>
            </wp:positionV>
            <wp:extent cx="188404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spacing w:after="0" w:line="225" w:lineRule="exact"/>
        <w:rPr>
          <w:sz w:val="20"/>
          <w:szCs w:val="20"/>
          <w:color w:val="auto"/>
        </w:rPr>
      </w:pPr>
    </w:p>
    <w:p>
      <w:pPr>
        <w:jc w:val="center"/>
        <w:ind w:left="8080"/>
        <w:spacing w:after="0"/>
        <w:rPr>
          <w:sz w:val="20"/>
          <w:szCs w:val="20"/>
          <w:color w:val="auto"/>
        </w:rPr>
      </w:pPr>
      <w:r>
        <w:rPr>
          <w:rFonts w:ascii="Arial" w:cs="Arial" w:eastAsia="Arial" w:hAnsi="Arial"/>
          <w:sz w:val="18"/>
          <w:szCs w:val="18"/>
          <w:b w:val="1"/>
          <w:bCs w:val="1"/>
          <w:color w:val="auto"/>
        </w:rPr>
        <w:t>Michael Massaro</w:t>
      </w:r>
    </w:p>
    <w:p>
      <w:pPr>
        <w:spacing w:after="0" w:line="40" w:lineRule="exact"/>
        <w:rPr>
          <w:sz w:val="20"/>
          <w:szCs w:val="20"/>
          <w:color w:val="auto"/>
        </w:rPr>
      </w:pPr>
    </w:p>
    <w:p>
      <w:pPr>
        <w:jc w:val="center"/>
        <w:ind w:left="80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7"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 Michael Ellis, certify that:</w:t>
      </w:r>
    </w:p>
    <w:p>
      <w:pPr>
        <w:spacing w:after="0" w:line="103" w:lineRule="exact"/>
        <w:rPr>
          <w:sz w:val="20"/>
          <w:szCs w:val="20"/>
          <w:color w:val="auto"/>
        </w:rPr>
      </w:pPr>
    </w:p>
    <w:p>
      <w:pPr>
        <w:ind w:left="400" w:hanging="392"/>
        <w:spacing w:after="0"/>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2023 of Flywire Corporation;</w:t>
      </w:r>
    </w:p>
    <w:p>
      <w:pPr>
        <w:spacing w:after="0" w:line="103" w:lineRule="exact"/>
        <w:rPr>
          <w:rFonts w:ascii="Arial" w:cs="Arial" w:eastAsia="Arial" w:hAnsi="Arial"/>
          <w:sz w:val="18"/>
          <w:szCs w:val="18"/>
          <w:color w:val="auto"/>
        </w:rPr>
      </w:pPr>
    </w:p>
    <w:p>
      <w:pPr>
        <w:ind w:left="520" w:hanging="512"/>
        <w:spacing w:after="0" w:line="252" w:lineRule="auto"/>
        <w:tabs>
          <w:tab w:leader="none" w:pos="4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520" w:right="380" w:hanging="512"/>
        <w:spacing w:after="0" w:line="241" w:lineRule="auto"/>
        <w:tabs>
          <w:tab w:leader="none" w:pos="4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8"/>
          <w:szCs w:val="18"/>
          <w:color w:val="auto"/>
        </w:rPr>
      </w:pPr>
    </w:p>
    <w:p>
      <w:pPr>
        <w:ind w:right="60" w:firstLine="8"/>
        <w:spacing w:after="0" w:line="242" w:lineRule="auto"/>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Arial" w:cs="Arial" w:eastAsia="Arial" w:hAnsi="Arial"/>
          <w:sz w:val="18"/>
          <w:szCs w:val="18"/>
          <w:color w:val="auto"/>
        </w:rPr>
      </w:pPr>
    </w:p>
    <w:p>
      <w:pPr>
        <w:ind w:left="1660" w:right="280" w:hanging="507"/>
        <w:spacing w:after="0" w:line="246" w:lineRule="auto"/>
        <w:tabs>
          <w:tab w:leader="none" w:pos="155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1660" w:right="180" w:hanging="507"/>
        <w:spacing w:after="0" w:line="274" w:lineRule="auto"/>
        <w:tabs>
          <w:tab w:leader="none" w:pos="155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7"/>
          <w:szCs w:val="17"/>
          <w:color w:val="auto"/>
        </w:rPr>
      </w:pPr>
    </w:p>
    <w:p>
      <w:pPr>
        <w:ind w:left="1660" w:right="280" w:hanging="507"/>
        <w:spacing w:after="0" w:line="252" w:lineRule="auto"/>
        <w:tabs>
          <w:tab w:leader="none" w:pos="155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60" w:right="20" w:hanging="507"/>
        <w:spacing w:after="0" w:line="274" w:lineRule="auto"/>
        <w:tabs>
          <w:tab w:leader="none" w:pos="155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7"/>
          <w:szCs w:val="17"/>
          <w:color w:val="auto"/>
        </w:rPr>
      </w:pPr>
    </w:p>
    <w:p>
      <w:pPr>
        <w:ind w:left="520" w:right="400" w:hanging="512"/>
        <w:spacing w:after="0" w:line="252" w:lineRule="auto"/>
        <w:tabs>
          <w:tab w:leader="none" w:pos="4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660" w:right="140" w:hanging="507"/>
        <w:spacing w:after="0" w:line="252" w:lineRule="auto"/>
        <w:tabs>
          <w:tab w:leader="none" w:pos="155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660" w:right="540" w:hanging="507"/>
        <w:spacing w:after="0" w:line="271" w:lineRule="auto"/>
        <w:tabs>
          <w:tab w:leader="none" w:pos="155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ind w:left="7900" w:right="900" w:hanging="7884"/>
        <w:spacing w:after="0" w:line="279" w:lineRule="auto"/>
        <w:tabs>
          <w:tab w:leader="none" w:pos="7880" w:val="left"/>
        </w:tabs>
        <w:rPr>
          <w:sz w:val="20"/>
          <w:szCs w:val="20"/>
          <w:color w:val="auto"/>
        </w:rPr>
      </w:pPr>
      <w:r>
        <w:rPr>
          <w:rFonts w:ascii="Arial" w:cs="Arial" w:eastAsia="Arial" w:hAnsi="Arial"/>
          <w:sz w:val="18"/>
          <w:szCs w:val="18"/>
          <w:color w:val="auto"/>
        </w:rPr>
        <w:t>Date: February 28, 2024</w:t>
      </w:r>
      <w:r>
        <w:rPr>
          <w:sz w:val="20"/>
          <w:szCs w:val="20"/>
          <w:color w:val="auto"/>
        </w:rPr>
        <w:tab/>
      </w:r>
      <w:r>
        <w:rPr>
          <w:rFonts w:ascii="Arial" w:cs="Arial" w:eastAsia="Arial" w:hAnsi="Arial"/>
          <w:sz w:val="18"/>
          <w:szCs w:val="18"/>
          <w:color w:val="auto"/>
        </w:rPr>
        <w:t>/s/ Michael Ellis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5253990</wp:posOffset>
            </wp:positionH>
            <wp:positionV relativeFrom="paragraph">
              <wp:posOffset>-3175</wp:posOffset>
            </wp:positionV>
            <wp:extent cx="183261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9">
                      <a:extLst>
                        <a:ext uri="{28A0092B-C50C-407E-A947-70E740481C1C}"/>
                      </a:extLst>
                    </a:blip>
                    <a:srcRect/>
                    <a:stretch>
                      <a:fillRect/>
                    </a:stretch>
                  </pic:blipFill>
                  <pic:spPr bwMode="auto">
                    <a:xfrm>
                      <a:off x="0" y="0"/>
                      <a:ext cx="1832610" cy="8255"/>
                    </a:xfrm>
                    <a:prstGeom prst="rect">
                      <a:avLst/>
                    </a:prstGeom>
                    <a:noFill/>
                  </pic:spPr>
                </pic:pic>
              </a:graphicData>
            </a:graphic>
          </wp:anchor>
        </w:drawing>
      </w:r>
    </w:p>
    <w:p>
      <w:pPr>
        <w:spacing w:after="0" w:line="238"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Michael Ellis</w:t>
      </w:r>
    </w:p>
    <w:p>
      <w:pPr>
        <w:spacing w:after="0" w:line="40"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1526540</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5"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In connection with the Annual Report of Flywire Corporation (the “Company”) on Form 10-K for the year ended December 31, 2023 as filed with the Securities and Exchange Commission on the date hereof (the “Report”), I certify, pursuant to 18 U.S.C. § 1350, as adopted pursuant to § 906 of the Sarbanes-Oxley Act of 2002, that:</w:t>
      </w:r>
    </w:p>
    <w:p>
      <w:pPr>
        <w:spacing w:after="0" w:line="63" w:lineRule="exact"/>
        <w:rPr>
          <w:sz w:val="20"/>
          <w:szCs w:val="20"/>
          <w:color w:val="auto"/>
        </w:rPr>
      </w:pPr>
    </w:p>
    <w:p>
      <w:pPr>
        <w:ind w:left="1560" w:hanging="407"/>
        <w:spacing w:after="0"/>
        <w:tabs>
          <w:tab w:leader="none" w:pos="1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71" w:lineRule="auto"/>
        <w:tabs>
          <w:tab w:leader="none" w:pos="15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3" w:lineRule="exact"/>
        <w:rPr>
          <w:sz w:val="20"/>
          <w:szCs w:val="20"/>
          <w:color w:val="auto"/>
        </w:rPr>
      </w:pPr>
    </w:p>
    <w:p>
      <w:pPr>
        <w:ind w:left="8020" w:right="620" w:hanging="8005"/>
        <w:spacing w:after="0" w:line="279" w:lineRule="auto"/>
        <w:tabs>
          <w:tab w:leader="none" w:pos="8000" w:val="left"/>
        </w:tabs>
        <w:rPr>
          <w:sz w:val="20"/>
          <w:szCs w:val="20"/>
          <w:color w:val="auto"/>
        </w:rPr>
      </w:pPr>
      <w:r>
        <w:rPr>
          <w:rFonts w:ascii="Arial" w:cs="Arial" w:eastAsia="Arial" w:hAnsi="Arial"/>
          <w:sz w:val="18"/>
          <w:szCs w:val="18"/>
          <w:color w:val="auto"/>
        </w:rPr>
        <w:t>Date: February 28, 2024</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-3175</wp:posOffset>
            </wp:positionV>
            <wp:extent cx="175514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1">
                      <a:extLst>
                        <a:ext uri="{28A0092B-C50C-407E-A947-70E740481C1C}"/>
                      </a:extLst>
                    </a:blip>
                    <a:srcRect/>
                    <a:stretch>
                      <a:fillRect/>
                    </a:stretch>
                  </pic:blipFill>
                  <pic:spPr bwMode="auto">
                    <a:xfrm>
                      <a:off x="0" y="0"/>
                      <a:ext cx="1755140" cy="8255"/>
                    </a:xfrm>
                    <a:prstGeom prst="rect">
                      <a:avLst/>
                    </a:prstGeom>
                    <a:noFill/>
                  </pic:spPr>
                </pic:pic>
              </a:graphicData>
            </a:graphic>
          </wp:anchor>
        </w:drawing>
      </w:r>
    </w:p>
    <w:p>
      <w:pPr>
        <w:spacing w:after="0" w:line="225" w:lineRule="exact"/>
        <w:rPr>
          <w:sz w:val="20"/>
          <w:szCs w:val="20"/>
          <w:color w:val="auto"/>
        </w:rPr>
      </w:pPr>
    </w:p>
    <w:p>
      <w:pPr>
        <w:jc w:val="center"/>
        <w:ind w:left="8300"/>
        <w:spacing w:after="0"/>
        <w:rPr>
          <w:sz w:val="20"/>
          <w:szCs w:val="20"/>
          <w:color w:val="auto"/>
        </w:rPr>
      </w:pPr>
      <w:r>
        <w:rPr>
          <w:rFonts w:ascii="Arial" w:cs="Arial" w:eastAsia="Arial" w:hAnsi="Arial"/>
          <w:sz w:val="18"/>
          <w:szCs w:val="18"/>
          <w:b w:val="1"/>
          <w:bCs w:val="1"/>
          <w:color w:val="auto"/>
        </w:rPr>
        <w:t>Michael Massaro</w:t>
      </w:r>
    </w:p>
    <w:p>
      <w:pPr>
        <w:spacing w:after="0" w:line="40" w:lineRule="exact"/>
        <w:rPr>
          <w:sz w:val="20"/>
          <w:szCs w:val="20"/>
          <w:color w:val="auto"/>
        </w:rPr>
      </w:pPr>
    </w:p>
    <w:p>
      <w:pPr>
        <w:jc w:val="center"/>
        <w:ind w:left="83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5"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In connection with the Annual Report of Flywire Corporation (the “Company”) on Form 10-K for the year ended December 31, 2023 as filed with the Securities and Exchange Commission on the date hereof (the “Report”), I certify, pursuant to 18 U.S.C. § 1350, as adopted pursuant to § 906 of the Sarbanes-Oxley Act of 2002, that:</w:t>
      </w:r>
    </w:p>
    <w:p>
      <w:pPr>
        <w:spacing w:after="0" w:line="63" w:lineRule="exact"/>
        <w:rPr>
          <w:sz w:val="20"/>
          <w:szCs w:val="20"/>
          <w:color w:val="auto"/>
        </w:rPr>
      </w:pPr>
    </w:p>
    <w:p>
      <w:pPr>
        <w:ind w:left="1560" w:hanging="407"/>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71" w:lineRule="auto"/>
        <w:tabs>
          <w:tab w:leader="none" w:pos="15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3" w:lineRule="exact"/>
        <w:rPr>
          <w:sz w:val="20"/>
          <w:szCs w:val="20"/>
          <w:color w:val="auto"/>
        </w:rPr>
      </w:pPr>
    </w:p>
    <w:p>
      <w:pPr>
        <w:ind w:left="8020" w:right="800" w:hanging="8005"/>
        <w:spacing w:after="0" w:line="279" w:lineRule="auto"/>
        <w:tabs>
          <w:tab w:leader="none" w:pos="8000" w:val="left"/>
        </w:tabs>
        <w:rPr>
          <w:sz w:val="20"/>
          <w:szCs w:val="20"/>
          <w:color w:val="auto"/>
        </w:rPr>
      </w:pPr>
      <w:r>
        <w:rPr>
          <w:rFonts w:ascii="Arial" w:cs="Arial" w:eastAsia="Arial" w:hAnsi="Arial"/>
          <w:sz w:val="18"/>
          <w:szCs w:val="18"/>
          <w:color w:val="auto"/>
        </w:rPr>
        <w:t>Date: February 28, 2024</w:t>
      </w:r>
      <w:r>
        <w:rPr>
          <w:sz w:val="20"/>
          <w:szCs w:val="20"/>
          <w:color w:val="auto"/>
        </w:rPr>
        <w:tab/>
      </w:r>
      <w:r>
        <w:rPr>
          <w:rFonts w:ascii="Arial" w:cs="Arial" w:eastAsia="Arial" w:hAnsi="Arial"/>
          <w:sz w:val="18"/>
          <w:szCs w:val="18"/>
          <w:color w:val="auto"/>
        </w:rPr>
        <w:t>/s/ Michael Ellis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-3175</wp:posOffset>
            </wp:positionV>
            <wp:extent cx="175514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3">
                      <a:extLst>
                        <a:ext uri="{28A0092B-C50C-407E-A947-70E740481C1C}"/>
                      </a:extLst>
                    </a:blip>
                    <a:srcRect/>
                    <a:stretch>
                      <a:fillRect/>
                    </a:stretch>
                  </pic:blipFill>
                  <pic:spPr bwMode="auto">
                    <a:xfrm>
                      <a:off x="0" y="0"/>
                      <a:ext cx="1755140" cy="8255"/>
                    </a:xfrm>
                    <a:prstGeom prst="rect">
                      <a:avLst/>
                    </a:prstGeom>
                    <a:noFill/>
                  </pic:spPr>
                </pic:pic>
              </a:graphicData>
            </a:graphic>
          </wp:anchor>
        </w:drawing>
      </w:r>
    </w:p>
    <w:p>
      <w:pPr>
        <w:spacing w:after="0" w:line="238" w:lineRule="exact"/>
        <w:rPr>
          <w:sz w:val="20"/>
          <w:szCs w:val="20"/>
          <w:color w:val="auto"/>
        </w:rPr>
      </w:pPr>
    </w:p>
    <w:p>
      <w:pPr>
        <w:jc w:val="center"/>
        <w:ind w:left="8300"/>
        <w:spacing w:after="0"/>
        <w:rPr>
          <w:sz w:val="20"/>
          <w:szCs w:val="20"/>
          <w:color w:val="auto"/>
        </w:rPr>
      </w:pPr>
      <w:r>
        <w:rPr>
          <w:rFonts w:ascii="Arial" w:cs="Arial" w:eastAsia="Arial" w:hAnsi="Arial"/>
          <w:sz w:val="18"/>
          <w:szCs w:val="18"/>
          <w:b w:val="1"/>
          <w:bCs w:val="1"/>
          <w:color w:val="auto"/>
        </w:rPr>
        <w:t>Michael Ellis</w:t>
      </w:r>
    </w:p>
    <w:p>
      <w:pPr>
        <w:spacing w:after="0" w:line="40" w:lineRule="exact"/>
        <w:rPr>
          <w:sz w:val="20"/>
          <w:szCs w:val="20"/>
          <w:color w:val="auto"/>
        </w:rPr>
      </w:pPr>
    </w:p>
    <w:p>
      <w:pPr>
        <w:jc w:val="center"/>
        <w:ind w:left="83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Adopted July 22,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FLYWIRE CORPORATION POLICY FOR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00" w:lineRule="exact"/>
        <w:rPr>
          <w:sz w:val="20"/>
          <w:szCs w:val="20"/>
          <w:color w:val="auto"/>
        </w:rPr>
      </w:pPr>
    </w:p>
    <w:p>
      <w:pPr>
        <w:spacing w:after="0" w:line="218" w:lineRule="exact"/>
        <w:rPr>
          <w:sz w:val="20"/>
          <w:szCs w:val="20"/>
          <w:color w:val="auto"/>
        </w:rPr>
      </w:pPr>
    </w:p>
    <w:p>
      <w:pPr>
        <w:jc w:val="both"/>
        <w:ind w:firstLine="9"/>
        <w:spacing w:after="0" w:line="259" w:lineRule="auto"/>
        <w:tabs>
          <w:tab w:leader="none" w:pos="19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purpose of this Policy is to describe the circumstances in which Executive Officers will be required to repay or return Erroneously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Awarded Compensation to members of the Company Group. This Policy is designed to comply with, and shall be interpreted to be consistent with, Section 10D of the Securities Exchange Act of 1934, as amended, Rule 10D-1 promulgated thereunder and the Listing Standards. Each Executive Officer shall be required to sign and return to the Company the Acknowledgment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pursuant to which such Executive Officer will agree to be bound by the terms of and comply with this Policy.</w:t>
      </w:r>
    </w:p>
    <w:p>
      <w:pPr>
        <w:spacing w:after="0" w:line="177" w:lineRule="exact"/>
        <w:rPr>
          <w:rFonts w:ascii="Times New Roman" w:cs="Times New Roman" w:eastAsia="Times New Roman" w:hAnsi="Times New Roman"/>
          <w:sz w:val="18"/>
          <w:szCs w:val="18"/>
          <w:color w:val="auto"/>
        </w:rPr>
      </w:pPr>
    </w:p>
    <w:p>
      <w:pPr>
        <w:jc w:val="both"/>
        <w:ind w:firstLine="9"/>
        <w:spacing w:after="0" w:line="262" w:lineRule="auto"/>
        <w:tabs>
          <w:tab w:leader="none" w:pos="3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This Policy shall be administered by the Committee. The Committee is authorized to interpret and construe this Policy and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determinations, and take all actions, necessary, appropriate or advisable for the administration of this Policy. Any determinations and interpretations made by the Committee shall be final and binding on all affected individuals, and need not be uniform with respect to each individual covered by this Policy.</w:t>
      </w:r>
    </w:p>
    <w:p>
      <w:pPr>
        <w:spacing w:after="0" w:line="174" w:lineRule="exact"/>
        <w:rPr>
          <w:rFonts w:ascii="Times New Roman" w:cs="Times New Roman" w:eastAsia="Times New Roman" w:hAnsi="Times New Roman"/>
          <w:sz w:val="18"/>
          <w:szCs w:val="18"/>
          <w:color w:val="auto"/>
        </w:rPr>
      </w:pPr>
    </w:p>
    <w:p>
      <w:pPr>
        <w:ind w:left="180" w:hanging="171"/>
        <w:spacing w:after="0"/>
        <w:tabs>
          <w:tab w:leader="none" w:pos="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Policy, the following capitalized terms shall have the meanings set forth below.</w:t>
      </w:r>
    </w:p>
    <w:p>
      <w:pPr>
        <w:spacing w:after="0" w:line="224" w:lineRule="exact"/>
        <w:rPr>
          <w:rFonts w:ascii="Times New Roman" w:cs="Times New Roman" w:eastAsia="Times New Roman" w:hAnsi="Times New Roman"/>
          <w:sz w:val="18"/>
          <w:szCs w:val="18"/>
          <w:color w:val="auto"/>
        </w:rPr>
      </w:pPr>
    </w:p>
    <w:p>
      <w:pPr>
        <w:jc w:val="both"/>
        <w:ind w:firstLine="758"/>
        <w:spacing w:after="0" w:line="254" w:lineRule="auto"/>
        <w:tabs>
          <w:tab w:leader="none" w:pos="111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shall mean an accounting restatement of the Company’s financial statements due to the Company’s material noncompliance with any financial reporting requirement under U.S. securities laws, including any required accounting restatement that corrects an error (i) in previously issued financial statements that is material to the previously issued financial statements (a “Big R” restatement), or (ii) that is not material to previously issued financial statements, but would result in a material misstatement if the error were corrected in the current period or left uncorrected in the current period (a “little r” restatement). An Accounting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provisional amounts in connection with a prior business combination; and (vi) revision for stock splits, reverse stock splits, stock dividends or other changes in capital structure.</w:t>
      </w:r>
    </w:p>
    <w:p>
      <w:pPr>
        <w:spacing w:after="0" w:line="169" w:lineRule="exact"/>
        <w:rPr>
          <w:rFonts w:ascii="Times New Roman" w:cs="Times New Roman" w:eastAsia="Times New Roman" w:hAnsi="Times New Roman"/>
          <w:sz w:val="18"/>
          <w:szCs w:val="18"/>
          <w:color w:val="auto"/>
        </w:rPr>
      </w:pPr>
    </w:p>
    <w:p>
      <w:pPr>
        <w:ind w:left="1020" w:hanging="262"/>
        <w:spacing w:after="0"/>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4" w:lineRule="exact"/>
        <w:rPr>
          <w:rFonts w:ascii="Times New Roman" w:cs="Times New Roman" w:eastAsia="Times New Roman" w:hAnsi="Times New Roman"/>
          <w:sz w:val="18"/>
          <w:szCs w:val="18"/>
          <w:color w:val="auto"/>
        </w:rPr>
      </w:pPr>
    </w:p>
    <w:p>
      <w:pPr>
        <w:jc w:val="both"/>
        <w:ind w:firstLine="758"/>
        <w:spacing w:after="0" w:line="256" w:lineRule="auto"/>
        <w:tabs>
          <w:tab w:leader="none" w:pos="111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Clawback Eligible Incentive Compensation</w:t>
      </w:r>
      <w:r>
        <w:rPr>
          <w:rFonts w:ascii="Times New Roman" w:cs="Times New Roman" w:eastAsia="Times New Roman" w:hAnsi="Times New Roman"/>
          <w:sz w:val="18"/>
          <w:szCs w:val="18"/>
          <w:color w:val="auto"/>
        </w:rPr>
        <w:t>”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(even if such Incentive-Based Compensation was approved, awarded, granted or paid prior to the effective date of the Listing Standards), (ii) after beginning service as an Executive Officer, (iii) while the Company has a class of securities listed on a national securities exchange or a national securities association, and (iv) during the applicable Clawback Period (see explanatory note 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u w:val="single" w:color="auto"/>
          <w:color w:val="auto"/>
        </w:rPr>
        <w:t>Explanatory Note 1</w:t>
      </w:r>
      <w:r>
        <w:rPr>
          <w:rFonts w:ascii="Times New Roman" w:cs="Times New Roman" w:eastAsia="Times New Roman" w:hAnsi="Times New Roman"/>
          <w:sz w:val="16"/>
          <w:szCs w:val="16"/>
          <w:color w:val="auto"/>
        </w:rPr>
        <w:t>: Recovery of compensation is not required (1) with respect to any compensation Received while an individual was serving in a non-executive capacity prior to becoming an Executive Officer or (2) from any individual who is an Executive Officer on the Restatement Date but who was not an Executive Officer at any time during the performance period for which the Incentive-Based Compensation is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1000125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71" w:name="page172"/>
    <w:bookmarkEnd w:id="171"/>
    <w:p>
      <w:pPr>
        <w:spacing w:after="0" w:line="188" w:lineRule="exact"/>
        <w:rPr>
          <w:sz w:val="20"/>
          <w:szCs w:val="20"/>
          <w:color w:val="auto"/>
        </w:rPr>
      </w:pPr>
    </w:p>
    <w:p>
      <w:pPr>
        <w:jc w:val="both"/>
        <w:ind w:firstLine="757"/>
        <w:spacing w:after="0" w:line="268" w:lineRule="auto"/>
        <w:tabs>
          <w:tab w:leader="none" w:pos="10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Period</w:t>
      </w:r>
      <w:r>
        <w:rPr>
          <w:rFonts w:ascii="Times New Roman" w:cs="Times New Roman" w:eastAsia="Times New Roman" w:hAnsi="Times New Roman"/>
          <w:sz w:val="18"/>
          <w:szCs w:val="18"/>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56" w:lineRule="exact"/>
        <w:rPr>
          <w:rFonts w:ascii="Times New Roman" w:cs="Times New Roman" w:eastAsia="Times New Roman" w:hAnsi="Times New Roman"/>
          <w:sz w:val="18"/>
          <w:szCs w:val="18"/>
          <w:color w:val="auto"/>
        </w:rPr>
      </w:pPr>
    </w:p>
    <w:p>
      <w:pPr>
        <w:ind w:left="1000" w:hanging="242"/>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shall mean the Compensation Committee of the Board.</w:t>
      </w:r>
    </w:p>
    <w:p>
      <w:pPr>
        <w:spacing w:after="0" w:line="224" w:lineRule="exact"/>
        <w:rPr>
          <w:rFonts w:ascii="Times New Roman" w:cs="Times New Roman" w:eastAsia="Times New Roman" w:hAnsi="Times New Roman"/>
          <w:sz w:val="18"/>
          <w:szCs w:val="18"/>
          <w:color w:val="auto"/>
        </w:rPr>
      </w:pPr>
    </w:p>
    <w:p>
      <w:pPr>
        <w:ind w:left="980" w:hanging="2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mean Flywire Corporation, a Delaware corporation.</w:t>
      </w:r>
    </w:p>
    <w:p>
      <w:pPr>
        <w:spacing w:after="0" w:line="224"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shall mean the Company, together with each of its direct and indirect subsidiaries.</w:t>
      </w:r>
    </w:p>
    <w:p>
      <w:pPr>
        <w:spacing w:after="0" w:line="224"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shall mean the effective date of this Policy, which date is October 2, 2023.</w:t>
      </w:r>
    </w:p>
    <w:p>
      <w:pPr>
        <w:spacing w:after="0" w:line="224" w:lineRule="exact"/>
        <w:rPr>
          <w:rFonts w:ascii="Times New Roman" w:cs="Times New Roman" w:eastAsia="Times New Roman" w:hAnsi="Times New Roman"/>
          <w:sz w:val="18"/>
          <w:szCs w:val="18"/>
          <w:color w:val="auto"/>
        </w:rPr>
      </w:pPr>
    </w:p>
    <w:p>
      <w:pPr>
        <w:jc w:val="both"/>
        <w:ind w:firstLine="757"/>
        <w:spacing w:after="0" w:line="255" w:lineRule="auto"/>
        <w:tabs>
          <w:tab w:leader="none" w:pos="11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as reflected in the Accounting Restatement, computed without regard to any taxes paid.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w:t>
      </w:r>
    </w:p>
    <w:p>
      <w:pPr>
        <w:spacing w:after="0" w:line="182" w:lineRule="exact"/>
        <w:rPr>
          <w:rFonts w:ascii="Times New Roman" w:cs="Times New Roman" w:eastAsia="Times New Roman" w:hAnsi="Times New Roman"/>
          <w:sz w:val="18"/>
          <w:szCs w:val="18"/>
          <w:color w:val="auto"/>
        </w:rPr>
      </w:pPr>
    </w:p>
    <w:p>
      <w:pPr>
        <w:jc w:val="both"/>
        <w:ind w:firstLine="758"/>
        <w:spacing w:after="0" w:line="268" w:lineRule="auto"/>
        <w:tabs>
          <w:tab w:leader="none" w:pos="9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shall mean each individual who is or was designated as an “officer” of the Company in accordance with 17 C.F.R. 240.16a-1(f). Identification of an executive officer for purposes of this Policy would include, at a minimum, executive officers identified pursuant to 17 C.F.R. 229.401(b).</w:t>
      </w:r>
    </w:p>
    <w:p>
      <w:pPr>
        <w:spacing w:after="0" w:line="169" w:lineRule="exact"/>
        <w:rPr>
          <w:rFonts w:ascii="Times New Roman" w:cs="Times New Roman" w:eastAsia="Times New Roman" w:hAnsi="Times New Roman"/>
          <w:sz w:val="18"/>
          <w:szCs w:val="18"/>
          <w:color w:val="auto"/>
        </w:rPr>
      </w:pPr>
    </w:p>
    <w:p>
      <w:pPr>
        <w:jc w:val="both"/>
        <w:ind w:firstLine="758"/>
        <w:spacing w:after="0" w:line="259" w:lineRule="auto"/>
        <w:tabs>
          <w:tab w:leader="none" w:pos="100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(including “non-GAAP financial measures,” such as those appearing in earnings releases), and any measures that are derived wholly or in part from such measures. For the avoidance of doubt, a Financial Reporting Measure need not be presented within the Company’s financial statements or included in a filing with the SEC. Stock price and total shareholder return shall for purposes of this Policy also be considered Financial Reporting Measures.</w:t>
      </w:r>
    </w:p>
    <w:p>
      <w:pPr>
        <w:spacing w:after="0" w:line="177" w:lineRule="exact"/>
        <w:rPr>
          <w:rFonts w:ascii="Times New Roman" w:cs="Times New Roman" w:eastAsia="Times New Roman" w:hAnsi="Times New Roman"/>
          <w:sz w:val="18"/>
          <w:szCs w:val="18"/>
          <w:color w:val="auto"/>
        </w:rPr>
      </w:pPr>
    </w:p>
    <w:p>
      <w:pPr>
        <w:jc w:val="both"/>
        <w:ind w:firstLine="758"/>
        <w:spacing w:after="0" w:line="262" w:lineRule="auto"/>
        <w:tabs>
          <w:tab w:leader="none" w:pos="9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shall mean any compensation that is granted, earned or vested based wholly or in part upon the attainment of a Financial Reporting Measure. For the sake of clarity, examples of compensation that is not Incentive-Based Compensation include, but are not limited to: (i) base salaries; (ii) discretionary cash bonuses; (iii) awards (either of cash or equity) that are based solely upon subjective, strategic or operational metrics or measures; and (iv) equity awards that vest solely upon continued service or the passage of time (see explanatory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u w:val="single" w:color="auto"/>
          <w:color w:val="auto"/>
        </w:rPr>
        <w:t>Explanatory Note 2</w:t>
      </w:r>
      <w:r>
        <w:rPr>
          <w:rFonts w:ascii="Times New Roman" w:cs="Times New Roman" w:eastAsia="Times New Roman" w:hAnsi="Times New Roman"/>
          <w:sz w:val="16"/>
          <w:szCs w:val="16"/>
          <w:color w:val="auto"/>
        </w:rPr>
        <w:t>: The Dodd-Frank statutory language specifies that Incentive-Based Compensation to which recovery must apply under a compliant clawback policy “include[s] stock options awarded as compensation.” Importantly, stock options (and similar equity awards, such as restricted stock, RSUs and SARs) would be treated as Incentive-Based Compensation only if the granting, vesting or earning of the award is based, in whole or in part, on satisfying a Financial Reporting Measure (FRM) performance goal. Therefore, equity awards that are granted irrespective of attaining any FRM performance goal and vest solely on the basis of continued service or the passage of time would not be considered Incentive-Based Compensation. The strike price of an option, on its own, would not make an option Incentive-Based Compensation subject to the clawback policy (even though the option is only in-the-money when the Company’s stock price is above the strike price). In addition, any incentive awards that are granted, earned or vested solely on the basis of whether nonfinancial (e.g., strategic, operational or subjective) measures have been achieved would not be subject to the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88" w:lineRule="exact"/>
        <w:rPr>
          <w:sz w:val="20"/>
          <w:szCs w:val="20"/>
          <w:color w:val="auto"/>
        </w:rPr>
      </w:pPr>
    </w:p>
    <w:p>
      <w:pPr>
        <w:ind w:left="1120" w:hanging="362"/>
        <w:spacing w:after="0"/>
        <w:tabs>
          <w:tab w:leader="none" w:pos="11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Listing Standards</w:t>
      </w:r>
      <w:r>
        <w:rPr>
          <w:rFonts w:ascii="Times New Roman" w:cs="Times New Roman" w:eastAsia="Times New Roman" w:hAnsi="Times New Roman"/>
          <w:sz w:val="18"/>
          <w:szCs w:val="18"/>
          <w:color w:val="auto"/>
        </w:rPr>
        <w:t>” shall mean Nasdaq Listing Rule 5608.</w:t>
      </w:r>
    </w:p>
    <w:p>
      <w:pPr>
        <w:spacing w:after="0" w:line="224"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shall mean The Nasdaq Stock Market.</w:t>
      </w:r>
    </w:p>
    <w:p>
      <w:pPr>
        <w:spacing w:after="0" w:line="224" w:lineRule="exact"/>
        <w:rPr>
          <w:rFonts w:ascii="Times New Roman" w:cs="Times New Roman" w:eastAsia="Times New Roman" w:hAnsi="Times New Roman"/>
          <w:sz w:val="18"/>
          <w:szCs w:val="18"/>
          <w:color w:val="auto"/>
        </w:rPr>
      </w:pPr>
    </w:p>
    <w:p>
      <w:pPr>
        <w:ind w:firstLine="758"/>
        <w:spacing w:after="0" w:line="286" w:lineRule="auto"/>
        <w:tabs>
          <w:tab w:leader="none" w:pos="104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shall mean this Policy for the Recovery of Erroneously Awarded Compensation, as the same may be amended, restated, supplemented or otherwise modified from time to time.</w:t>
      </w:r>
    </w:p>
    <w:p>
      <w:pPr>
        <w:spacing w:after="0" w:line="153" w:lineRule="exact"/>
        <w:rPr>
          <w:rFonts w:ascii="Times New Roman" w:cs="Times New Roman" w:eastAsia="Times New Roman" w:hAnsi="Times New Roman"/>
          <w:sz w:val="18"/>
          <w:szCs w:val="18"/>
          <w:color w:val="auto"/>
        </w:rPr>
      </w:pPr>
    </w:p>
    <w:p>
      <w:pPr>
        <w:jc w:val="both"/>
        <w:ind w:firstLine="758"/>
        <w:spacing w:after="0" w:line="268" w:lineRule="auto"/>
        <w:tabs>
          <w:tab w:leader="none" w:pos="101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grant or payment of the Incentive-Based Compensation occurs after the end of that period.</w:t>
      </w:r>
    </w:p>
    <w:p>
      <w:pPr>
        <w:spacing w:after="0" w:line="169" w:lineRule="exact"/>
        <w:rPr>
          <w:rFonts w:ascii="Times New Roman" w:cs="Times New Roman" w:eastAsia="Times New Roman" w:hAnsi="Times New Roman"/>
          <w:sz w:val="18"/>
          <w:szCs w:val="18"/>
          <w:color w:val="auto"/>
        </w:rPr>
      </w:pPr>
    </w:p>
    <w:p>
      <w:pPr>
        <w:jc w:val="both"/>
        <w:ind w:firstLine="757"/>
        <w:spacing w:after="0" w:line="262" w:lineRule="auto"/>
        <w:tabs>
          <w:tab w:leader="none" w:pos="101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 Date</w:t>
      </w:r>
      <w:r>
        <w:rPr>
          <w:rFonts w:ascii="Times New Roman" w:cs="Times New Roman" w:eastAsia="Times New Roman" w:hAnsi="Times New Roman"/>
          <w:sz w:val="18"/>
          <w:szCs w:val="18"/>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spacing w:after="0" w:line="161" w:lineRule="exact"/>
        <w:rPr>
          <w:rFonts w:ascii="Times New Roman" w:cs="Times New Roman" w:eastAsia="Times New Roman" w:hAnsi="Times New Roman"/>
          <w:sz w:val="18"/>
          <w:szCs w:val="18"/>
          <w:color w:val="auto"/>
        </w:rPr>
      </w:pPr>
    </w:p>
    <w:p>
      <w:pPr>
        <w:ind w:left="980" w:hanging="222"/>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shall mean the U.S. Securities and Exchange Commission.</w:t>
      </w:r>
    </w:p>
    <w:p>
      <w:pPr>
        <w:spacing w:after="0" w:line="22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Required Recovery of Erroneously Awarded Compensation</w:t>
      </w:r>
      <w:r>
        <w:rPr>
          <w:rFonts w:ascii="Times New Roman" w:cs="Times New Roman" w:eastAsia="Times New Roman" w:hAnsi="Times New Roman"/>
          <w:sz w:val="18"/>
          <w:szCs w:val="18"/>
          <w:color w:val="auto"/>
        </w:rPr>
        <w:t>.</w:t>
      </w:r>
    </w:p>
    <w:p>
      <w:pPr>
        <w:spacing w:after="0" w:line="228" w:lineRule="exact"/>
        <w:rPr>
          <w:rFonts w:ascii="Times New Roman" w:cs="Times New Roman" w:eastAsia="Times New Roman" w:hAnsi="Times New Roman"/>
          <w:sz w:val="18"/>
          <w:szCs w:val="18"/>
          <w:color w:val="auto"/>
        </w:rPr>
      </w:pPr>
    </w:p>
    <w:p>
      <w:pPr>
        <w:jc w:val="both"/>
        <w:ind w:firstLine="758"/>
        <w:spacing w:after="0" w:line="260" w:lineRule="auto"/>
        <w:tabs>
          <w:tab w:leader="none" w:pos="100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is required to prepare an Accounting Restatement, the Committee shall determine the amount of any Erroneously Awarded Compensation for each Executive Officer in connection with such Accounting Restatement, shall thereafter provide each Executive Officer with a written notice containing the amount of Erroneously Awarded Compensation and a demand for repayment or return, as applicable, and shall take all other actions necessary and appropriate to recover such Erroneously Awarded Compensation from the applicable Executive Officers reasonably promptly.</w:t>
      </w:r>
    </w:p>
    <w:p>
      <w:pPr>
        <w:spacing w:after="0" w:line="181" w:lineRule="exact"/>
        <w:rPr>
          <w:rFonts w:ascii="Times New Roman" w:cs="Times New Roman" w:eastAsia="Times New Roman" w:hAnsi="Times New Roman"/>
          <w:sz w:val="18"/>
          <w:szCs w:val="18"/>
          <w:color w:val="auto"/>
        </w:rPr>
      </w:pPr>
    </w:p>
    <w:p>
      <w:pPr>
        <w:jc w:val="both"/>
        <w:ind w:firstLine="758"/>
        <w:spacing w:after="0" w:line="253" w:lineRule="auto"/>
        <w:tabs>
          <w:tab w:leader="none" w:pos="101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determine, in its sole discretion, the timing and method for recovering Erroneously Awarded Compensation reasonably promptly based on all applicable facts and circumstances and taking into account the time value of money and the cost to shareholders of delaying recovery. Such methods may include, without limitation, (i) seeking reimbursement of all or part of any cash or equity-based award, (ii) cancelling prior cash or equity-based awards, whether vested or unvested or paid or unpaid, (iii) cancelling or offsetting against any planned future cash or equity-based awards, (iv) forfeiture of deferred compensation, subject to compliance with Section 409A of the Internal Revenue Code and the regulations promulgated thereunder, and (v) any other method authorized by applicable law or contract. Subject to compliance with any applicable law, the Committee may effect recovery under this Policy (i) from any amount otherwise payable to the Executive Officer, including amounts payable to such individual under any otherwise applicable Company plan or program, including base salary, bonuses or commissions, and compensation previously deferred by the Executive Officer, and (ii) from any amount of compensation approved, awarded, granted, payable or paid to the Executive Officer prior to, on or after the effective date of the Listing Standards. For the avoidance of doubt, except as set forth in Section 4(d) below, in no event may the Company Group accept an amount that is less than the amount of Erroneously Awarded Compensation in satisfaction of an Executive Officer’s obligations hereunder.</w:t>
      </w:r>
    </w:p>
    <w:p>
      <w:pPr>
        <w:spacing w:after="0" w:line="188" w:lineRule="exact"/>
        <w:rPr>
          <w:rFonts w:ascii="Times New Roman" w:cs="Times New Roman" w:eastAsia="Times New Roman" w:hAnsi="Times New Roman"/>
          <w:sz w:val="18"/>
          <w:szCs w:val="18"/>
          <w:color w:val="auto"/>
        </w:rPr>
      </w:pPr>
    </w:p>
    <w:p>
      <w:pPr>
        <w:jc w:val="both"/>
        <w:ind w:firstLine="758"/>
        <w:spacing w:after="0" w:line="265" w:lineRule="auto"/>
        <w:tabs>
          <w:tab w:leader="none" w:pos="99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Executive Officer fails to repay all Erroneously Awarded Compensation to the Company Group when due, the Company shall, or shall cause one or more other members of the Company Group to, take all actions reasonable and appropriate to recover such Erroneously Awarded Compensation from the applicable Executive Officer (see explanatory note 3).</w:t>
      </w:r>
    </w:p>
    <w:p>
      <w:pPr>
        <w:spacing w:after="0" w:line="1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u w:val="single" w:color="auto"/>
          <w:color w:val="auto"/>
        </w:rPr>
        <w:t>Explanatory Note 3</w:t>
      </w:r>
      <w:r>
        <w:rPr>
          <w:rFonts w:ascii="Times New Roman" w:cs="Times New Roman" w:eastAsia="Times New Roman" w:hAnsi="Times New Roman"/>
          <w:sz w:val="16"/>
          <w:szCs w:val="16"/>
          <w:color w:val="auto"/>
        </w:rPr>
        <w:t>: Unpaid amounts will be subject to public disclosure in the Company’s proxy statement, including (i) the aggregate dollar amount of Erroneously Awarded Compensation that remains outstanding at the end of the last completed fiscal year and (ii) for each current and former Named Executive Officer, the dollar amount of outstanding Erroneously Awarded Compensation still owed that had been outstanding for 180 days or longer since the date the Company determined the amount the officer 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92" w:lineRule="exact"/>
        <w:rPr>
          <w:sz w:val="20"/>
          <w:szCs w:val="20"/>
          <w:color w:val="auto"/>
        </w:rPr>
      </w:pPr>
    </w:p>
    <w:p>
      <w:pPr>
        <w:ind w:firstLine="750"/>
        <w:spacing w:after="0" w:line="281" w:lineRule="auto"/>
        <w:rPr>
          <w:sz w:val="20"/>
          <w:szCs w:val="20"/>
          <w:color w:val="auto"/>
        </w:rPr>
      </w:pPr>
      <w:r>
        <w:rPr>
          <w:rFonts w:ascii="Times New Roman" w:cs="Times New Roman" w:eastAsia="Times New Roman" w:hAnsi="Times New Roman"/>
          <w:sz w:val="18"/>
          <w:szCs w:val="18"/>
          <w:color w:val="auto"/>
        </w:rPr>
        <w:t>The applicable Executive Officer shall be required to reimburse the Company Group for any and all expenses reasonably incurred (including legal fees) by the Company Group in recovering such Erroneously Awarded Compensation in accordance with the immediately preceding sentence.</w:t>
      </w:r>
    </w:p>
    <w:p>
      <w:pPr>
        <w:spacing w:after="0" w:line="163" w:lineRule="exact"/>
        <w:rPr>
          <w:sz w:val="20"/>
          <w:szCs w:val="20"/>
          <w:color w:val="auto"/>
        </w:rPr>
      </w:pPr>
    </w:p>
    <w:p>
      <w:pPr>
        <w:ind w:firstLine="758"/>
        <w:spacing w:after="0" w:line="281" w:lineRule="auto"/>
        <w:tabs>
          <w:tab w:leader="none" w:pos="100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not be required to recover Erroneously Awarded Compensation from any Executive Officer if the following conditions are met and the Committee determines that recovery would be impracticable:</w:t>
      </w:r>
    </w:p>
    <w:p>
      <w:pPr>
        <w:spacing w:after="0" w:line="162" w:lineRule="exact"/>
        <w:rPr>
          <w:rFonts w:ascii="Times New Roman" w:cs="Times New Roman" w:eastAsia="Times New Roman" w:hAnsi="Times New Roman"/>
          <w:sz w:val="18"/>
          <w:szCs w:val="18"/>
          <w:color w:val="auto"/>
        </w:rPr>
      </w:pPr>
    </w:p>
    <w:p>
      <w:pPr>
        <w:jc w:val="both"/>
        <w:ind w:left="760" w:right="20" w:firstLine="745"/>
        <w:spacing w:after="0" w:line="265" w:lineRule="auto"/>
        <w:tabs>
          <w:tab w:leader="none" w:pos="172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expenses paid to a third party to assist in enforcing this Policy against an Executive Officer would exceed the amount to be recovered, after the Company has made a reasonable attempt to recover the applicable Erroneously Awarded Compensation, documented such attempt(s) and provided such documentation to Nasdaq;</w:t>
      </w:r>
    </w:p>
    <w:p>
      <w:pPr>
        <w:spacing w:after="0" w:line="177" w:lineRule="exact"/>
        <w:rPr>
          <w:rFonts w:ascii="Times New Roman" w:cs="Times New Roman" w:eastAsia="Times New Roman" w:hAnsi="Times New Roman"/>
          <w:sz w:val="18"/>
          <w:szCs w:val="18"/>
          <w:color w:val="auto"/>
        </w:rPr>
      </w:pPr>
    </w:p>
    <w:p>
      <w:pPr>
        <w:ind w:left="760" w:right="220" w:firstLine="745"/>
        <w:spacing w:after="0" w:line="265" w:lineRule="auto"/>
        <w:tabs>
          <w:tab w:leader="none" w:pos="1773"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of the Company where that law was adopted prior to November 28, 2022, after the Company has obtained an opinion of home country counsel, acceptable to Nasdaq, that recovery would result in such a violation and a copy of the opinion is provided to Nasdaq; or</w:t>
      </w:r>
    </w:p>
    <w:p>
      <w:pPr>
        <w:spacing w:after="0" w:line="177" w:lineRule="exact"/>
        <w:rPr>
          <w:rFonts w:ascii="Times New Roman" w:cs="Times New Roman" w:eastAsia="Times New Roman" w:hAnsi="Times New Roman"/>
          <w:sz w:val="18"/>
          <w:szCs w:val="18"/>
          <w:color w:val="auto"/>
        </w:rPr>
      </w:pPr>
    </w:p>
    <w:p>
      <w:pPr>
        <w:ind w:left="760" w:right="20" w:firstLine="745"/>
        <w:spacing w:after="0" w:line="281" w:lineRule="auto"/>
        <w:tabs>
          <w:tab w:leader="none" w:pos="183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158" w:lineRule="exact"/>
        <w:rPr>
          <w:rFonts w:ascii="Times New Roman" w:cs="Times New Roman" w:eastAsia="Times New Roman" w:hAnsi="Times New Roman"/>
          <w:sz w:val="18"/>
          <w:szCs w:val="18"/>
          <w:color w:val="auto"/>
        </w:rPr>
      </w:pPr>
    </w:p>
    <w:p>
      <w:pPr>
        <w:jc w:val="both"/>
        <w:ind w:right="20" w:firstLine="8"/>
        <w:spacing w:after="0" w:line="268" w:lineRule="auto"/>
        <w:tabs>
          <w:tab w:leader="none" w:pos="38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Reporting and Disclosure</w:t>
      </w:r>
      <w:r>
        <w:rPr>
          <w:rFonts w:ascii="Times New Roman" w:cs="Times New Roman" w:eastAsia="Times New Roman" w:hAnsi="Times New Roman"/>
          <w:sz w:val="18"/>
          <w:szCs w:val="18"/>
          <w:color w:val="auto"/>
        </w:rPr>
        <w:t>. The Company shall file all disclosures with respect to this Policy in accordance with the requirements of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federal securities laws, including the disclosure required by the applicable SEC filings. The Company shall also file a copy of this Policy and any amendments thereto as an exhibit to its annual report on Form 10-K.</w:t>
      </w:r>
    </w:p>
    <w:p>
      <w:pPr>
        <w:spacing w:after="0" w:line="169" w:lineRule="exact"/>
        <w:rPr>
          <w:rFonts w:ascii="Times New Roman" w:cs="Times New Roman" w:eastAsia="Times New Roman" w:hAnsi="Times New Roman"/>
          <w:sz w:val="18"/>
          <w:szCs w:val="18"/>
          <w:color w:val="auto"/>
        </w:rPr>
      </w:pPr>
    </w:p>
    <w:p>
      <w:pPr>
        <w:jc w:val="both"/>
        <w:ind w:firstLine="8"/>
        <w:spacing w:after="0" w:line="256" w:lineRule="auto"/>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Indemnification of Executive Officers</w:t>
      </w:r>
      <w:r>
        <w:rPr>
          <w:rFonts w:ascii="Times New Roman" w:cs="Times New Roman" w:eastAsia="Times New Roman" w:hAnsi="Times New Roman"/>
          <w:sz w:val="18"/>
          <w:szCs w:val="18"/>
          <w:color w:val="auto"/>
        </w:rPr>
        <w:t>. Notwithstanding the terms of any indemnification or insurance policy or any contractual arrangement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Executive Officer that may be interpreted to the contrary, no member of the Company Group shall be permitted to indemnify any Executive Officer against, or pay or reimburse the premiums for an insurance policy to cover, (i) the 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spacing w:after="0" w:line="166" w:lineRule="exact"/>
        <w:rPr>
          <w:rFonts w:ascii="Times New Roman" w:cs="Times New Roman" w:eastAsia="Times New Roman" w:hAnsi="Times New Roman"/>
          <w:sz w:val="18"/>
          <w:szCs w:val="18"/>
          <w:color w:val="auto"/>
        </w:rPr>
      </w:pPr>
    </w:p>
    <w:p>
      <w:pPr>
        <w:jc w:val="both"/>
        <w:ind w:firstLine="8"/>
        <w:spacing w:after="0" w:line="262" w:lineRule="auto"/>
        <w:tabs>
          <w:tab w:leader="none" w:pos="3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Committee Indemnification</w:t>
      </w:r>
      <w:r>
        <w:rPr>
          <w:rFonts w:ascii="Times New Roman" w:cs="Times New Roman" w:eastAsia="Times New Roman" w:hAnsi="Times New Roman"/>
          <w:sz w:val="18"/>
          <w:szCs w:val="18"/>
          <w:color w:val="auto"/>
        </w:rPr>
        <w:t>. Any members of the Committee, and any other members of the Board who assist in the administration of this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7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Policy shall be effective as of the Effective Date.</w:t>
      </w:r>
    </w:p>
    <w:p>
      <w:pPr>
        <w:spacing w:after="0" w:line="224" w:lineRule="exact"/>
        <w:rPr>
          <w:rFonts w:ascii="Times New Roman" w:cs="Times New Roman" w:eastAsia="Times New Roman" w:hAnsi="Times New Roman"/>
          <w:sz w:val="18"/>
          <w:szCs w:val="18"/>
          <w:color w:val="auto"/>
        </w:rPr>
      </w:pPr>
    </w:p>
    <w:p>
      <w:pPr>
        <w:jc w:val="both"/>
        <w:ind w:firstLine="8"/>
        <w:spacing w:after="0" w:line="256" w:lineRule="auto"/>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Termination</w:t>
      </w:r>
      <w:r>
        <w:rPr>
          <w:rFonts w:ascii="Times New Roman" w:cs="Times New Roman" w:eastAsia="Times New Roman" w:hAnsi="Times New Roman"/>
          <w:sz w:val="18"/>
          <w:szCs w:val="18"/>
          <w:color w:val="auto"/>
        </w:rPr>
        <w:t>. The Committee may amend, modify, supplement, rescind or replace all or any portion of this Policy at any time and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in its discretion and shall amend this Policy as it 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spacing w:after="0" w:line="18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Recoupment Rights; Company Claims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92" w:lineRule="exact"/>
        <w:rPr>
          <w:sz w:val="20"/>
          <w:szCs w:val="20"/>
          <w:color w:val="auto"/>
        </w:rPr>
      </w:pPr>
    </w:p>
    <w:p>
      <w:pPr>
        <w:jc w:val="both"/>
        <w:ind w:left="-8" w:firstLine="757"/>
        <w:spacing w:after="0" w:line="253" w:lineRule="auto"/>
        <w:tabs>
          <w:tab w:leader="none" w:pos="110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intends that this Policy will be applied to the fullest extent of the law and with respect to all Incentive-Based Compensation granted to an Executive Officer, whether pursuant to a pre-existing contract or arrangement, or one that is entered into after the Effective Date.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 Notwithstanding the foregoing, </w:t>
      </w:r>
      <w:r>
        <w:rPr>
          <w:rFonts w:ascii="Times New Roman" w:cs="Times New Roman" w:eastAsia="Times New Roman" w:hAnsi="Times New Roman"/>
          <w:sz w:val="16"/>
          <w:szCs w:val="16"/>
          <w:color w:val="auto"/>
        </w:rPr>
        <w:t>circumstances in which both this Policy and SOX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Section 304 clawback provisions could provide for recovery of the same Incentive-Based Compensation, if an Executive Officer reimburses the Company pursuant to SOX, the amount recoverable under this Policy shall be deducted by the amount of the reimbursement.</w:t>
      </w:r>
    </w:p>
    <w:p>
      <w:pPr>
        <w:spacing w:after="0" w:line="195" w:lineRule="exact"/>
        <w:rPr>
          <w:rFonts w:ascii="Times New Roman" w:cs="Times New Roman" w:eastAsia="Times New Roman" w:hAnsi="Times New Roman"/>
          <w:sz w:val="18"/>
          <w:szCs w:val="18"/>
          <w:color w:val="auto"/>
        </w:rPr>
      </w:pPr>
    </w:p>
    <w:p>
      <w:pPr>
        <w:jc w:val="both"/>
        <w:ind w:left="-8" w:firstLine="367"/>
        <w:spacing w:after="0" w:line="265" w:lineRule="auto"/>
        <w:tabs>
          <w:tab w:leader="none" w:pos="71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spacing w:after="0" w:line="173" w:lineRule="exact"/>
        <w:rPr>
          <w:rFonts w:ascii="Times New Roman" w:cs="Times New Roman" w:eastAsia="Times New Roman" w:hAnsi="Times New Roman"/>
          <w:sz w:val="18"/>
          <w:szCs w:val="18"/>
          <w:color w:val="auto"/>
        </w:rPr>
      </w:pPr>
    </w:p>
    <w:p>
      <w:pPr>
        <w:ind w:left="-8" w:right="20" w:firstLine="8"/>
        <w:spacing w:after="0" w:line="286" w:lineRule="auto"/>
        <w:tabs>
          <w:tab w:leader="none" w:pos="2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Policy shall be binding and enforceable against all Executive Officers and their beneficiaries, heirs, executors, administrators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representatives.</w:t>
      </w:r>
    </w:p>
    <w:p>
      <w:pPr>
        <w:spacing w:after="0" w:line="157" w:lineRule="exact"/>
        <w:rPr>
          <w:rFonts w:ascii="Times New Roman" w:cs="Times New Roman" w:eastAsia="Times New Roman" w:hAnsi="Times New Roman"/>
          <w:sz w:val="18"/>
          <w:szCs w:val="18"/>
          <w:color w:val="auto"/>
        </w:rPr>
      </w:pPr>
    </w:p>
    <w:p>
      <w:pPr>
        <w:ind w:left="4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1031875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75" w:name="page176"/>
    <w:bookmarkEnd w:id="175"/>
    <w:p>
      <w:pPr>
        <w:ind w:left="436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FLYWIRE CORPORATION POLICY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0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ACKNOWLEDGMENT FORM</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By signing below, the undersigned acknowledges and confirms that the undersigned has received and reviewed a copy of the Flywire Corporation Policy for the Recovery of Erroneously Awarded Compensation (as may be amended, restated, supplemented or otherwise modified from time to time,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Capitalized terms used but not otherwise defined in this Acknowledgment Form (this “</w:t>
      </w:r>
      <w:r>
        <w:rPr>
          <w:rFonts w:ascii="Times New Roman" w:cs="Times New Roman" w:eastAsia="Times New Roman" w:hAnsi="Times New Roman"/>
          <w:sz w:val="18"/>
          <w:szCs w:val="18"/>
          <w:b w:val="1"/>
          <w:bCs w:val="1"/>
          <w:i w:val="1"/>
          <w:iCs w:val="1"/>
          <w:color w:val="auto"/>
        </w:rPr>
        <w:t>Acknowledgment Form</w:t>
      </w:r>
      <w:r>
        <w:rPr>
          <w:rFonts w:ascii="Times New Roman" w:cs="Times New Roman" w:eastAsia="Times New Roman" w:hAnsi="Times New Roman"/>
          <w:sz w:val="18"/>
          <w:szCs w:val="18"/>
          <w:color w:val="auto"/>
        </w:rPr>
        <w:t>”) shall have the meanings ascribed to such terms in the Policy.</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signing this Acknowledgment Form,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 including, without limitation, by promptly returning any Erroneously Awarded Compensation (as defined in the Policy) to the Company Group to the extent required by, and in a manner permitted by, the Policy. In the event of any inconsistency between the Policy and the terms of any employment or indemnification agreement to which the undersigned is a party, or the terms of any compensation plan, program or agreement under which any compensation has been granted, awarded, earned or paid, the terms of the Policy shall govern.</w:t>
      </w:r>
    </w:p>
    <w:p>
      <w:pPr>
        <w:spacing w:after="0" w:line="200" w:lineRule="exact"/>
        <w:rPr>
          <w:sz w:val="20"/>
          <w:szCs w:val="20"/>
          <w:color w:val="auto"/>
        </w:rPr>
      </w:pPr>
    </w:p>
    <w:p>
      <w:pPr>
        <w:spacing w:after="0" w:line="3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________________________________ Signature</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Print Name</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1294130</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76" w:name="page177"/>
    <w:bookmarkEnd w:id="1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1)"/>
      <w:numFmt w:val="decimal"/>
    </w:lvl>
    <w:lvl w:ilvl="1">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o"/>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decimal"/>
      <w:start w:val="404"/>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lowerRoman"/>
      <w:start w:val="2"/>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1)"/>
      <w:numFmt w:val="decimal"/>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1)"/>
      <w:numFmt w:val="lowerRoman"/>
      <w:start w:val="1"/>
    </w:lvl>
  </w:abstractNum>
  <w:abstractNum w:abstractNumId="52">
    <w:nsid w:val="2F305DEF"/>
    <w:multiLevelType w:val="hybridMultilevel"/>
    <w:lvl w:ilvl="0">
      <w:lvlJc w:val="left"/>
      <w:lvlText w:val="(%1)"/>
      <w:numFmt w:val="lowerRoman"/>
      <w:start w:val="1"/>
    </w:lvl>
  </w:abstractNum>
  <w:abstractNum w:abstractNumId="53">
    <w:nsid w:val="25A70BF7"/>
    <w:multiLevelType w:val="hybridMultilevel"/>
    <w:lvl w:ilvl="0">
      <w:lvlJc w:val="left"/>
      <w:lvlText w:val="%1."/>
      <w:numFmt w:val="decimal"/>
      <w:start w:val="606"/>
    </w:lvl>
  </w:abstractNum>
  <w:abstractNum w:abstractNumId="54">
    <w:nsid w:val="1DBABF00"/>
    <w:multiLevelType w:val="hybridMultilevel"/>
    <w:lvl w:ilvl="0">
      <w:lvlJc w:val="left"/>
      <w:lvlText w:val="(%1)"/>
      <w:numFmt w:val="lowerRoman"/>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
      <w:numFmt w:val="bullet"/>
      <w:start w:val="1"/>
    </w:lvl>
    <w:lvl w:ilvl="1">
      <w:lvlJc w:val="left"/>
      <w:lvlText w:val="%2"/>
      <w:numFmt w:val="decimal"/>
      <w:start w:val="104"/>
    </w:lvl>
  </w:abstractNum>
  <w:abstractNum w:abstractNumId="62">
    <w:nsid w:val="5F5E7FD0"/>
    <w:multiLevelType w:val="hybridMultilevel"/>
    <w:lvl w:ilvl="0">
      <w:lvlJc w:val="left"/>
      <w:lvlText w:val="%1."/>
      <w:numFmt w:val="decimal"/>
      <w:start w:val="1"/>
    </w:lvl>
  </w:abstractNum>
  <w:abstractNum w:abstractNumId="63">
    <w:nsid w:val="98A3148"/>
    <w:multiLevelType w:val="hybridMultilevel"/>
    <w:lvl w:ilvl="0">
      <w:lvlJc w:val="left"/>
      <w:lvlText w:val="%1."/>
      <w:numFmt w:val="decimal"/>
      <w:start w:val="3"/>
    </w:lvl>
  </w:abstractNum>
  <w:abstractNum w:abstractNumId="64">
    <w:nsid w:val="799D0247"/>
    <w:multiLevelType w:val="hybridMultilevel"/>
    <w:lvl w:ilvl="0">
      <w:lvlJc w:val="left"/>
      <w:lvlText w:val="%1."/>
      <w:numFmt w:val="decimal"/>
      <w:start w:val="1"/>
    </w:lvl>
    <w:lvl w:ilvl="1">
      <w:lvlJc w:val="left"/>
      <w:lvlText w:val="(%2)"/>
      <w:numFmt w:val="lowerLetter"/>
      <w:start w:val="1"/>
    </w:lvl>
  </w:abstractNum>
  <w:abstractNum w:abstractNumId="65">
    <w:nsid w:val="6B94764"/>
    <w:multiLevelType w:val="hybridMultilevel"/>
    <w:lvl w:ilvl="0">
      <w:lvlJc w:val="left"/>
      <w:lvlText w:val="%1."/>
      <w:numFmt w:val="decimal"/>
      <w:start w:val="1"/>
    </w:lvl>
    <w:lvl w:ilvl="1">
      <w:lvlJc w:val="left"/>
      <w:lvlText w:val="(%2)"/>
      <w:numFmt w:val="lowerLetter"/>
      <w:start w:val="1"/>
    </w:lvl>
  </w:abstractNum>
  <w:abstractNum w:abstractNumId="66">
    <w:nsid w:val="42C296BD"/>
    <w:multiLevelType w:val="hybridMultilevel"/>
    <w:lvl w:ilvl="0">
      <w:lvlJc w:val="left"/>
      <w:lvlText w:val="(%1)"/>
      <w:numFmt w:val="decimal"/>
      <w:start w:val="1"/>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decimal"/>
      <w:start w:val="1"/>
    </w:lvl>
    <w:lvl w:ilvl="1">
      <w:lvlJc w:val="left"/>
      <w:lvlText w:val="(%2)"/>
      <w:numFmt w:val="lowerLetter"/>
      <w:start w:val="1"/>
    </w:lvl>
  </w:abstractNum>
  <w:abstractNum w:abstractNumId="69">
    <w:nsid w:val="661E3F1E"/>
    <w:multiLevelType w:val="hybridMultilevel"/>
    <w:lvl w:ilvl="0">
      <w:lvlJc w:val="left"/>
      <w:lvlText w:val="(%1)"/>
      <w:numFmt w:val="lowerLetter"/>
      <w:start w:val="4"/>
    </w:lvl>
  </w:abstractNum>
  <w:abstractNum w:abstractNumId="70">
    <w:nsid w:val="5DC79EA8"/>
    <w:multiLevelType w:val="hybridMultilevel"/>
    <w:lvl w:ilvl="0">
      <w:lvlJc w:val="left"/>
      <w:lvlText w:val="%1"/>
      <w:numFmt w:val="decimal"/>
      <w:start w:val="1"/>
    </w:lvl>
    <w:lvl w:ilvl="1">
      <w:lvlJc w:val="left"/>
      <w:lvlText w:val="(%2)"/>
      <w:numFmt w:val="lowerLetter"/>
      <w:start w:val="13"/>
    </w:lvl>
  </w:abstractNum>
  <w:abstractNum w:abstractNumId="71">
    <w:nsid w:val="540A471C"/>
    <w:multiLevelType w:val="hybridMultilevel"/>
    <w:lvl w:ilvl="0">
      <w:lvlJc w:val="left"/>
      <w:lvlText w:val="%1."/>
      <w:numFmt w:val="decimal"/>
      <w:start w:val="4"/>
    </w:lvl>
    <w:lvl w:ilvl="1">
      <w:lvlJc w:val="left"/>
      <w:lvlText w:val="(%2)"/>
      <w:numFmt w:val="lowerLetter"/>
      <w:start w:val="1"/>
    </w:lvl>
  </w:abstractNum>
  <w:abstractNum w:abstractNumId="72">
    <w:nsid w:val="7BD3EE7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3">
    <w:nsid w:val="51D9C56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75">
    <w:nsid w:val="BF72B1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
      <w:numFmt w:val="bullet"/>
      <w:start w:val="1"/>
    </w:lvl>
  </w:abstractNum>
  <w:abstractNum w:abstractNumId="76">
    <w:nsid w:val="11447B73"/>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83" Type="http://schemas.openxmlformats.org/officeDocument/2006/relationships/image" Target="media/image666.png"/><Relationship Id="rId684" Type="http://schemas.openxmlformats.org/officeDocument/2006/relationships/image" Target="media/image667.png"/><Relationship Id="rId685" Type="http://schemas.openxmlformats.org/officeDocument/2006/relationships/image" Target="media/image668.png"/><Relationship Id="rId698" Type="http://schemas.openxmlformats.org/officeDocument/2006/relationships/image" Target="media/image669.png"/><Relationship Id="rId699" Type="http://schemas.openxmlformats.org/officeDocument/2006/relationships/image" Target="media/image670.png"/><Relationship Id="rId700" Type="http://schemas.openxmlformats.org/officeDocument/2006/relationships/image" Target="media/image671.png"/><Relationship Id="rId701" Type="http://schemas.openxmlformats.org/officeDocument/2006/relationships/image" Target="media/image672.png"/><Relationship Id="rId702" Type="http://schemas.openxmlformats.org/officeDocument/2006/relationships/image" Target="media/image673.png"/><Relationship Id="rId703" Type="http://schemas.openxmlformats.org/officeDocument/2006/relationships/image" Target="media/image674.png"/><Relationship Id="rId704" Type="http://schemas.openxmlformats.org/officeDocument/2006/relationships/image" Target="media/image675.png"/><Relationship Id="rId705" Type="http://schemas.openxmlformats.org/officeDocument/2006/relationships/image" Target="media/image676.png"/><Relationship Id="rId706" Type="http://schemas.openxmlformats.org/officeDocument/2006/relationships/image" Target="media/image677.png"/><Relationship Id="rId707" Type="http://schemas.openxmlformats.org/officeDocument/2006/relationships/image" Target="media/image678.png"/><Relationship Id="rId708" Type="http://schemas.openxmlformats.org/officeDocument/2006/relationships/image" Target="media/image679.png"/><Relationship Id="rId709" Type="http://schemas.openxmlformats.org/officeDocument/2006/relationships/image" Target="media/image680.png"/><Relationship Id="rId710" Type="http://schemas.openxmlformats.org/officeDocument/2006/relationships/image" Target="media/image681.png"/><Relationship Id="rId711" Type="http://schemas.openxmlformats.org/officeDocument/2006/relationships/image" Target="media/image682.png"/><Relationship Id="rId712" Type="http://schemas.openxmlformats.org/officeDocument/2006/relationships/image" Target="media/image683.png"/><Relationship Id="rId713" Type="http://schemas.openxmlformats.org/officeDocument/2006/relationships/image" Target="media/image684.png"/><Relationship Id="rId714" Type="http://schemas.openxmlformats.org/officeDocument/2006/relationships/image" Target="media/image685.png"/><Relationship Id="rId715" Type="http://schemas.openxmlformats.org/officeDocument/2006/relationships/image" Target="media/image686.png"/><Relationship Id="rId716" Type="http://schemas.openxmlformats.org/officeDocument/2006/relationships/image" Target="media/image687.png"/><Relationship Id="rId717" Type="http://schemas.openxmlformats.org/officeDocument/2006/relationships/image" Target="media/image688.png"/><Relationship Id="rId718" Type="http://schemas.openxmlformats.org/officeDocument/2006/relationships/image" Target="media/image689.png"/><Relationship Id="rId719" Type="http://schemas.openxmlformats.org/officeDocument/2006/relationships/image" Target="media/image690.png"/><Relationship Id="rId720" Type="http://schemas.openxmlformats.org/officeDocument/2006/relationships/image" Target="media/image691.png"/><Relationship Id="rId721" Type="http://schemas.openxmlformats.org/officeDocument/2006/relationships/image" Target="media/image692.png"/><Relationship Id="rId722" Type="http://schemas.openxmlformats.org/officeDocument/2006/relationships/image" Target="media/image693.png"/><Relationship Id="rId723" Type="http://schemas.openxmlformats.org/officeDocument/2006/relationships/image" Target="media/image694.png"/><Relationship Id="rId724" Type="http://schemas.openxmlformats.org/officeDocument/2006/relationships/image" Target="media/image695.png"/><Relationship Id="rId725" Type="http://schemas.openxmlformats.org/officeDocument/2006/relationships/image" Target="media/image696.png"/><Relationship Id="rId726" Type="http://schemas.openxmlformats.org/officeDocument/2006/relationships/image" Target="media/image697.png"/><Relationship Id="rId727" Type="http://schemas.openxmlformats.org/officeDocument/2006/relationships/image" Target="media/image698.png"/><Relationship Id="rId728" Type="http://schemas.openxmlformats.org/officeDocument/2006/relationships/image" Target="media/image699.png"/><Relationship Id="rId729" Type="http://schemas.openxmlformats.org/officeDocument/2006/relationships/image" Target="media/image700.png"/><Relationship Id="rId730" Type="http://schemas.openxmlformats.org/officeDocument/2006/relationships/image" Target="media/image701.png"/><Relationship Id="rId673" Type="http://schemas.openxmlformats.org/officeDocument/2006/relationships/hyperlink" Target="https://www.sec.gov/Archives/edgar/data/1580560/000119312521178711/d109060dex31.htm" TargetMode="External"/><Relationship Id="rId674" Type="http://schemas.openxmlformats.org/officeDocument/2006/relationships/hyperlink" Target="https://www.sec.gov/Archives/edgar/data/1580560/000119312521178711/d109060dex32.htm" TargetMode="External"/><Relationship Id="rId675" Type="http://schemas.openxmlformats.org/officeDocument/2006/relationships/hyperlink" Target="https://www.sec.gov/Archives/edgar/data/1580560/000095017022004937/flyw-ex4_1.htm" TargetMode="External"/><Relationship Id="rId676" Type="http://schemas.openxmlformats.org/officeDocument/2006/relationships/hyperlink" Target="https://www.sec.gov/Archives/edgar/data/1580560/000119312521146481/d469729dex42.htm" TargetMode="External"/><Relationship Id="rId677" Type="http://schemas.openxmlformats.org/officeDocument/2006/relationships/hyperlink" Target="https://www.sec.gov/Archives/edgar/data/0001580560/000119312521164506/d469729dex101.htm" TargetMode="External"/><Relationship Id="rId678" Type="http://schemas.openxmlformats.org/officeDocument/2006/relationships/hyperlink" Target="https://www.sec.gov/Archives/edgar/data/1580560/000095017022004937/flyw-ex10_2.htm" TargetMode="External"/><Relationship Id="rId679" Type="http://schemas.openxmlformats.org/officeDocument/2006/relationships/hyperlink" Target="https://www.sec.gov/Archives/edgar/data/0001580560/000119312521164506/d469729dex103.htm" TargetMode="External"/><Relationship Id="rId680" Type="http://schemas.openxmlformats.org/officeDocument/2006/relationships/hyperlink" Target="https://www.sec.gov/Archives/edgar/data/1580560/000095017023007149/flyw-ex10_4.htm" TargetMode="External"/><Relationship Id="rId681" Type="http://schemas.openxmlformats.org/officeDocument/2006/relationships/hyperlink" Target="https://www.sec.gov/Archives/edgar/data/1580560/000119312521146481/d469729dex105.htm" TargetMode="External"/><Relationship Id="rId682" Type="http://schemas.openxmlformats.org/officeDocument/2006/relationships/hyperlink" Target="https://www.sec.gov/Archives/edgar/data/0001580560/000119312521164506/d469729dex106.htm" TargetMode="External"/><Relationship Id="rId686" Type="http://schemas.openxmlformats.org/officeDocument/2006/relationships/hyperlink" Target="https://www.sec.gov/Archives/edgar/data/0001580560/000119312521164506/d469729dex107.htm" TargetMode="External"/><Relationship Id="rId687" Type="http://schemas.openxmlformats.org/officeDocument/2006/relationships/hyperlink" Target="https://www.sec.gov/Archives/edgar/data/0001580560/000119312521164506/d469729dex108.htm" TargetMode="External"/><Relationship Id="rId688" Type="http://schemas.openxmlformats.org/officeDocument/2006/relationships/hyperlink" Target="https://www.sec.gov/Archives/edgar/data/0001580560/000119312521164506/d469729dex109.htm" TargetMode="External"/><Relationship Id="rId689" Type="http://schemas.openxmlformats.org/officeDocument/2006/relationships/hyperlink" Target="https://www.sec.gov/Archives/edgar/data/0001580560/000119312521164506/d469729dex1010.htm" TargetMode="External"/><Relationship Id="rId690" Type="http://schemas.openxmlformats.org/officeDocument/2006/relationships/hyperlink" Target="https://www.sec.gov/Archives/edgar/data/0001580560/000119312521164506/d469729dex1011.htm" TargetMode="External"/><Relationship Id="rId691" Type="http://schemas.openxmlformats.org/officeDocument/2006/relationships/hyperlink" Target="https://www.sec.gov/Archives/edgar/data/0001580560/000119312521164506/d469729dex1012.htm" TargetMode="External"/><Relationship Id="rId692" Type="http://schemas.openxmlformats.org/officeDocument/2006/relationships/hyperlink" Target="https://www.sec.gov/Archives/edgar/data/0001580560/000119312521164506/d469729dex1013.htm" TargetMode="External"/><Relationship Id="rId693" Type="http://schemas.openxmlformats.org/officeDocument/2006/relationships/hyperlink" Target="https://www.sec.gov/Archives/edgar/data/1580560/000095017023039957/flyw-ex10_14.htm" TargetMode="External"/><Relationship Id="rId694" Type="http://schemas.openxmlformats.org/officeDocument/2006/relationships/hyperlink" Target="https://www.sec.gov/Archives/edgar/data/1580560/000095017023039957/flyw-ex10_1.htm" TargetMode="External"/><Relationship Id="rId695" Type="http://schemas.openxmlformats.org/officeDocument/2006/relationships/hyperlink" Target="https://www.sec.gov/Archives/edgar/data/1580560/000119312521236325/d209980dex102.htm" TargetMode="External"/><Relationship Id="rId696" Type="http://schemas.openxmlformats.org/officeDocument/2006/relationships/hyperlink" Target="https://www.sec.gov/Archives/edgar/data/1580560/000095017023007149/flyw-ex10_17.htm" TargetMode="External"/><Relationship Id="rId697" Type="http://schemas.openxmlformats.org/officeDocument/2006/relationships/hyperlink" Target="https://www.sec.gov/Archives/edgar/data/1580560/000095017023060405/flyw-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2024-02-28T09:29:02Z</dcterms:created>
  <dcterms:modified xsi:type="dcterms:W3CDTF">2024-02-28T09:29:02Z</dcterms:modified>
</cp:coreProperties>
</file>