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Finkelstein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11/13/2023</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926"/>
        <w:gridCol w:w="449"/>
        <w:gridCol w:w="709"/>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231,817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being filed to correct the amount of securities beneficially owned by the Reporting Person. The original Form 4 did not report certain restricted stock units owned by the Reporting Person due to an administrative oversight. These shares include a restricted stock unit award of 5,587 shares, awarded on June 4, 2023, that vests on the earlier of (a) June 4, 2024,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distribution, and not a purchase or sale, without additional consideration by Spark Capital Partners, LLC ("SCP") to certain of its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Finkelstein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2015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779</Words>
  <Characters>4173</Characters>
  <CharactersWithSpaces>4889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