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9"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2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00" w:type="dxa"/>
            <w:vAlign w:val="bottom"/>
            <w:vMerge w:val="restart"/>
          </w:tcPr>
          <w:p>
            <w:pPr>
              <w:ind w:left="36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00" w:type="dxa"/>
            <w:vAlign w:val="bottom"/>
          </w:tcPr>
          <w:p>
            <w:pPr>
              <w:ind w:left="360"/>
              <w:spacing w:after="0"/>
              <w:rPr>
                <w:sz w:val="20"/>
                <w:szCs w:val="20"/>
                <w:color w:val="auto"/>
              </w:rPr>
            </w:pPr>
            <w:r>
              <w:rPr>
                <w:rFonts w:ascii="Arial" w:cs="Arial" w:eastAsia="Arial" w:hAnsi="Arial"/>
                <w:sz w:val="19"/>
                <w:szCs w:val="19"/>
                <w:color w:val="auto"/>
                <w:w w:val="95"/>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296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00" w:type="dxa"/>
            <w:vAlign w:val="bottom"/>
          </w:tcPr>
          <w:p>
            <w:pPr>
              <w:ind w:left="20"/>
              <w:spacing w:after="0"/>
              <w:rPr>
                <w:sz w:val="20"/>
                <w:szCs w:val="20"/>
                <w:color w:val="auto"/>
              </w:rPr>
            </w:pPr>
            <w:r>
              <w:rPr>
                <w:rFonts w:ascii="Arial" w:cs="Arial" w:eastAsia="Arial" w:hAnsi="Arial"/>
                <w:sz w:val="22"/>
                <w:szCs w:val="22"/>
                <w:color w:val="auto"/>
              </w:rPr>
              <w:t>0001859026</w:t>
            </w:r>
          </w:p>
        </w:tc>
        <w:tc>
          <w:tcPr>
            <w:tcW w:w="3360" w:type="dxa"/>
            <w:vAlign w:val="bottom"/>
          </w:tcPr>
          <w:p>
            <w:pPr>
              <w:spacing w:after="0"/>
              <w:rPr>
                <w:sz w:val="23"/>
                <w:szCs w:val="23"/>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00" w:type="dxa"/>
            <w:vAlign w:val="bottom"/>
          </w:tcPr>
          <w:p>
            <w:pPr>
              <w:ind w:left="2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296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00" w:type="dxa"/>
            <w:vAlign w:val="bottom"/>
          </w:tcPr>
          <w:p>
            <w:pPr>
              <w:ind w:left="28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5"/>
              </w:rPr>
              <w:t>Submission Contact Information</w:t>
            </w:r>
          </w:p>
        </w:tc>
        <w:tc>
          <w:tcPr>
            <w:tcW w:w="33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2960" w:type="dxa"/>
            <w:vAlign w:val="bottom"/>
          </w:tcPr>
          <w:p>
            <w:pPr>
              <w:ind w:left="40"/>
              <w:spacing w:after="0"/>
              <w:rPr>
                <w:sz w:val="20"/>
                <w:szCs w:val="20"/>
                <w:color w:val="auto"/>
              </w:rPr>
            </w:pPr>
            <w:r>
              <w:rPr>
                <w:rFonts w:ascii="Arial" w:cs="Arial" w:eastAsia="Arial" w:hAnsi="Arial"/>
                <w:sz w:val="22"/>
                <w:szCs w:val="22"/>
                <w:color w:val="auto"/>
              </w:rPr>
              <w:t>Name</w:t>
            </w:r>
          </w:p>
        </w:tc>
        <w:tc>
          <w:tcPr>
            <w:tcW w:w="33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Phone</w:t>
            </w:r>
          </w:p>
        </w:tc>
        <w:tc>
          <w:tcPr>
            <w:tcW w:w="33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2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296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00" w:type="dxa"/>
            <w:vAlign w:val="bottom"/>
          </w:tcPr>
          <w:p>
            <w:pPr>
              <w:spacing w:after="0"/>
              <w:rPr>
                <w:sz w:val="24"/>
                <w:szCs w:val="24"/>
                <w:color w:val="auto"/>
              </w:rPr>
            </w:pPr>
          </w:p>
        </w:tc>
        <w:tc>
          <w:tcPr>
            <w:tcW w:w="3360" w:type="dxa"/>
            <w:vAlign w:val="bottom"/>
          </w:tcPr>
          <w:p>
            <w:pPr>
              <w:ind w:left="600"/>
              <w:spacing w:after="0"/>
              <w:rPr>
                <w:sz w:val="20"/>
                <w:szCs w:val="20"/>
                <w:color w:val="auto"/>
              </w:rPr>
            </w:pPr>
            <w:r>
              <w:rPr>
                <w:rFonts w:ascii="Arial" w:cs="Arial" w:eastAsia="Arial" w:hAnsi="Arial"/>
                <w:sz w:val="22"/>
                <w:szCs w:val="22"/>
                <w:color w:val="auto"/>
              </w:rPr>
              <w:t>Flywire Corp</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00" w:type="dxa"/>
            <w:vAlign w:val="bottom"/>
          </w:tcPr>
          <w:p>
            <w:pPr>
              <w:spacing w:after="0"/>
              <w:rPr>
                <w:sz w:val="24"/>
                <w:szCs w:val="24"/>
                <w:color w:val="auto"/>
              </w:rPr>
            </w:pPr>
          </w:p>
        </w:tc>
        <w:tc>
          <w:tcPr>
            <w:tcW w:w="3360" w:type="dxa"/>
            <w:vAlign w:val="bottom"/>
          </w:tcPr>
          <w:p>
            <w:pPr>
              <w:ind w:left="600"/>
              <w:spacing w:after="0"/>
              <w:rPr>
                <w:sz w:val="20"/>
                <w:szCs w:val="20"/>
                <w:color w:val="auto"/>
              </w:rPr>
            </w:pPr>
            <w:r>
              <w:rPr>
                <w:rFonts w:ascii="Arial" w:cs="Arial" w:eastAsia="Arial" w:hAnsi="Arial"/>
                <w:sz w:val="22"/>
                <w:szCs w:val="22"/>
                <w:color w:val="auto"/>
              </w:rPr>
              <w:t>001-40430</w:t>
            </w:r>
          </w:p>
        </w:tc>
      </w:tr>
      <w:tr>
        <w:trPr>
          <w:trHeight w:val="266"/>
        </w:trPr>
        <w:tc>
          <w:tcPr>
            <w:tcW w:w="29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360" w:type="dxa"/>
            <w:vAlign w:val="bottom"/>
          </w:tcPr>
          <w:p>
            <w:pPr>
              <w:ind w:left="600"/>
              <w:spacing w:after="0"/>
              <w:rPr>
                <w:sz w:val="20"/>
                <w:szCs w:val="20"/>
                <w:color w:val="auto"/>
              </w:rPr>
            </w:pPr>
            <w:r>
              <w:rPr>
                <w:rFonts w:ascii="Arial" w:cs="Arial" w:eastAsia="Arial" w:hAnsi="Arial"/>
                <w:sz w:val="22"/>
                <w:szCs w:val="22"/>
                <w:color w:val="auto"/>
              </w:rPr>
              <w:t>141 TREMONT STREET</w:t>
            </w:r>
          </w:p>
        </w:tc>
      </w:tr>
      <w:tr>
        <w:trPr>
          <w:trHeight w:val="243"/>
        </w:trPr>
        <w:tc>
          <w:tcPr>
            <w:tcW w:w="29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360" w:type="dxa"/>
            <w:vAlign w:val="bottom"/>
          </w:tcPr>
          <w:p>
            <w:pPr>
              <w:ind w:left="60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296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300" w:type="dxa"/>
            <w:vAlign w:val="bottom"/>
          </w:tcPr>
          <w:p>
            <w:pPr>
              <w:spacing w:after="0"/>
              <w:rPr>
                <w:sz w:val="21"/>
                <w:szCs w:val="21"/>
                <w:color w:val="auto"/>
              </w:rPr>
            </w:pPr>
          </w:p>
        </w:tc>
        <w:tc>
          <w:tcPr>
            <w:tcW w:w="3360" w:type="dxa"/>
            <w:vAlign w:val="bottom"/>
          </w:tcPr>
          <w:p>
            <w:pPr>
              <w:ind w:left="60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29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360" w:type="dxa"/>
            <w:vAlign w:val="bottom"/>
          </w:tcPr>
          <w:p>
            <w:pPr>
              <w:ind w:left="60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29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360" w:type="dxa"/>
            <w:vAlign w:val="bottom"/>
          </w:tcPr>
          <w:p>
            <w:pPr>
              <w:ind w:left="600"/>
              <w:spacing w:after="0"/>
              <w:rPr>
                <w:sz w:val="20"/>
                <w:szCs w:val="20"/>
                <w:color w:val="auto"/>
              </w:rPr>
            </w:pPr>
            <w:r>
              <w:rPr>
                <w:rFonts w:ascii="Arial" w:cs="Arial" w:eastAsia="Arial" w:hAnsi="Arial"/>
                <w:sz w:val="22"/>
                <w:szCs w:val="22"/>
                <w:color w:val="auto"/>
              </w:rPr>
              <w:t>02111</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Phone</w:t>
            </w:r>
          </w:p>
        </w:tc>
        <w:tc>
          <w:tcPr>
            <w:tcW w:w="3300" w:type="dxa"/>
            <w:vAlign w:val="bottom"/>
          </w:tcPr>
          <w:p>
            <w:pPr>
              <w:spacing w:after="0"/>
              <w:rPr>
                <w:sz w:val="24"/>
                <w:szCs w:val="24"/>
                <w:color w:val="auto"/>
              </w:rPr>
            </w:pPr>
          </w:p>
        </w:tc>
        <w:tc>
          <w:tcPr>
            <w:tcW w:w="3360" w:type="dxa"/>
            <w:vAlign w:val="bottom"/>
          </w:tcPr>
          <w:p>
            <w:pPr>
              <w:ind w:left="600"/>
              <w:spacing w:after="0"/>
              <w:rPr>
                <w:sz w:val="20"/>
                <w:szCs w:val="20"/>
                <w:color w:val="auto"/>
              </w:rPr>
            </w:pPr>
            <w:r>
              <w:rPr>
                <w:rFonts w:ascii="Arial" w:cs="Arial" w:eastAsia="Arial" w:hAnsi="Arial"/>
                <w:sz w:val="22"/>
                <w:szCs w:val="22"/>
                <w:color w:val="auto"/>
              </w:rPr>
              <w:t>617-329-4524</w:t>
            </w:r>
          </w:p>
        </w:tc>
      </w:tr>
      <w:tr>
        <w:trPr>
          <w:trHeight w:val="297"/>
        </w:trPr>
        <w:tc>
          <w:tcPr>
            <w:tcW w:w="6260" w:type="dxa"/>
            <w:vAlign w:val="bottom"/>
            <w:gridSpan w:val="2"/>
          </w:tcPr>
          <w:p>
            <w:pPr>
              <w:ind w:left="40"/>
              <w:spacing w:after="0"/>
              <w:rPr>
                <w:sz w:val="20"/>
                <w:szCs w:val="20"/>
                <w:color w:val="auto"/>
              </w:rPr>
            </w:pPr>
            <w:r>
              <w:rPr>
                <w:rFonts w:ascii="Arial" w:cs="Arial" w:eastAsia="Arial" w:hAnsi="Arial"/>
                <w:sz w:val="22"/>
                <w:szCs w:val="22"/>
                <w:color w:val="auto"/>
                <w:w w:val="96"/>
              </w:rPr>
              <w:t>Name of Person for Whose Account the Securities are To Be Sold</w:t>
            </w:r>
          </w:p>
        </w:tc>
        <w:tc>
          <w:tcPr>
            <w:tcW w:w="3360" w:type="dxa"/>
            <w:vAlign w:val="bottom"/>
          </w:tcPr>
          <w:p>
            <w:pPr>
              <w:ind w:left="600"/>
              <w:spacing w:after="0"/>
              <w:rPr>
                <w:sz w:val="20"/>
                <w:szCs w:val="20"/>
                <w:color w:val="auto"/>
              </w:rPr>
            </w:pPr>
            <w:r>
              <w:rPr>
                <w:rFonts w:ascii="Arial" w:cs="Arial" w:eastAsia="Arial" w:hAnsi="Arial"/>
                <w:sz w:val="22"/>
                <w:szCs w:val="22"/>
                <w:color w:val="auto"/>
                <w:w w:val="86"/>
              </w:rPr>
              <w:t>BCIP Venture Associates 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6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Title of the Class of</w:t>
            </w:r>
          </w:p>
        </w:tc>
        <w:tc>
          <w:tcPr>
            <w:tcW w:w="240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87"/>
              </w:rPr>
              <w:t>Name and Address of</w:t>
            </w:r>
          </w:p>
        </w:tc>
        <w:tc>
          <w:tcPr>
            <w:tcW w:w="12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6"/>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84"/>
              </w:rPr>
              <w:t>Securities To Be Sold</w:t>
            </w:r>
          </w:p>
        </w:tc>
        <w:tc>
          <w:tcPr>
            <w:tcW w:w="240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0"/>
              </w:rPr>
              <w:t>the Broker</w:t>
            </w:r>
          </w:p>
        </w:tc>
        <w:tc>
          <w:tcPr>
            <w:tcW w:w="38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b w:val="1"/>
                <w:bCs w:val="1"/>
                <w:color w:val="auto"/>
                <w:w w:val="93"/>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38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6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6"/>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60"/>
              <w:spacing w:after="0"/>
              <w:rPr>
                <w:sz w:val="20"/>
                <w:szCs w:val="20"/>
                <w:color w:val="auto"/>
              </w:rPr>
            </w:pPr>
            <w:r>
              <w:rPr>
                <w:rFonts w:ascii="Arial" w:cs="Arial" w:eastAsia="Arial" w:hAnsi="Arial"/>
                <w:sz w:val="22"/>
                <w:szCs w:val="22"/>
                <w:color w:val="auto"/>
              </w:rPr>
              <w:t>J.P. Morgan Securities</w:t>
            </w: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4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1260" w:type="dxa"/>
            <w:vAlign w:val="bottom"/>
            <w:vMerge w:val="restart"/>
          </w:tcPr>
          <w:p>
            <w:pPr>
              <w:jc w:val="right"/>
              <w:ind w:right="492"/>
              <w:spacing w:after="0"/>
              <w:rPr>
                <w:sz w:val="20"/>
                <w:szCs w:val="20"/>
                <w:color w:val="auto"/>
              </w:rPr>
            </w:pPr>
            <w:r>
              <w:rPr>
                <w:rFonts w:ascii="Arial" w:cs="Arial" w:eastAsia="Arial" w:hAnsi="Arial"/>
                <w:sz w:val="22"/>
                <w:szCs w:val="22"/>
                <w:color w:val="auto"/>
              </w:rPr>
              <w:t>23172</w:t>
            </w:r>
          </w:p>
        </w:tc>
        <w:tc>
          <w:tcPr>
            <w:tcW w:w="1300" w:type="dxa"/>
            <w:vAlign w:val="bottom"/>
            <w:vMerge w:val="restart"/>
          </w:tcPr>
          <w:p>
            <w:pPr>
              <w:jc w:val="right"/>
              <w:ind w:right="192"/>
              <w:spacing w:after="0"/>
              <w:rPr>
                <w:sz w:val="20"/>
                <w:szCs w:val="20"/>
                <w:color w:val="auto"/>
              </w:rPr>
            </w:pPr>
            <w:r>
              <w:rPr>
                <w:rFonts w:ascii="Arial" w:cs="Arial" w:eastAsia="Arial" w:hAnsi="Arial"/>
                <w:sz w:val="22"/>
                <w:szCs w:val="22"/>
                <w:color w:val="auto"/>
                <w:w w:val="94"/>
              </w:rPr>
              <w:t>683805.00</w:t>
            </w:r>
          </w:p>
        </w:tc>
        <w:tc>
          <w:tcPr>
            <w:tcW w:w="1300" w:type="dxa"/>
            <w:vAlign w:val="bottom"/>
            <w:vMerge w:val="restart"/>
          </w:tcPr>
          <w:p>
            <w:pPr>
              <w:jc w:val="right"/>
              <w:ind w:right="112"/>
              <w:spacing w:after="0"/>
              <w:rPr>
                <w:sz w:val="20"/>
                <w:szCs w:val="20"/>
                <w:color w:val="auto"/>
              </w:rPr>
            </w:pPr>
            <w:r>
              <w:rPr>
                <w:rFonts w:ascii="Arial" w:cs="Arial" w:eastAsia="Arial" w:hAnsi="Arial"/>
                <w:sz w:val="22"/>
                <w:szCs w:val="22"/>
                <w:color w:val="auto"/>
                <w:w w:val="96"/>
              </w:rPr>
              <w:t>108883194</w:t>
            </w:r>
          </w:p>
        </w:tc>
        <w:tc>
          <w:tcPr>
            <w:tcW w:w="2400" w:type="dxa"/>
            <w:vAlign w:val="bottom"/>
            <w:gridSpan w:val="2"/>
            <w:vMerge w:val="restart"/>
          </w:tcPr>
          <w:p>
            <w:pPr>
              <w:ind w:left="40"/>
              <w:spacing w:after="0"/>
              <w:rPr>
                <w:sz w:val="20"/>
                <w:szCs w:val="20"/>
                <w:color w:val="auto"/>
              </w:rPr>
            </w:pPr>
            <w:r>
              <w:rPr>
                <w:rFonts w:ascii="Arial" w:cs="Arial" w:eastAsia="Arial" w:hAnsi="Arial"/>
                <w:sz w:val="22"/>
                <w:szCs w:val="22"/>
                <w:color w:val="auto"/>
              </w:rPr>
              <w:t>05/11/2023   Nasdaq</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60"/>
              <w:spacing w:after="0"/>
              <w:rPr>
                <w:sz w:val="20"/>
                <w:szCs w:val="20"/>
                <w:color w:val="auto"/>
              </w:rPr>
            </w:pPr>
            <w:r>
              <w:rPr>
                <w:rFonts w:ascii="Arial" w:cs="Arial" w:eastAsia="Arial" w:hAnsi="Arial"/>
                <w:sz w:val="22"/>
                <w:szCs w:val="22"/>
                <w:color w:val="auto"/>
              </w:rPr>
              <w:t>383 Madison Avenue</w:t>
            </w: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20"/>
        <w:spacing w:after="0"/>
        <w:rPr>
          <w:sz w:val="20"/>
          <w:szCs w:val="20"/>
          <w:color w:val="auto"/>
        </w:rPr>
      </w:pPr>
      <w:r>
        <w:rPr>
          <w:rFonts w:ascii="Arial" w:cs="Arial" w:eastAsia="Arial" w:hAnsi="Arial"/>
          <w:sz w:val="22"/>
          <w:szCs w:val="22"/>
          <w:color w:val="auto"/>
        </w:rPr>
        <w:t>New York  NY  10179</w:t>
      </w:r>
    </w:p>
    <w:p>
      <w:pPr>
        <w:spacing w:after="0" w:line="200" w:lineRule="exact"/>
        <w:rPr>
          <w:sz w:val="24"/>
          <w:szCs w:val="24"/>
          <w:color w:val="auto"/>
        </w:r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928" w:orient="portrait"/>
          <w:cols w:equalWidth="0" w:num="1">
            <w:col w:w="11240"/>
          </w:cols>
          <w:pgMar w:left="320" w:top="267" w:right="339" w:bottom="0" w:gutter="0" w:footer="0" w:header="0"/>
        </w:sectPr>
      </w:pPr>
    </w:p>
    <w:p>
      <w:pPr>
        <w:spacing w:after="0" w:line="358" w:lineRule="exact"/>
        <w:rPr>
          <w:sz w:val="24"/>
          <w:szCs w:val="24"/>
          <w:color w:val="auto"/>
        </w:rPr>
      </w:pPr>
    </w:p>
    <w:p>
      <w:pPr>
        <w:jc w:val="center"/>
        <w:ind w:left="28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4"/>
          <w:szCs w:val="24"/>
          <w:color w:val="auto"/>
        </w:rPr>
      </w:pPr>
    </w:p>
    <w:p>
      <w:pPr>
        <w:jc w:val="center"/>
        <w:ind w:left="280"/>
        <w:spacing w:after="0"/>
        <w:rPr>
          <w:sz w:val="20"/>
          <w:szCs w:val="20"/>
          <w:color w:val="auto"/>
        </w:rPr>
      </w:pPr>
      <w:r>
        <w:rPr>
          <w:rFonts w:ascii="Arial" w:cs="Arial" w:eastAsia="Arial" w:hAnsi="Arial"/>
          <w:sz w:val="22"/>
          <w:szCs w:val="22"/>
          <w:b w:val="1"/>
          <w:bCs w:val="1"/>
          <w:color w:val="auto"/>
        </w:rPr>
        <w:t>Class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ind w:firstLine="20"/>
        <w:spacing w:after="0" w:line="334" w:lineRule="auto"/>
        <w:rPr>
          <w:sz w:val="20"/>
          <w:szCs w:val="20"/>
          <w:color w:val="auto"/>
        </w:rPr>
      </w:pPr>
      <w:r>
        <w:rPr>
          <w:rFonts w:ascii="Arial" w:cs="Arial" w:eastAsia="Arial" w:hAnsi="Arial"/>
          <w:sz w:val="19"/>
          <w:szCs w:val="19"/>
          <w:b w:val="1"/>
          <w:bCs w:val="1"/>
          <w:color w:val="auto"/>
        </w:rPr>
        <w:t>Date you Acquired</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Nature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Person from</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this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Donor</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ind w:hanging="53"/>
        <w:spacing w:after="0" w:line="366" w:lineRule="auto"/>
        <w:rPr>
          <w:sz w:val="20"/>
          <w:szCs w:val="20"/>
          <w:color w:val="auto"/>
        </w:rPr>
      </w:pPr>
      <w:r>
        <w:rPr>
          <w:rFonts w:ascii="Arial" w:cs="Arial" w:eastAsia="Arial" w:hAnsi="Arial"/>
          <w:sz w:val="18"/>
          <w:szCs w:val="18"/>
          <w:b w:val="1"/>
          <w:bCs w:val="1"/>
          <w:color w:val="auto"/>
        </w:rPr>
        <w:t>Amount of Securities</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both"/>
        <w:ind w:firstLine="74"/>
        <w:spacing w:after="0" w:line="366" w:lineRule="auto"/>
        <w:rPr>
          <w:sz w:val="20"/>
          <w:szCs w:val="20"/>
          <w:color w:val="auto"/>
        </w:rPr>
      </w:pPr>
      <w:r>
        <w:rPr>
          <w:rFonts w:ascii="Arial" w:cs="Arial" w:eastAsia="Arial" w:hAnsi="Arial"/>
          <w:sz w:val="18"/>
          <w:szCs w:val="18"/>
          <w:b w:val="1"/>
          <w:bCs w:val="1"/>
          <w:color w:val="auto"/>
        </w:rPr>
        <w:t>Date of Payment</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jc w:val="both"/>
        <w:ind w:right="380" w:firstLine="47"/>
        <w:spacing w:after="0" w:line="334" w:lineRule="auto"/>
        <w:rPr>
          <w:sz w:val="20"/>
          <w:szCs w:val="20"/>
          <w:color w:val="auto"/>
        </w:rPr>
      </w:pPr>
      <w:r>
        <w:rPr>
          <w:rFonts w:ascii="Arial" w:cs="Arial" w:eastAsia="Arial" w:hAnsi="Arial"/>
          <w:sz w:val="19"/>
          <w:szCs w:val="19"/>
          <w:b w:val="1"/>
          <w:bCs w:val="1"/>
          <w:color w:val="auto"/>
        </w:rPr>
        <w:t>Nature of Payment *</w:t>
      </w:r>
    </w:p>
    <w:p>
      <w:pPr>
        <w:sectPr>
          <w:pgSz w:w="11900" w:h="16928" w:orient="portrait"/>
          <w:cols w:equalWidth="0" w:num="9">
            <w:col w:w="1260" w:space="340"/>
            <w:col w:w="860" w:space="420"/>
            <w:col w:w="1040" w:space="520"/>
            <w:col w:w="1140" w:space="280"/>
            <w:col w:w="320" w:space="260"/>
            <w:col w:w="600" w:space="360"/>
            <w:col w:w="940" w:space="260"/>
            <w:col w:w="820" w:space="460"/>
            <w:col w:w="136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2740" w:type="dxa"/>
            <w:vAlign w:val="bottom"/>
          </w:tcPr>
          <w:p>
            <w:pPr>
              <w:ind w:left="1360"/>
              <w:spacing w:after="0"/>
              <w:rPr>
                <w:sz w:val="20"/>
                <w:szCs w:val="20"/>
                <w:color w:val="auto"/>
              </w:rPr>
            </w:pPr>
            <w:r>
              <w:rPr>
                <w:rFonts w:ascii="Arial" w:cs="Arial" w:eastAsia="Arial" w:hAnsi="Arial"/>
                <w:sz w:val="22"/>
                <w:szCs w:val="22"/>
                <w:b w:val="1"/>
                <w:bCs w:val="1"/>
                <w:color w:val="auto"/>
              </w:rPr>
              <w:t>Transaction</w:t>
            </w:r>
          </w:p>
        </w:tc>
        <w:tc>
          <w:tcPr>
            <w:tcW w:w="1380" w:type="dxa"/>
            <w:vAlign w:val="bottom"/>
          </w:tcPr>
          <w:p>
            <w:pPr>
              <w:jc w:val="center"/>
              <w:ind w:left="72"/>
              <w:spacing w:after="0"/>
              <w:rPr>
                <w:sz w:val="20"/>
                <w:szCs w:val="20"/>
                <w:color w:val="auto"/>
              </w:rPr>
            </w:pPr>
            <w:r>
              <w:rPr>
                <w:rFonts w:ascii="Arial" w:cs="Arial" w:eastAsia="Arial" w:hAnsi="Arial"/>
                <w:sz w:val="22"/>
                <w:szCs w:val="22"/>
                <w:b w:val="1"/>
                <w:bCs w:val="1"/>
                <w:color w:val="auto"/>
                <w:w w:val="95"/>
              </w:rPr>
              <w:t>Whom</w:t>
            </w:r>
          </w:p>
        </w:tc>
        <w:tc>
          <w:tcPr>
            <w:tcW w:w="278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78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60" w:type="dxa"/>
            <w:vAlign w:val="bottom"/>
          </w:tcPr>
          <w:p>
            <w:pPr>
              <w:spacing w:after="0"/>
              <w:rPr>
                <w:sz w:val="23"/>
                <w:szCs w:val="23"/>
                <w:color w:val="auto"/>
              </w:rPr>
            </w:pPr>
          </w:p>
        </w:tc>
        <w:tc>
          <w:tcPr>
            <w:tcW w:w="2740" w:type="dxa"/>
            <w:vAlign w:val="bottom"/>
          </w:tcPr>
          <w:p>
            <w:pPr>
              <w:ind w:left="1060"/>
              <w:spacing w:after="0"/>
              <w:rPr>
                <w:sz w:val="20"/>
                <w:szCs w:val="20"/>
                <w:color w:val="auto"/>
              </w:rPr>
            </w:pPr>
            <w:r>
              <w:rPr>
                <w:rFonts w:ascii="Arial" w:cs="Arial" w:eastAsia="Arial" w:hAnsi="Arial"/>
                <w:sz w:val="22"/>
                <w:szCs w:val="22"/>
                <w:color w:val="auto"/>
              </w:rPr>
              <w:t>Automatic</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conversion of</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preferred stock</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3"/>
              </w:rPr>
              <w:t>purchased prior to</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the Issuer's IPO</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8"/>
              </w:rPr>
              <w:t>into shares of the</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60" w:type="dxa"/>
            <w:vAlign w:val="bottom"/>
            <w:vMerge w:val="restart"/>
          </w:tcPr>
          <w:p>
            <w:pPr>
              <w:spacing w:after="0"/>
              <w:rPr>
                <w:sz w:val="20"/>
                <w:szCs w:val="20"/>
                <w:color w:val="auto"/>
              </w:rPr>
            </w:pPr>
            <w:r>
              <w:rPr>
                <w:rFonts w:ascii="Arial" w:cs="Arial" w:eastAsia="Arial" w:hAnsi="Arial"/>
                <w:sz w:val="22"/>
                <w:szCs w:val="22"/>
                <w:color w:val="auto"/>
                <w:w w:val="91"/>
              </w:rPr>
              <w:t>Voting Common</w:t>
            </w:r>
          </w:p>
        </w:tc>
        <w:tc>
          <w:tcPr>
            <w:tcW w:w="2740" w:type="dxa"/>
            <w:vAlign w:val="bottom"/>
          </w:tcPr>
          <w:p>
            <w:pPr>
              <w:ind w:left="1060"/>
              <w:spacing w:after="0"/>
              <w:rPr>
                <w:sz w:val="20"/>
                <w:szCs w:val="20"/>
                <w:color w:val="auto"/>
              </w:rPr>
            </w:pPr>
            <w:r>
              <w:rPr>
                <w:rFonts w:ascii="Arial" w:cs="Arial" w:eastAsia="Arial" w:hAnsi="Arial"/>
                <w:sz w:val="22"/>
                <w:szCs w:val="22"/>
                <w:color w:val="auto"/>
              </w:rPr>
              <w:t>Isser's Class A</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vMerge w:val="restart"/>
          </w:tcPr>
          <w:p>
            <w:pPr>
              <w:ind w:left="1140"/>
              <w:spacing w:after="0"/>
              <w:rPr>
                <w:sz w:val="20"/>
                <w:szCs w:val="20"/>
                <w:color w:val="auto"/>
              </w:rPr>
            </w:pPr>
            <w:r>
              <w:rPr>
                <w:rFonts w:ascii="Arial" w:cs="Arial" w:eastAsia="Arial" w:hAnsi="Arial"/>
                <w:sz w:val="22"/>
                <w:szCs w:val="22"/>
                <w:color w:val="auto"/>
                <w:w w:val="92"/>
              </w:rPr>
              <w:t>Conversion of</w:t>
            </w:r>
          </w:p>
        </w:tc>
        <w:tc>
          <w:tcPr>
            <w:tcW w:w="0" w:type="dxa"/>
            <w:vAlign w:val="bottom"/>
          </w:tcPr>
          <w:p>
            <w:pPr>
              <w:spacing w:after="0"/>
              <w:rPr>
                <w:sz w:val="1"/>
                <w:szCs w:val="1"/>
                <w:color w:val="auto"/>
              </w:rPr>
            </w:pPr>
          </w:p>
        </w:tc>
      </w:tr>
      <w:tr>
        <w:trPr>
          <w:trHeight w:val="58"/>
        </w:trPr>
        <w:tc>
          <w:tcPr>
            <w:tcW w:w="1460" w:type="dxa"/>
            <w:vAlign w:val="bottom"/>
            <w:vMerge w:val="continue"/>
          </w:tcPr>
          <w:p>
            <w:pPr>
              <w:spacing w:after="0"/>
              <w:rPr>
                <w:sz w:val="5"/>
                <w:szCs w:val="5"/>
                <w:color w:val="auto"/>
              </w:rPr>
            </w:pPr>
          </w:p>
        </w:tc>
        <w:tc>
          <w:tcPr>
            <w:tcW w:w="27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Stock</w:t>
            </w:r>
          </w:p>
        </w:tc>
        <w:tc>
          <w:tcPr>
            <w:tcW w:w="2740" w:type="dxa"/>
            <w:vAlign w:val="bottom"/>
          </w:tcPr>
          <w:p>
            <w:pPr>
              <w:ind w:left="40"/>
              <w:spacing w:after="0" w:line="243" w:lineRule="exact"/>
              <w:rPr>
                <w:sz w:val="20"/>
                <w:szCs w:val="20"/>
                <w:color w:val="auto"/>
              </w:rPr>
            </w:pPr>
            <w:r>
              <w:rPr>
                <w:rFonts w:ascii="Arial" w:cs="Arial" w:eastAsia="Arial" w:hAnsi="Arial"/>
                <w:sz w:val="22"/>
                <w:szCs w:val="22"/>
                <w:color w:val="auto"/>
              </w:rPr>
              <w:t>05/28/2021 Common Stock</w:t>
            </w:r>
          </w:p>
        </w:tc>
        <w:tc>
          <w:tcPr>
            <w:tcW w:w="1380" w:type="dxa"/>
            <w:vAlign w:val="bottom"/>
          </w:tcPr>
          <w:p>
            <w:pPr>
              <w:ind w:left="60"/>
              <w:spacing w:after="0" w:line="243" w:lineRule="exact"/>
              <w:rPr>
                <w:sz w:val="20"/>
                <w:szCs w:val="20"/>
                <w:color w:val="auto"/>
              </w:rPr>
            </w:pPr>
            <w:r>
              <w:rPr>
                <w:rFonts w:ascii="Arial" w:cs="Arial" w:eastAsia="Arial" w:hAnsi="Arial"/>
                <w:sz w:val="22"/>
                <w:szCs w:val="22"/>
                <w:color w:val="auto"/>
              </w:rPr>
              <w:t>Issuer</w:t>
            </w:r>
          </w:p>
        </w:tc>
        <w:tc>
          <w:tcPr>
            <w:tcW w:w="27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23172</w:t>
            </w:r>
          </w:p>
        </w:tc>
        <w:tc>
          <w:tcPr>
            <w:tcW w:w="242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60" w:type="dxa"/>
            <w:vAlign w:val="bottom"/>
          </w:tcPr>
          <w:p>
            <w:pPr>
              <w:spacing w:after="0"/>
              <w:rPr>
                <w:sz w:val="13"/>
                <w:szCs w:val="13"/>
                <w:color w:val="auto"/>
              </w:rPr>
            </w:pPr>
          </w:p>
        </w:tc>
        <w:tc>
          <w:tcPr>
            <w:tcW w:w="2740" w:type="dxa"/>
            <w:vAlign w:val="bottom"/>
          </w:tcPr>
          <w:p>
            <w:pPr>
              <w:ind w:left="1060"/>
              <w:spacing w:after="0" w:line="154" w:lineRule="exact"/>
              <w:rPr>
                <w:sz w:val="20"/>
                <w:szCs w:val="20"/>
                <w:color w:val="auto"/>
              </w:rPr>
            </w:pPr>
            <w:r>
              <w:rPr>
                <w:rFonts w:ascii="Arial" w:cs="Arial" w:eastAsia="Arial" w:hAnsi="Arial"/>
                <w:sz w:val="17"/>
                <w:szCs w:val="17"/>
                <w:color w:val="auto"/>
              </w:rPr>
              <w:t>and subsequent</w:t>
            </w:r>
          </w:p>
        </w:tc>
        <w:tc>
          <w:tcPr>
            <w:tcW w:w="13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98"/>
              </w:rPr>
              <w:t>reclassification of</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w w:val="85"/>
              </w:rPr>
              <w:t>the Issuer's Class A</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Common Stock</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into the Issuer's</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2740" w:type="dxa"/>
            <w:vAlign w:val="bottom"/>
          </w:tcPr>
          <w:p>
            <w:pPr>
              <w:ind w:left="1060"/>
              <w:spacing w:after="0" w:line="243" w:lineRule="exact"/>
              <w:rPr>
                <w:sz w:val="20"/>
                <w:szCs w:val="20"/>
                <w:color w:val="auto"/>
              </w:rPr>
            </w:pPr>
            <w:r>
              <w:rPr>
                <w:rFonts w:ascii="Arial" w:cs="Arial" w:eastAsia="Arial" w:hAnsi="Arial"/>
                <w:sz w:val="22"/>
                <w:szCs w:val="22"/>
                <w:color w:val="auto"/>
              </w:rPr>
              <w:t>Voting Common</w:t>
            </w:r>
          </w:p>
        </w:tc>
        <w:tc>
          <w:tcPr>
            <w:tcW w:w="13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3"/>
                <w:szCs w:val="23"/>
                <w:color w:val="auto"/>
              </w:rPr>
            </w:pPr>
          </w:p>
        </w:tc>
        <w:tc>
          <w:tcPr>
            <w:tcW w:w="2740" w:type="dxa"/>
            <w:vAlign w:val="bottom"/>
          </w:tcPr>
          <w:p>
            <w:pPr>
              <w:ind w:left="1060"/>
              <w:spacing w:after="0"/>
              <w:rPr>
                <w:sz w:val="20"/>
                <w:szCs w:val="20"/>
                <w:color w:val="auto"/>
              </w:rPr>
            </w:pPr>
            <w:r>
              <w:rPr>
                <w:rFonts w:ascii="Arial" w:cs="Arial" w:eastAsia="Arial" w:hAnsi="Arial"/>
                <w:sz w:val="22"/>
                <w:szCs w:val="22"/>
                <w:color w:val="auto"/>
              </w:rPr>
              <w:t>Stock</w:t>
            </w:r>
          </w:p>
        </w:tc>
        <w:tc>
          <w:tcPr>
            <w:tcW w:w="1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4"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Remarks</w:t>
            </w:r>
          </w:p>
        </w:tc>
        <w:tc>
          <w:tcPr>
            <w:tcW w:w="1420" w:type="dxa"/>
            <w:vAlign w:val="bottom"/>
          </w:tcPr>
          <w:p>
            <w:pPr>
              <w:spacing w:after="0"/>
              <w:rPr>
                <w:sz w:val="23"/>
                <w:szCs w:val="23"/>
                <w:color w:val="auto"/>
              </w:rPr>
            </w:pPr>
          </w:p>
        </w:tc>
      </w:tr>
      <w:tr>
        <w:trPr>
          <w:trHeight w:val="297"/>
        </w:trPr>
        <w:tc>
          <w:tcPr>
            <w:tcW w:w="1800" w:type="dxa"/>
            <w:vAlign w:val="bottom"/>
          </w:tcPr>
          <w:p>
            <w:pPr>
              <w:spacing w:after="0"/>
              <w:rPr>
                <w:sz w:val="20"/>
                <w:szCs w:val="20"/>
                <w:color w:val="auto"/>
              </w:rPr>
            </w:pPr>
            <w:r>
              <w:rPr>
                <w:rFonts w:ascii="Arial" w:cs="Arial" w:eastAsia="Arial" w:hAnsi="Arial"/>
                <w:sz w:val="22"/>
                <w:szCs w:val="22"/>
                <w:color w:val="auto"/>
              </w:rPr>
              <w:t>Date of Notice</w:t>
            </w:r>
          </w:p>
        </w:tc>
        <w:tc>
          <w:tcPr>
            <w:tcW w:w="1420" w:type="dxa"/>
            <w:vAlign w:val="bottom"/>
          </w:tcPr>
          <w:p>
            <w:pPr>
              <w:jc w:val="right"/>
              <w:spacing w:after="0"/>
              <w:rPr>
                <w:sz w:val="20"/>
                <w:szCs w:val="20"/>
                <w:color w:val="auto"/>
              </w:rPr>
            </w:pPr>
            <w:r>
              <w:rPr>
                <w:rFonts w:ascii="Arial" w:cs="Arial" w:eastAsia="Arial" w:hAnsi="Arial"/>
                <w:sz w:val="22"/>
                <w:szCs w:val="22"/>
                <w:color w:val="auto"/>
              </w:rPr>
              <w:t>05/11/2023</w:t>
            </w:r>
          </w:p>
        </w:tc>
      </w:tr>
      <w:tr>
        <w:trPr>
          <w:trHeight w:val="297"/>
        </w:trPr>
        <w:tc>
          <w:tcPr>
            <w:tcW w:w="1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2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Authorized Signatory of Boylston Coinvestors,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2023-05-11T20:06:04Z</dcterms:created>
  <dcterms:modified xsi:type="dcterms:W3CDTF">2023-05-11T20:06:04Z</dcterms:modified>
</cp:coreProperties>
</file>