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172,248</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419,809</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time-based restricted stock unit award (RSU). The RSU vests with respect to 25% of the shares on March 1, 2026, with the remainder vesting in equal quarterly installments over the following three years, provided that the Reporting Person has provided continuous service to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1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3377</Characters>
  <CharactersWithSpaces>3938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