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Date of Report (Date of earliest event reported): June 9, 2023 (June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238760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FLYWIRE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001-40430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27-0690799</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9" w:lineRule="exact"/>
        <w:rPr>
          <w:sz w:val="24"/>
          <w:szCs w:val="24"/>
          <w:color w:val="auto"/>
        </w:rPr>
      </w:pPr>
    </w:p>
    <w:p>
      <w:pPr>
        <w:jc w:val="center"/>
        <w:ind w:right="756"/>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jc w:val="center"/>
        <w:ind w:right="194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4" w:space="720"/>
            <w:col w:w="2740" w:space="720"/>
            <w:col w:w="2340"/>
          </w:cols>
          <w:pgMar w:left="436" w:top="382" w:right="439" w:bottom="1440" w:gutter="0" w:footer="0" w:header="0"/>
          <w:type w:val="continuous"/>
        </w:sectPr>
      </w:pPr>
    </w:p>
    <w:p>
      <w:pPr>
        <w:spacing w:after="0" w:line="5" w:lineRule="exact"/>
        <w:rPr>
          <w:sz w:val="24"/>
          <w:szCs w:val="24"/>
          <w:color w:val="auto"/>
        </w:rPr>
      </w:pPr>
    </w:p>
    <w:p>
      <w:pPr>
        <w:ind w:left="4764"/>
        <w:spacing w:after="0"/>
        <w:rPr>
          <w:sz w:val="20"/>
          <w:szCs w:val="20"/>
          <w:color w:val="auto"/>
        </w:rPr>
      </w:pPr>
      <w:r>
        <w:rPr>
          <w:rFonts w:ascii="Arial" w:cs="Arial" w:eastAsia="Arial" w:hAnsi="Arial"/>
          <w:sz w:val="18"/>
          <w:szCs w:val="18"/>
          <w:b w:val="1"/>
          <w:bCs w:val="1"/>
          <w:color w:val="auto"/>
        </w:rPr>
        <w:t>141 Tremont St #10</w:t>
      </w:r>
    </w:p>
    <w:p>
      <w:pPr>
        <w:spacing w:after="0" w:line="27" w:lineRule="exact"/>
        <w:rPr>
          <w:sz w:val="24"/>
          <w:szCs w:val="24"/>
          <w:color w:val="auto"/>
        </w:rPr>
      </w:pPr>
    </w:p>
    <w:p>
      <w:pPr>
        <w:ind w:left="4824"/>
        <w:spacing w:after="0"/>
        <w:rPr>
          <w:sz w:val="20"/>
          <w:szCs w:val="20"/>
          <w:color w:val="auto"/>
        </w:rPr>
      </w:pPr>
      <w:r>
        <w:rPr>
          <w:rFonts w:ascii="Arial" w:cs="Arial" w:eastAsia="Arial" w:hAnsi="Arial"/>
          <w:sz w:val="18"/>
          <w:szCs w:val="18"/>
          <w:b w:val="1"/>
          <w:bCs w:val="1"/>
          <w:color w:val="auto"/>
        </w:rPr>
        <w:t>Boston, MA 02111</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51"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(617) 329-4524</w:t>
      </w:r>
    </w:p>
    <w:p>
      <w:pPr>
        <w:spacing w:after="0" w:line="22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02"/>
        </w:trPr>
        <w:tc>
          <w:tcPr>
            <w:tcW w:w="3740" w:type="dxa"/>
            <w:vAlign w:val="bottom"/>
          </w:tcPr>
          <w:p>
            <w:pPr>
              <w:jc w:val="center"/>
              <w:spacing w:after="0" w:line="201" w:lineRule="exact"/>
              <w:rPr>
                <w:sz w:val="20"/>
                <w:szCs w:val="20"/>
                <w:color w:val="auto"/>
              </w:rPr>
            </w:pPr>
            <w:r>
              <w:rPr>
                <w:rFonts w:ascii="Arial" w:cs="Arial" w:eastAsia="Arial" w:hAnsi="Arial"/>
                <w:sz w:val="18"/>
                <w:szCs w:val="18"/>
                <w:color w:val="auto"/>
                <w:w w:val="90"/>
              </w:rPr>
              <w:t>Voting Common Stock, $0.0001 par value per share</w:t>
            </w:r>
          </w:p>
        </w:tc>
        <w:tc>
          <w:tcPr>
            <w:tcW w:w="120" w:type="dxa"/>
            <w:vAlign w:val="bottom"/>
          </w:tcPr>
          <w:p>
            <w:pPr>
              <w:spacing w:after="0"/>
              <w:rPr>
                <w:sz w:val="17"/>
                <w:szCs w:val="17"/>
                <w:color w:val="auto"/>
              </w:rPr>
            </w:pPr>
          </w:p>
        </w:tc>
        <w:tc>
          <w:tcPr>
            <w:tcW w:w="3520" w:type="dxa"/>
            <w:vAlign w:val="bottom"/>
          </w:tcPr>
          <w:p>
            <w:pPr>
              <w:jc w:val="center"/>
              <w:spacing w:after="0" w:line="201" w:lineRule="exact"/>
              <w:rPr>
                <w:sz w:val="20"/>
                <w:szCs w:val="20"/>
                <w:color w:val="auto"/>
              </w:rPr>
            </w:pPr>
            <w:r>
              <w:rPr>
                <w:rFonts w:ascii="Arial" w:cs="Arial" w:eastAsia="Arial" w:hAnsi="Arial"/>
                <w:sz w:val="18"/>
                <w:szCs w:val="18"/>
                <w:color w:val="auto"/>
                <w:w w:val="99"/>
              </w:rPr>
              <w:t>FLYW</w:t>
            </w:r>
          </w:p>
        </w:tc>
        <w:tc>
          <w:tcPr>
            <w:tcW w:w="100" w:type="dxa"/>
            <w:vAlign w:val="bottom"/>
          </w:tcPr>
          <w:p>
            <w:pPr>
              <w:spacing w:after="0"/>
              <w:rPr>
                <w:sz w:val="17"/>
                <w:szCs w:val="17"/>
                <w:color w:val="auto"/>
              </w:rPr>
            </w:pPr>
          </w:p>
        </w:tc>
        <w:tc>
          <w:tcPr>
            <w:tcW w:w="354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9"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the 2023 annual meeting of stockholders (the “Annual Meeting”) of Flywire Corporation (the “Company”) held on June 6, 2023, the following proposals were submitted to the stockholders of the Company:</w:t>
      </w:r>
    </w:p>
    <w:p>
      <w:pPr>
        <w:spacing w:after="0" w:line="197" w:lineRule="exact"/>
        <w:rPr>
          <w:sz w:val="20"/>
          <w:szCs w:val="20"/>
          <w:color w:val="auto"/>
        </w:rPr>
      </w:pPr>
    </w:p>
    <w:p>
      <w:pPr>
        <w:ind w:left="980" w:right="640" w:hanging="990"/>
        <w:spacing w:after="0" w:line="277" w:lineRule="auto"/>
        <w:tabs>
          <w:tab w:leader="none" w:pos="960" w:val="left"/>
        </w:tabs>
        <w:rPr>
          <w:sz w:val="20"/>
          <w:szCs w:val="20"/>
          <w:color w:val="auto"/>
        </w:rPr>
      </w:pPr>
      <w:r>
        <w:rPr>
          <w:rFonts w:ascii="Arial" w:cs="Arial" w:eastAsia="Arial" w:hAnsi="Arial"/>
          <w:sz w:val="18"/>
          <w:szCs w:val="18"/>
          <w:color w:val="auto"/>
        </w:rPr>
        <w:t>Proposal 1:</w:t>
        <w:tab/>
        <w:t>The election of two directors to serve as Class II directors until the Company’s 2026 annual meeting of stockholders or until their successors are duly elected and qualified.</w:t>
      </w:r>
    </w:p>
    <w:p>
      <w:pPr>
        <w:spacing w:after="0" w:line="197" w:lineRule="exact"/>
        <w:rPr>
          <w:sz w:val="20"/>
          <w:szCs w:val="20"/>
          <w:color w:val="auto"/>
        </w:rPr>
      </w:pPr>
    </w:p>
    <w:p>
      <w:pPr>
        <w:ind w:left="980" w:right="100" w:hanging="990"/>
        <w:spacing w:after="0" w:line="277" w:lineRule="auto"/>
        <w:tabs>
          <w:tab w:leader="none" w:pos="960" w:val="left"/>
        </w:tabs>
        <w:rPr>
          <w:sz w:val="20"/>
          <w:szCs w:val="20"/>
          <w:color w:val="auto"/>
        </w:rPr>
      </w:pPr>
      <w:r>
        <w:rPr>
          <w:rFonts w:ascii="Arial" w:cs="Arial" w:eastAsia="Arial" w:hAnsi="Arial"/>
          <w:sz w:val="18"/>
          <w:szCs w:val="18"/>
          <w:color w:val="auto"/>
        </w:rPr>
        <w:t>Proposal 2:</w:t>
        <w:tab/>
        <w:t>The ratification of the appointment of PricewaterhouseCoopers LLP as the Company’s independent registered public accounting firm for the fiscal year ending December 31, 2023.</w:t>
      </w:r>
    </w:p>
    <w:p>
      <w:pPr>
        <w:spacing w:after="0" w:line="19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Proposal 3:</w:t>
      </w:r>
      <w:r>
        <w:rPr>
          <w:sz w:val="20"/>
          <w:szCs w:val="20"/>
          <w:color w:val="auto"/>
        </w:rPr>
        <w:tab/>
      </w:r>
      <w:r>
        <w:rPr>
          <w:rFonts w:ascii="Arial" w:cs="Arial" w:eastAsia="Arial" w:hAnsi="Arial"/>
          <w:sz w:val="16"/>
          <w:szCs w:val="16"/>
          <w:color w:val="auto"/>
        </w:rPr>
        <w:t>The approval, on a non-binding, advisory basis, the compensation of the Company’s named executive officers.</w:t>
      </w:r>
    </w:p>
    <w:p>
      <w:pPr>
        <w:spacing w:after="0" w:line="252" w:lineRule="exact"/>
        <w:rPr>
          <w:sz w:val="20"/>
          <w:szCs w:val="20"/>
          <w:color w:val="auto"/>
        </w:rPr>
      </w:pPr>
    </w:p>
    <w:p>
      <w:pPr>
        <w:ind w:left="980" w:right="180" w:hanging="990"/>
        <w:spacing w:after="0" w:line="277" w:lineRule="auto"/>
        <w:tabs>
          <w:tab w:leader="none" w:pos="960" w:val="left"/>
        </w:tabs>
        <w:rPr>
          <w:sz w:val="20"/>
          <w:szCs w:val="20"/>
          <w:color w:val="auto"/>
        </w:rPr>
      </w:pPr>
      <w:r>
        <w:rPr>
          <w:rFonts w:ascii="Arial" w:cs="Arial" w:eastAsia="Arial" w:hAnsi="Arial"/>
          <w:sz w:val="18"/>
          <w:szCs w:val="18"/>
          <w:color w:val="auto"/>
        </w:rPr>
        <w:t>Proposal 4:</w:t>
        <w:tab/>
        <w:t>The selection, on a non-binding, advisory basis, the frequency with which future stockholder advisory votes on the compensation of the Company’s named executive officers will be conducted.</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more information about the foregoing proposals, see the Company’s definitive proxy statement on Schedule 14A filed with the United States Securities and Exchange Commission on April 10, 2023 (the “Proxy Statement”). Of the 108,736,781 shares of the Company’s voting common stock entitled to vote at the Annual Meeting, 87,791,611 shares, or approximately 81%, were represented at the meeting in person or by proxy, constituting a quorum. The number of votes cast for, against or withheld, as well as abstentions and broker non-votes, if applicable, in respect of each such proposal is set forth below:</w:t>
      </w:r>
    </w:p>
    <w:p>
      <w:pPr>
        <w:spacing w:after="0" w:line="3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6"/>
          <w:szCs w:val="16"/>
          <w:color w:val="auto"/>
        </w:rPr>
        <w:t>Election of Directors.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stockholders elected the following directors to serve as Class II directors until the 2026 annual meeting of stockholders or until their successors are duly elected and qualified. The votes regarding the election of the directors were as follows:</w:t>
      </w:r>
    </w:p>
    <w:p>
      <w:pPr>
        <w:spacing w:after="0" w:line="67"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3440" w:type="dxa"/>
            <w:vAlign w:val="bottom"/>
          </w:tcPr>
          <w:p>
            <w:pPr>
              <w:spacing w:after="0"/>
              <w:rPr>
                <w:sz w:val="20"/>
                <w:szCs w:val="20"/>
                <w:color w:val="auto"/>
              </w:rPr>
            </w:pPr>
            <w:r>
              <w:rPr>
                <w:rFonts w:ascii="Arial" w:cs="Arial" w:eastAsia="Arial" w:hAnsi="Arial"/>
                <w:sz w:val="14"/>
                <w:szCs w:val="14"/>
                <w:b w:val="1"/>
                <w:bCs w:val="1"/>
                <w:color w:val="auto"/>
              </w:rPr>
              <w:t>Director</w:t>
            </w:r>
          </w:p>
        </w:tc>
        <w:tc>
          <w:tcPr>
            <w:tcW w:w="2240" w:type="dxa"/>
            <w:vAlign w:val="bottom"/>
          </w:tcPr>
          <w:p>
            <w:pPr>
              <w:spacing w:after="0"/>
              <w:rPr>
                <w:sz w:val="14"/>
                <w:szCs w:val="14"/>
                <w:color w:val="auto"/>
              </w:rPr>
            </w:pPr>
          </w:p>
        </w:tc>
        <w:tc>
          <w:tcPr>
            <w:tcW w:w="800" w:type="dxa"/>
            <w:vAlign w:val="bottom"/>
          </w:tcPr>
          <w:p>
            <w:pPr>
              <w:jc w:val="right"/>
              <w:ind w:right="19"/>
              <w:spacing w:after="0"/>
              <w:rPr>
                <w:sz w:val="20"/>
                <w:szCs w:val="20"/>
                <w:color w:val="auto"/>
              </w:rPr>
            </w:pPr>
            <w:r>
              <w:rPr>
                <w:rFonts w:ascii="Arial" w:cs="Arial" w:eastAsia="Arial" w:hAnsi="Arial"/>
                <w:sz w:val="14"/>
                <w:szCs w:val="14"/>
                <w:b w:val="1"/>
                <w:bCs w:val="1"/>
                <w:color w:val="auto"/>
              </w:rPr>
              <w:t>Votes For</w:t>
            </w:r>
          </w:p>
        </w:tc>
        <w:tc>
          <w:tcPr>
            <w:tcW w:w="3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Votes Withheld</w:t>
            </w:r>
          </w:p>
        </w:tc>
        <w:tc>
          <w:tcPr>
            <w:tcW w:w="148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94"/>
              </w:rPr>
              <w:t>Broker Non-Votes</w:t>
            </w:r>
          </w:p>
        </w:tc>
      </w:tr>
      <w:tr>
        <w:trPr>
          <w:trHeight w:val="195"/>
        </w:trPr>
        <w:tc>
          <w:tcPr>
            <w:tcW w:w="3440" w:type="dxa"/>
            <w:vAlign w:val="bottom"/>
          </w:tcPr>
          <w:p>
            <w:pPr>
              <w:spacing w:after="0" w:line="195" w:lineRule="exact"/>
              <w:rPr>
                <w:sz w:val="20"/>
                <w:szCs w:val="20"/>
                <w:color w:val="auto"/>
              </w:rPr>
            </w:pPr>
            <w:r>
              <w:rPr>
                <w:rFonts w:ascii="Arial" w:cs="Arial" w:eastAsia="Arial" w:hAnsi="Arial"/>
                <w:sz w:val="18"/>
                <w:szCs w:val="18"/>
                <w:color w:val="auto"/>
              </w:rPr>
              <w:t>Alex Finkelstein</w:t>
            </w:r>
          </w:p>
        </w:tc>
        <w:tc>
          <w:tcPr>
            <w:tcW w:w="224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6"/>
              </w:rPr>
              <w:t>53,983,529</w:t>
            </w:r>
          </w:p>
        </w:tc>
        <w:tc>
          <w:tcPr>
            <w:tcW w:w="360" w:type="dxa"/>
            <w:vAlign w:val="bottom"/>
          </w:tcPr>
          <w:p>
            <w:pPr>
              <w:spacing w:after="0"/>
              <w:rPr>
                <w:sz w:val="16"/>
                <w:szCs w:val="16"/>
                <w:color w:val="auto"/>
              </w:rPr>
            </w:pPr>
          </w:p>
        </w:tc>
        <w:tc>
          <w:tcPr>
            <w:tcW w:w="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27,269,754</w:t>
            </w:r>
          </w:p>
        </w:tc>
        <w:tc>
          <w:tcPr>
            <w:tcW w:w="36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6,538,328</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Matthew Harris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62,669,316</w:t>
            </w:r>
          </w:p>
        </w:tc>
        <w:tc>
          <w:tcPr>
            <w:tcW w:w="130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18,583,967</w:t>
            </w:r>
          </w:p>
        </w:tc>
        <w:tc>
          <w:tcPr>
            <w:tcW w:w="1480" w:type="dxa"/>
            <w:vAlign w:val="bottom"/>
            <w:gridSpan w:val="2"/>
          </w:tcPr>
          <w:p>
            <w:pPr>
              <w:jc w:val="center"/>
              <w:ind w:left="279"/>
              <w:spacing w:after="0"/>
              <w:rPr>
                <w:sz w:val="20"/>
                <w:szCs w:val="20"/>
                <w:color w:val="auto"/>
              </w:rPr>
            </w:pPr>
            <w:r>
              <w:rPr>
                <w:rFonts w:ascii="Arial" w:cs="Arial" w:eastAsia="Arial" w:hAnsi="Arial"/>
                <w:sz w:val="18"/>
                <w:szCs w:val="18"/>
                <w:color w:val="auto"/>
                <w:w w:val="89"/>
              </w:rPr>
              <w:t>6,538,328</w:t>
            </w:r>
          </w:p>
        </w:tc>
      </w:tr>
    </w:tbl>
    <w:p>
      <w:pPr>
        <w:spacing w:after="0" w:line="35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6"/>
          <w:szCs w:val="16"/>
          <w:color w:val="auto"/>
        </w:rPr>
        <w:t>Ratification of Appointment of PricewaterhouseCoopers LLP.</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stockholders ratified the appointment of PricewaterhouseCoopers LLP as the Company’s independent registered public accounting firm for the fiscal year ending December 31, 2023. The votes regarding this proposal were as follows:</w:t>
      </w:r>
    </w:p>
    <w:p>
      <w:pPr>
        <w:spacing w:after="0" w:line="189" w:lineRule="exact"/>
        <w:rPr>
          <w:sz w:val="20"/>
          <w:szCs w:val="20"/>
          <w:color w:val="auto"/>
        </w:rPr>
      </w:pPr>
    </w:p>
    <w:tbl>
      <w:tblPr>
        <w:tblLayout w:type="fixed"/>
        <w:tblInd w:w="1100" w:type="dxa"/>
        <w:tblCellMar>
          <w:top w:w="0" w:type="dxa"/>
          <w:left w:w="0" w:type="dxa"/>
          <w:bottom w:w="0" w:type="dxa"/>
          <w:right w:w="0" w:type="dxa"/>
        </w:tblCellMar>
      </w:tblPr>
      <w:tr>
        <w:trPr>
          <w:trHeight w:val="185"/>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Votes For</w:t>
            </w:r>
          </w:p>
        </w:tc>
        <w:tc>
          <w:tcPr>
            <w:tcW w:w="80" w:type="dxa"/>
            <w:vAlign w:val="bottom"/>
          </w:tcPr>
          <w:p>
            <w:pPr>
              <w:spacing w:after="0"/>
              <w:rPr>
                <w:sz w:val="16"/>
                <w:szCs w:val="16"/>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Votes Against</w:t>
            </w:r>
          </w:p>
        </w:tc>
        <w:tc>
          <w:tcPr>
            <w:tcW w:w="100" w:type="dxa"/>
            <w:vAlign w:val="bottom"/>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Votes Abstaining</w:t>
            </w:r>
          </w:p>
        </w:tc>
      </w:tr>
      <w:tr>
        <w:trPr>
          <w:trHeight w:val="224"/>
        </w:trPr>
        <w:tc>
          <w:tcPr>
            <w:tcW w:w="3000" w:type="dxa"/>
            <w:vAlign w:val="bottom"/>
          </w:tcPr>
          <w:p>
            <w:pPr>
              <w:jc w:val="right"/>
              <w:ind w:right="1019"/>
              <w:spacing w:after="0"/>
              <w:rPr>
                <w:sz w:val="20"/>
                <w:szCs w:val="20"/>
                <w:color w:val="auto"/>
              </w:rPr>
            </w:pPr>
            <w:r>
              <w:rPr>
                <w:rFonts w:ascii="Arial" w:cs="Arial" w:eastAsia="Arial" w:hAnsi="Arial"/>
                <w:sz w:val="18"/>
                <w:szCs w:val="18"/>
                <w:color w:val="auto"/>
              </w:rPr>
              <w:t>87,724,558</w:t>
            </w:r>
          </w:p>
        </w:tc>
        <w:tc>
          <w:tcPr>
            <w:tcW w:w="80" w:type="dxa"/>
            <w:vAlign w:val="bottom"/>
          </w:tcPr>
          <w:p>
            <w:pPr>
              <w:spacing w:after="0"/>
              <w:rPr>
                <w:sz w:val="19"/>
                <w:szCs w:val="19"/>
                <w:color w:val="auto"/>
              </w:rPr>
            </w:pPr>
          </w:p>
        </w:tc>
        <w:tc>
          <w:tcPr>
            <w:tcW w:w="2820" w:type="dxa"/>
            <w:vAlign w:val="bottom"/>
          </w:tcPr>
          <w:p>
            <w:pPr>
              <w:jc w:val="right"/>
              <w:ind w:right="1079"/>
              <w:spacing w:after="0"/>
              <w:rPr>
                <w:sz w:val="20"/>
                <w:szCs w:val="20"/>
                <w:color w:val="auto"/>
              </w:rPr>
            </w:pPr>
            <w:r>
              <w:rPr>
                <w:rFonts w:ascii="Arial" w:cs="Arial" w:eastAsia="Arial" w:hAnsi="Arial"/>
                <w:sz w:val="18"/>
                <w:szCs w:val="18"/>
                <w:color w:val="auto"/>
              </w:rPr>
              <w:t>20,623</w:t>
            </w:r>
          </w:p>
        </w:tc>
        <w:tc>
          <w:tcPr>
            <w:tcW w:w="100" w:type="dxa"/>
            <w:vAlign w:val="bottom"/>
          </w:tcPr>
          <w:p>
            <w:pPr>
              <w:spacing w:after="0"/>
              <w:rPr>
                <w:sz w:val="19"/>
                <w:szCs w:val="19"/>
                <w:color w:val="auto"/>
              </w:rPr>
            </w:pPr>
          </w:p>
        </w:tc>
        <w:tc>
          <w:tcPr>
            <w:tcW w:w="2800" w:type="dxa"/>
            <w:vAlign w:val="bottom"/>
          </w:tcPr>
          <w:p>
            <w:pPr>
              <w:jc w:val="right"/>
              <w:ind w:right="1079"/>
              <w:spacing w:after="0"/>
              <w:rPr>
                <w:sz w:val="20"/>
                <w:szCs w:val="20"/>
                <w:color w:val="auto"/>
              </w:rPr>
            </w:pPr>
            <w:r>
              <w:rPr>
                <w:rFonts w:ascii="Arial" w:cs="Arial" w:eastAsia="Arial" w:hAnsi="Arial"/>
                <w:sz w:val="18"/>
                <w:szCs w:val="18"/>
                <w:color w:val="auto"/>
              </w:rPr>
              <w:t>46,430</w:t>
            </w:r>
          </w:p>
        </w:tc>
      </w:tr>
    </w:tbl>
    <w:p>
      <w:pPr>
        <w:sectPr>
          <w:pgSz w:w="11900" w:h="16838" w:orient="portrait"/>
          <w:cols w:equalWidth="0" w:num="1">
            <w:col w:w="10940"/>
          </w:cols>
          <w:pgMar w:left="440" w:top="513" w:right="519" w:bottom="1440" w:gutter="0" w:footer="0" w:header="0"/>
        </w:sectPr>
      </w:pPr>
    </w:p>
    <w:bookmarkStart w:id="2" w:name="page3"/>
    <w:bookmarkEnd w:id="2"/>
    <w:p>
      <w:pPr>
        <w:ind w:left="4"/>
        <w:spacing w:after="0"/>
        <w:tabs>
          <w:tab w:leader="none" w:pos="9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Proposal 3:</w:t>
      </w:r>
      <w:r>
        <w:rPr>
          <w:sz w:val="20"/>
          <w:szCs w:val="20"/>
          <w:color w:val="auto"/>
        </w:rPr>
        <w:tab/>
      </w:r>
      <w:r>
        <w:rPr>
          <w:rFonts w:ascii="Arial" w:cs="Arial" w:eastAsia="Arial" w:hAnsi="Arial"/>
          <w:sz w:val="16"/>
          <w:szCs w:val="16"/>
          <w:color w:val="auto"/>
        </w:rPr>
        <w:t>Advisory Vote on Executive Compensation.</w:t>
      </w:r>
    </w:p>
    <w:p>
      <w:pPr>
        <w:spacing w:after="0" w:line="117"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The Company’s stockholders approved, on a non-binding, advisory basis, the compensation of the Company’s named executive officers as described in the Proxy Statement. The votes regarding this proposal were as follows:</w:t>
      </w:r>
    </w:p>
    <w:p>
      <w:pPr>
        <w:spacing w:after="0" w:line="189" w:lineRule="exact"/>
        <w:rPr>
          <w:sz w:val="20"/>
          <w:szCs w:val="20"/>
          <w:color w:val="auto"/>
        </w:rPr>
      </w:pPr>
    </w:p>
    <w:tbl>
      <w:tblPr>
        <w:tblLayout w:type="fixed"/>
        <w:tblInd w:w="884" w:type="dxa"/>
        <w:tblCellMar>
          <w:top w:w="0" w:type="dxa"/>
          <w:left w:w="0" w:type="dxa"/>
          <w:bottom w:w="0" w:type="dxa"/>
          <w:right w:w="0" w:type="dxa"/>
        </w:tblCellMar>
      </w:tblPr>
      <w:tr>
        <w:trPr>
          <w:trHeight w:val="185"/>
        </w:trPr>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Votes For</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Votes Against</w:t>
            </w:r>
          </w:p>
        </w:tc>
        <w:tc>
          <w:tcPr>
            <w:tcW w:w="10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Votes Abstaining</w:t>
            </w:r>
          </w:p>
        </w:tc>
        <w:tc>
          <w:tcPr>
            <w:tcW w:w="8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24"/>
        </w:trPr>
        <w:tc>
          <w:tcPr>
            <w:tcW w:w="2220" w:type="dxa"/>
            <w:vAlign w:val="bottom"/>
          </w:tcPr>
          <w:p>
            <w:pPr>
              <w:jc w:val="right"/>
              <w:ind w:right="619"/>
              <w:spacing w:after="0"/>
              <w:rPr>
                <w:sz w:val="20"/>
                <w:szCs w:val="20"/>
                <w:color w:val="auto"/>
              </w:rPr>
            </w:pPr>
            <w:r>
              <w:rPr>
                <w:rFonts w:ascii="Arial" w:cs="Arial" w:eastAsia="Arial" w:hAnsi="Arial"/>
                <w:sz w:val="18"/>
                <w:szCs w:val="18"/>
                <w:color w:val="auto"/>
              </w:rPr>
              <w:t>77,968,741</w:t>
            </w:r>
          </w:p>
        </w:tc>
        <w:tc>
          <w:tcPr>
            <w:tcW w:w="100" w:type="dxa"/>
            <w:vAlign w:val="bottom"/>
          </w:tcPr>
          <w:p>
            <w:pPr>
              <w:spacing w:after="0"/>
              <w:rPr>
                <w:sz w:val="19"/>
                <w:szCs w:val="19"/>
                <w:color w:val="auto"/>
              </w:rPr>
            </w:pPr>
          </w:p>
        </w:tc>
        <w:tc>
          <w:tcPr>
            <w:tcW w:w="2200" w:type="dxa"/>
            <w:vAlign w:val="bottom"/>
          </w:tcPr>
          <w:p>
            <w:pPr>
              <w:jc w:val="right"/>
              <w:ind w:right="659"/>
              <w:spacing w:after="0"/>
              <w:rPr>
                <w:sz w:val="20"/>
                <w:szCs w:val="20"/>
                <w:color w:val="auto"/>
              </w:rPr>
            </w:pPr>
            <w:r>
              <w:rPr>
                <w:rFonts w:ascii="Arial" w:cs="Arial" w:eastAsia="Arial" w:hAnsi="Arial"/>
                <w:sz w:val="18"/>
                <w:szCs w:val="18"/>
                <w:color w:val="auto"/>
              </w:rPr>
              <w:t>3,229,891</w:t>
            </w:r>
          </w:p>
        </w:tc>
        <w:tc>
          <w:tcPr>
            <w:tcW w:w="100" w:type="dxa"/>
            <w:vAlign w:val="bottom"/>
          </w:tcPr>
          <w:p>
            <w:pPr>
              <w:spacing w:after="0"/>
              <w:rPr>
                <w:sz w:val="19"/>
                <w:szCs w:val="19"/>
                <w:color w:val="auto"/>
              </w:rPr>
            </w:pPr>
          </w:p>
        </w:tc>
        <w:tc>
          <w:tcPr>
            <w:tcW w:w="2320" w:type="dxa"/>
            <w:vAlign w:val="bottom"/>
          </w:tcPr>
          <w:p>
            <w:pPr>
              <w:jc w:val="right"/>
              <w:ind w:right="839"/>
              <w:spacing w:after="0"/>
              <w:rPr>
                <w:sz w:val="20"/>
                <w:szCs w:val="20"/>
                <w:color w:val="auto"/>
              </w:rPr>
            </w:pPr>
            <w:r>
              <w:rPr>
                <w:rFonts w:ascii="Arial" w:cs="Arial" w:eastAsia="Arial" w:hAnsi="Arial"/>
                <w:sz w:val="18"/>
                <w:szCs w:val="18"/>
                <w:color w:val="auto"/>
              </w:rPr>
              <w:t>54,651</w:t>
            </w:r>
          </w:p>
        </w:tc>
        <w:tc>
          <w:tcPr>
            <w:tcW w:w="80" w:type="dxa"/>
            <w:vAlign w:val="bottom"/>
          </w:tcPr>
          <w:p>
            <w:pPr>
              <w:spacing w:after="0"/>
              <w:rPr>
                <w:sz w:val="19"/>
                <w:szCs w:val="19"/>
                <w:color w:val="auto"/>
              </w:rPr>
            </w:pPr>
          </w:p>
        </w:tc>
        <w:tc>
          <w:tcPr>
            <w:tcW w:w="2240" w:type="dxa"/>
            <w:vAlign w:val="bottom"/>
          </w:tcPr>
          <w:p>
            <w:pPr>
              <w:jc w:val="right"/>
              <w:ind w:right="679"/>
              <w:spacing w:after="0"/>
              <w:rPr>
                <w:sz w:val="20"/>
                <w:szCs w:val="20"/>
                <w:color w:val="auto"/>
              </w:rPr>
            </w:pPr>
            <w:r>
              <w:rPr>
                <w:rFonts w:ascii="Arial" w:cs="Arial" w:eastAsia="Arial" w:hAnsi="Arial"/>
                <w:sz w:val="18"/>
                <w:szCs w:val="18"/>
                <w:color w:val="auto"/>
              </w:rPr>
              <w:t>6,538,328</w:t>
            </w:r>
          </w:p>
        </w:tc>
      </w:tr>
    </w:tbl>
    <w:p>
      <w:pPr>
        <w:spacing w:after="0" w:line="336"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color w:val="auto"/>
        </w:rPr>
        <w:t>Proposal 4:</w:t>
      </w:r>
      <w:r>
        <w:rPr>
          <w:sz w:val="20"/>
          <w:szCs w:val="20"/>
          <w:color w:val="auto"/>
        </w:rPr>
        <w:tab/>
      </w:r>
      <w:r>
        <w:rPr>
          <w:rFonts w:ascii="Arial" w:cs="Arial" w:eastAsia="Arial" w:hAnsi="Arial"/>
          <w:sz w:val="16"/>
          <w:szCs w:val="16"/>
          <w:color w:val="auto"/>
        </w:rPr>
        <w:t>Advisory Vote on Frequency of Advisory Vote on Executive Compensation.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Company’s stockholders approved, on a non-binding, advisory basis, the frequency of 1 year for future advisory votes on the compensation of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Company’s named executive officers. The votes regarding this proposal were as follows:</w:t>
      </w:r>
    </w:p>
    <w:p>
      <w:pPr>
        <w:spacing w:after="0" w:line="229" w:lineRule="exact"/>
        <w:rPr>
          <w:sz w:val="20"/>
          <w:szCs w:val="20"/>
          <w:color w:val="auto"/>
        </w:rPr>
      </w:pPr>
    </w:p>
    <w:tbl>
      <w:tblPr>
        <w:tblLayout w:type="fixed"/>
        <w:tblInd w:w="884" w:type="dxa"/>
        <w:tblCellMar>
          <w:top w:w="0" w:type="dxa"/>
          <w:left w:w="0" w:type="dxa"/>
          <w:bottom w:w="0" w:type="dxa"/>
          <w:right w:w="0" w:type="dxa"/>
        </w:tblCellMar>
      </w:tblPr>
      <w:tr>
        <w:trPr>
          <w:trHeight w:val="192"/>
        </w:trPr>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1 Year</w:t>
            </w: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2 Years</w:t>
            </w:r>
          </w:p>
        </w:tc>
        <w:tc>
          <w:tcPr>
            <w:tcW w:w="10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3 Years</w:t>
            </w:r>
          </w:p>
        </w:tc>
        <w:tc>
          <w:tcPr>
            <w:tcW w:w="10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Votes Abstaining</w:t>
            </w: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30"/>
        </w:trPr>
        <w:tc>
          <w:tcPr>
            <w:tcW w:w="1660" w:type="dxa"/>
            <w:vAlign w:val="bottom"/>
          </w:tcPr>
          <w:p>
            <w:pPr>
              <w:jc w:val="right"/>
              <w:ind w:right="339"/>
              <w:spacing w:after="0"/>
              <w:rPr>
                <w:sz w:val="20"/>
                <w:szCs w:val="20"/>
                <w:color w:val="auto"/>
              </w:rPr>
            </w:pPr>
            <w:r>
              <w:rPr>
                <w:rFonts w:ascii="Arial" w:cs="Arial" w:eastAsia="Arial" w:hAnsi="Arial"/>
                <w:sz w:val="18"/>
                <w:szCs w:val="18"/>
                <w:color w:val="auto"/>
              </w:rPr>
              <w:t>79,288,296</w:t>
            </w:r>
          </w:p>
        </w:tc>
        <w:tc>
          <w:tcPr>
            <w:tcW w:w="100" w:type="dxa"/>
            <w:vAlign w:val="bottom"/>
          </w:tcPr>
          <w:p>
            <w:pPr>
              <w:spacing w:after="0"/>
              <w:rPr>
                <w:sz w:val="20"/>
                <w:szCs w:val="20"/>
                <w:color w:val="auto"/>
              </w:rPr>
            </w:pPr>
          </w:p>
        </w:tc>
        <w:tc>
          <w:tcPr>
            <w:tcW w:w="1760" w:type="dxa"/>
            <w:vAlign w:val="bottom"/>
          </w:tcPr>
          <w:p>
            <w:pPr>
              <w:jc w:val="right"/>
              <w:ind w:right="519"/>
              <w:spacing w:after="0"/>
              <w:rPr>
                <w:sz w:val="20"/>
                <w:szCs w:val="20"/>
                <w:color w:val="auto"/>
              </w:rPr>
            </w:pPr>
            <w:r>
              <w:rPr>
                <w:rFonts w:ascii="Arial" w:cs="Arial" w:eastAsia="Arial" w:hAnsi="Arial"/>
                <w:sz w:val="18"/>
                <w:szCs w:val="18"/>
                <w:color w:val="auto"/>
              </w:rPr>
              <w:t>129,770</w:t>
            </w:r>
          </w:p>
        </w:tc>
        <w:tc>
          <w:tcPr>
            <w:tcW w:w="100" w:type="dxa"/>
            <w:vAlign w:val="bottom"/>
          </w:tcPr>
          <w:p>
            <w:pPr>
              <w:spacing w:after="0"/>
              <w:rPr>
                <w:sz w:val="20"/>
                <w:szCs w:val="20"/>
                <w:color w:val="auto"/>
              </w:rPr>
            </w:pPr>
          </w:p>
        </w:tc>
        <w:tc>
          <w:tcPr>
            <w:tcW w:w="1840" w:type="dxa"/>
            <w:vAlign w:val="bottom"/>
          </w:tcPr>
          <w:p>
            <w:pPr>
              <w:jc w:val="right"/>
              <w:ind w:right="479"/>
              <w:spacing w:after="0"/>
              <w:rPr>
                <w:sz w:val="20"/>
                <w:szCs w:val="20"/>
                <w:color w:val="auto"/>
              </w:rPr>
            </w:pPr>
            <w:r>
              <w:rPr>
                <w:rFonts w:ascii="Arial" w:cs="Arial" w:eastAsia="Arial" w:hAnsi="Arial"/>
                <w:sz w:val="18"/>
                <w:szCs w:val="18"/>
                <w:color w:val="auto"/>
              </w:rPr>
              <w:t>1,788,612</w:t>
            </w:r>
          </w:p>
        </w:tc>
        <w:tc>
          <w:tcPr>
            <w:tcW w:w="100" w:type="dxa"/>
            <w:vAlign w:val="bottom"/>
          </w:tcPr>
          <w:p>
            <w:pPr>
              <w:spacing w:after="0"/>
              <w:rPr>
                <w:sz w:val="20"/>
                <w:szCs w:val="20"/>
                <w:color w:val="auto"/>
              </w:rPr>
            </w:pPr>
          </w:p>
        </w:tc>
        <w:tc>
          <w:tcPr>
            <w:tcW w:w="1840" w:type="dxa"/>
            <w:vAlign w:val="bottom"/>
          </w:tcPr>
          <w:p>
            <w:pPr>
              <w:jc w:val="right"/>
              <w:ind w:right="599"/>
              <w:spacing w:after="0"/>
              <w:rPr>
                <w:sz w:val="20"/>
                <w:szCs w:val="20"/>
                <w:color w:val="auto"/>
              </w:rPr>
            </w:pPr>
            <w:r>
              <w:rPr>
                <w:rFonts w:ascii="Arial" w:cs="Arial" w:eastAsia="Arial" w:hAnsi="Arial"/>
                <w:sz w:val="18"/>
                <w:szCs w:val="18"/>
                <w:color w:val="auto"/>
              </w:rPr>
              <w:t>46,605</w:t>
            </w:r>
          </w:p>
        </w:tc>
        <w:tc>
          <w:tcPr>
            <w:tcW w:w="100" w:type="dxa"/>
            <w:vAlign w:val="bottom"/>
          </w:tcPr>
          <w:p>
            <w:pPr>
              <w:spacing w:after="0"/>
              <w:rPr>
                <w:sz w:val="20"/>
                <w:szCs w:val="20"/>
                <w:color w:val="auto"/>
              </w:rPr>
            </w:pPr>
          </w:p>
        </w:tc>
        <w:tc>
          <w:tcPr>
            <w:tcW w:w="1760" w:type="dxa"/>
            <w:vAlign w:val="bottom"/>
          </w:tcPr>
          <w:p>
            <w:pPr>
              <w:jc w:val="right"/>
              <w:ind w:right="439"/>
              <w:spacing w:after="0"/>
              <w:rPr>
                <w:sz w:val="20"/>
                <w:szCs w:val="20"/>
                <w:color w:val="auto"/>
              </w:rPr>
            </w:pPr>
            <w:r>
              <w:rPr>
                <w:rFonts w:ascii="Arial" w:cs="Arial" w:eastAsia="Arial" w:hAnsi="Arial"/>
                <w:sz w:val="18"/>
                <w:szCs w:val="18"/>
                <w:color w:val="auto"/>
              </w:rPr>
              <w:t>6,538,328</w:t>
            </w:r>
          </w:p>
        </w:tc>
      </w:tr>
    </w:tbl>
    <w:p>
      <w:pPr>
        <w:spacing w:after="0" w:line="187" w:lineRule="exact"/>
        <w:rPr>
          <w:sz w:val="20"/>
          <w:szCs w:val="20"/>
          <w:color w:val="auto"/>
        </w:rPr>
      </w:pPr>
    </w:p>
    <w:p>
      <w:pPr>
        <w:ind w:left="4" w:hanging="4"/>
        <w:spacing w:after="0" w:line="286" w:lineRule="auto"/>
        <w:tabs>
          <w:tab w:leader="none" w:pos="259"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accordance with the voting results for this proposal, the Company’s Board of Directors has determined that the Company will hold future stockholder advisory votes on the compensation of the Company’s named executive officers annually until the next required stockholder advisory votes on the frequency of stockholder advisory votes on the compensation of the Company’s named executive officers.</w:t>
      </w:r>
    </w:p>
    <w:p>
      <w:pPr>
        <w:sectPr>
          <w:pgSz w:w="11900" w:h="16838" w:orient="portrait"/>
          <w:cols w:equalWidth="0" w:num="1">
            <w:col w:w="10924"/>
          </w:cols>
          <w:pgMar w:left="436" w:top="517" w:right="539" w:bottom="1440" w:gutter="0" w:footer="0" w:header="0"/>
        </w:sectPr>
      </w:pPr>
    </w:p>
    <w:bookmarkStart w:id="3" w:name="page4"/>
    <w:bookmarkEnd w:id="3"/>
    <w:p>
      <w:pPr>
        <w:ind w:left="5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FLYWIRE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Ellis</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Michael Ellis</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June 9, 2023</w:t>
      </w:r>
    </w:p>
    <w:sectPr>
      <w:pgSz w:w="11900" w:h="16838" w:orient="portrait"/>
      <w:cols w:equalWidth="0" w:num="1">
        <w:col w:w="10260"/>
      </w:cols>
      <w:pgMar w:left="440" w:top="51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2023-06-09T15:25:33Z</dcterms:created>
  <dcterms:modified xsi:type="dcterms:W3CDTF">2023-06-09T15:25:33Z</dcterms:modified>
</cp:coreProperties>
</file>