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37"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186690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5" w:lineRule="exact"/>
        <w:rPr>
          <w:sz w:val="24"/>
          <w:szCs w:val="24"/>
          <w:color w:val="auto"/>
        </w:rPr>
      </w:pPr>
    </w:p>
    <w:p>
      <w:pPr>
        <w:jc w:val="center"/>
        <w:ind w:right="16"/>
        <w:spacing w:after="0"/>
        <w:rPr>
          <w:sz w:val="20"/>
          <w:szCs w:val="20"/>
          <w:color w:val="auto"/>
        </w:rPr>
      </w:pPr>
      <w:r>
        <w:rPr>
          <w:rFonts w:ascii="Arial" w:cs="Arial" w:eastAsia="Arial" w:hAnsi="Arial"/>
          <w:sz w:val="19"/>
          <w:szCs w:val="19"/>
          <w:b w:val="1"/>
          <w:bCs w:val="1"/>
          <w:color w:val="auto"/>
        </w:rPr>
        <w:t>Date of Report (Date of earliest event reported): August 11, 2023 (August 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195580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94"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FLYWIRE CORPORATION</w:t>
      </w:r>
    </w:p>
    <w:p>
      <w:pPr>
        <w:spacing w:after="0" w:line="50"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001-40430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27-0690799</w:t>
      </w:r>
    </w:p>
    <w:p>
      <w:pPr>
        <w:spacing w:after="0" w:line="31" w:lineRule="exact"/>
        <w:rPr>
          <w:sz w:val="24"/>
          <w:szCs w:val="24"/>
          <w:color w:val="auto"/>
        </w:rPr>
      </w:pPr>
    </w:p>
    <w:p>
      <w:pPr>
        <w:sectPr>
          <w:pgSz w:w="11900" w:h="16838" w:orient="portrait"/>
          <w:cols w:equalWidth="0" w:num="3">
            <w:col w:w="4504" w:space="720"/>
            <w:col w:w="2880" w:space="720"/>
            <w:col w:w="2200"/>
          </w:cols>
          <w:pgMar w:left="436" w:top="382" w:right="439" w:bottom="1440" w:gutter="0" w:footer="0" w:header="0"/>
          <w:type w:val="continuous"/>
        </w:sectPr>
      </w:pPr>
    </w:p>
    <w:p>
      <w:pPr>
        <w:spacing w:after="0" w:line="19" w:lineRule="exact"/>
        <w:rPr>
          <w:sz w:val="24"/>
          <w:szCs w:val="24"/>
          <w:color w:val="auto"/>
        </w:rPr>
      </w:pPr>
    </w:p>
    <w:p>
      <w:pPr>
        <w:jc w:val="center"/>
        <w:ind w:right="756"/>
        <w:spacing w:after="0"/>
        <w:rPr>
          <w:sz w:val="20"/>
          <w:szCs w:val="20"/>
          <w:color w:val="auto"/>
        </w:rPr>
      </w:pPr>
      <w:r>
        <w:rPr>
          <w:rFonts w:ascii="Arial" w:cs="Arial" w:eastAsia="Arial" w:hAnsi="Arial"/>
          <w:sz w:val="12"/>
          <w:szCs w:val="12"/>
          <w:b w:val="1"/>
          <w:bCs w:val="1"/>
          <w:color w:val="auto"/>
        </w:rPr>
        <w:t>(State or other jurisdiction</w:t>
      </w:r>
    </w:p>
    <w:p>
      <w:pPr>
        <w:spacing w:after="0" w:line="4" w:lineRule="exact"/>
        <w:rPr>
          <w:sz w:val="24"/>
          <w:szCs w:val="24"/>
          <w:color w:val="auto"/>
        </w:rPr>
      </w:pP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94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jc w:val="center"/>
        <w:ind w:right="1940"/>
        <w:spacing w:after="0"/>
        <w:rPr>
          <w:sz w:val="20"/>
          <w:szCs w:val="20"/>
          <w:color w:val="auto"/>
        </w:rPr>
      </w:pPr>
      <w:r>
        <w:rPr>
          <w:rFonts w:ascii="Arial" w:cs="Arial" w:eastAsia="Arial" w:hAnsi="Arial"/>
          <w:sz w:val="14"/>
          <w:szCs w:val="14"/>
          <w:b w:val="1"/>
          <w:bCs w:val="1"/>
          <w:color w:val="auto"/>
        </w:rPr>
        <w:t>File No.)</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49" w:lineRule="exact"/>
        <w:rPr>
          <w:sz w:val="24"/>
          <w:szCs w:val="24"/>
          <w:color w:val="auto"/>
        </w:rPr>
      </w:pPr>
    </w:p>
    <w:p>
      <w:pPr>
        <w:sectPr>
          <w:pgSz w:w="11900" w:h="16838" w:orient="portrait"/>
          <w:cols w:equalWidth="0" w:num="3">
            <w:col w:w="4504" w:space="720"/>
            <w:col w:w="2740" w:space="720"/>
            <w:col w:w="2340"/>
          </w:cols>
          <w:pgMar w:left="436" w:top="382" w:right="439" w:bottom="1440" w:gutter="0" w:footer="0" w:header="0"/>
          <w:type w:val="continuous"/>
        </w:sectPr>
      </w:pPr>
    </w:p>
    <w:p>
      <w:pPr>
        <w:ind w:left="4764"/>
        <w:spacing w:after="0"/>
        <w:rPr>
          <w:sz w:val="20"/>
          <w:szCs w:val="20"/>
          <w:color w:val="auto"/>
        </w:rPr>
      </w:pPr>
      <w:r>
        <w:rPr>
          <w:rFonts w:ascii="Arial" w:cs="Arial" w:eastAsia="Arial" w:hAnsi="Arial"/>
          <w:sz w:val="18"/>
          <w:szCs w:val="18"/>
          <w:b w:val="1"/>
          <w:bCs w:val="1"/>
          <w:color w:val="auto"/>
        </w:rPr>
        <w:t>141 Tremont St #10</w:t>
      </w:r>
    </w:p>
    <w:p>
      <w:pPr>
        <w:spacing w:after="0" w:line="27" w:lineRule="exact"/>
        <w:rPr>
          <w:sz w:val="24"/>
          <w:szCs w:val="24"/>
          <w:color w:val="auto"/>
        </w:rPr>
      </w:pPr>
    </w:p>
    <w:p>
      <w:pPr>
        <w:ind w:left="4824"/>
        <w:spacing w:after="0"/>
        <w:rPr>
          <w:sz w:val="20"/>
          <w:szCs w:val="20"/>
          <w:color w:val="auto"/>
        </w:rPr>
      </w:pPr>
      <w:r>
        <w:rPr>
          <w:rFonts w:ascii="Arial" w:cs="Arial" w:eastAsia="Arial" w:hAnsi="Arial"/>
          <w:sz w:val="18"/>
          <w:szCs w:val="18"/>
          <w:b w:val="1"/>
          <w:bCs w:val="1"/>
          <w:color w:val="auto"/>
        </w:rPr>
        <w:t>Boston, MA 02111</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124" w:lineRule="exact"/>
        <w:rPr>
          <w:sz w:val="24"/>
          <w:szCs w:val="24"/>
          <w:color w:val="auto"/>
        </w:rPr>
      </w:pPr>
    </w:p>
    <w:p>
      <w:pPr>
        <w:jc w:val="center"/>
        <w:ind w:right="16"/>
        <w:spacing w:after="0"/>
        <w:rPr>
          <w:sz w:val="20"/>
          <w:szCs w:val="20"/>
          <w:color w:val="auto"/>
        </w:rPr>
      </w:pPr>
      <w:r>
        <w:rPr>
          <w:rFonts w:ascii="Arial" w:cs="Arial" w:eastAsia="Arial" w:hAnsi="Arial"/>
          <w:sz w:val="16"/>
          <w:szCs w:val="16"/>
          <w:b w:val="1"/>
          <w:bCs w:val="1"/>
          <w:color w:val="auto"/>
        </w:rPr>
        <w:t>Registrant’s telephone number, including area code: (617) 329-4524</w:t>
      </w:r>
    </w:p>
    <w:p>
      <w:pPr>
        <w:spacing w:after="0" w:line="181"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p>
      <w:pPr>
        <w:spacing w:after="0" w:line="385"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5"/>
        </w:trPr>
        <w:tc>
          <w:tcPr>
            <w:tcW w:w="3740" w:type="dxa"/>
            <w:vAlign w:val="bottom"/>
          </w:tcPr>
          <w:p>
            <w:pPr>
              <w:jc w:val="center"/>
              <w:spacing w:after="0" w:line="195" w:lineRule="exact"/>
              <w:rPr>
                <w:sz w:val="20"/>
                <w:szCs w:val="20"/>
                <w:color w:val="auto"/>
              </w:rPr>
            </w:pPr>
            <w:r>
              <w:rPr>
                <w:rFonts w:ascii="Arial" w:cs="Arial" w:eastAsia="Arial" w:hAnsi="Arial"/>
                <w:sz w:val="18"/>
                <w:szCs w:val="18"/>
                <w:color w:val="auto"/>
                <w:w w:val="90"/>
              </w:rPr>
              <w:t>Voting Common Stock, $0.0001 par value per share</w:t>
            </w:r>
          </w:p>
        </w:tc>
        <w:tc>
          <w:tcPr>
            <w:tcW w:w="120" w:type="dxa"/>
            <w:vAlign w:val="bottom"/>
          </w:tcPr>
          <w:p>
            <w:pPr>
              <w:spacing w:after="0"/>
              <w:rPr>
                <w:sz w:val="16"/>
                <w:szCs w:val="16"/>
                <w:color w:val="auto"/>
              </w:rPr>
            </w:pPr>
          </w:p>
        </w:tc>
        <w:tc>
          <w:tcPr>
            <w:tcW w:w="3520" w:type="dxa"/>
            <w:vAlign w:val="bottom"/>
          </w:tcPr>
          <w:p>
            <w:pPr>
              <w:jc w:val="center"/>
              <w:spacing w:after="0" w:line="195" w:lineRule="exact"/>
              <w:rPr>
                <w:sz w:val="20"/>
                <w:szCs w:val="20"/>
                <w:color w:val="auto"/>
              </w:rPr>
            </w:pPr>
            <w:r>
              <w:rPr>
                <w:rFonts w:ascii="Arial" w:cs="Arial" w:eastAsia="Arial" w:hAnsi="Arial"/>
                <w:sz w:val="18"/>
                <w:szCs w:val="18"/>
                <w:color w:val="auto"/>
                <w:w w:val="99"/>
              </w:rPr>
              <w:t>FLYW</w:t>
            </w:r>
          </w:p>
        </w:tc>
        <w:tc>
          <w:tcPr>
            <w:tcW w:w="100" w:type="dxa"/>
            <w:vAlign w:val="bottom"/>
          </w:tcPr>
          <w:p>
            <w:pPr>
              <w:spacing w:after="0"/>
              <w:rPr>
                <w:sz w:val="16"/>
                <w:szCs w:val="16"/>
                <w:color w:val="auto"/>
              </w:rPr>
            </w:pPr>
          </w:p>
        </w:tc>
        <w:tc>
          <w:tcPr>
            <w:tcW w:w="3540" w:type="dxa"/>
            <w:vAlign w:val="bottom"/>
          </w:tcPr>
          <w:p>
            <w:pPr>
              <w:jc w:val="center"/>
              <w:spacing w:after="0" w:line="195" w:lineRule="exact"/>
              <w:rPr>
                <w:sz w:val="20"/>
                <w:szCs w:val="20"/>
                <w:color w:val="auto"/>
              </w:rPr>
            </w:pPr>
            <w:r>
              <w:rPr>
                <w:rFonts w:ascii="Arial" w:cs="Arial" w:eastAsia="Arial" w:hAnsi="Arial"/>
                <w:sz w:val="18"/>
                <w:szCs w:val="18"/>
                <w:color w:val="auto"/>
                <w:w w:val="91"/>
              </w:rPr>
              <w:t>The Nasdaq Stock Market LLC</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1"/>
              </w:rPr>
              <w:t>(Nasdaq Global Select Market)</w:t>
            </w:r>
          </w:p>
        </w:tc>
        <w:tc>
          <w:tcPr>
            <w:tcW w:w="0" w:type="dxa"/>
            <w:vAlign w:val="bottom"/>
          </w:tcPr>
          <w:p>
            <w:pPr>
              <w:spacing w:after="0"/>
              <w:rPr>
                <w:sz w:val="1"/>
                <w:szCs w:val="1"/>
                <w:color w:val="auto"/>
              </w:rPr>
            </w:pPr>
          </w:p>
        </w:tc>
      </w:tr>
    </w:tbl>
    <w:p>
      <w:pPr>
        <w:spacing w:after="0" w:line="188" w:lineRule="exact"/>
        <w:rPr>
          <w:sz w:val="24"/>
          <w:szCs w:val="24"/>
          <w:color w:val="auto"/>
        </w:rPr>
      </w:pPr>
    </w:p>
    <w:p>
      <w:pPr>
        <w:ind w:left="4"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5"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29"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August 9, 2023, Flywire Corporation (the “Company”) entered into an underwriting agreement (the “Underwriting Agreement”) with Goldman Sachs &amp; Co. LLC, as representative (the “Representative”) of the several underwriters named in Schedule I thereto (the “Underwriters”), in connection with the offer and sale by the Company of 8,000,000 shares of voting common stock of the Company, par value $0.0001 per share (“Common Stock”), at a price to the public of $32.00 per share (the “Offering”).</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terms of the Underwriting Agreement, the Company granted the Underwriters an option to purchase up to 1,200,000 additional shares of Common Stock, which expires on September 8, 2023.</w:t>
      </w:r>
    </w:p>
    <w:p>
      <w:pPr>
        <w:spacing w:after="0" w:line="17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Company expects to receive net proceeds from the Offering of approximately $244.7 million, or approximately $281.6 million if the Underwriters exercise in full their option to purchase additional shares, after deducting underwriting discounts and commissions and other estimated transaction expenses.</w:t>
      </w:r>
    </w:p>
    <w:p>
      <w:pPr>
        <w:spacing w:after="0" w:line="184"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The shares are being offered and sold by means of an effective registration statement on Form S-3ASR, including a preliminary prospectus, filed with the U.S. Securities and Exchange Commission on August 9, 2023 (File No. 333-273835) and a final prospectus dated August 9, 2023. The Offering is expected to close on August 14, 2023, subject to the satisfaction of customary closing conditions.</w:t>
      </w:r>
    </w:p>
    <w:p>
      <w:pPr>
        <w:spacing w:after="0" w:line="1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Underwriting Agreement contains customary representations, warranties and agreements by the Company. Under the terms of the Underwriting Agreement, the Company has agreed to indemnify the Underwriters against certain liabilities. The representations, warranties and covenants contained in the Underwriting Agreement were made only for purposes of such agreement and as of specific dates and were solely for the benefit of the parties to such agreement. The foregoing description of the Underwriting Agreement does not purport to be complete and is qualified in its entirety by reference to the full text of the Underwriting Agreement. A copy of the Underwriting Agreement is attached as Exhibit 1.1 hereto and is incorporated by reference herein.</w:t>
      </w:r>
    </w:p>
    <w:p>
      <w:pPr>
        <w:spacing w:after="0" w:line="19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legal opinion, including the related consent, of Gunderson Dettmer Stough Villeneuve Franklin &amp; Hachigian, LLP relating to the validity of the shares of the Common Stock in the Offering is filed as Exhibit 5.1 hereto.</w:t>
      </w:r>
    </w:p>
    <w:p>
      <w:pPr>
        <w:spacing w:after="0" w:line="31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440" w:firstLine="440"/>
        <w:spacing w:after="0" w:line="263" w:lineRule="auto"/>
        <w:rPr>
          <w:sz w:val="20"/>
          <w:szCs w:val="20"/>
          <w:color w:val="auto"/>
        </w:rPr>
      </w:pPr>
      <w:r>
        <w:rPr>
          <w:rFonts w:ascii="Arial" w:cs="Arial" w:eastAsia="Arial" w:hAnsi="Arial"/>
          <w:sz w:val="18"/>
          <w:szCs w:val="18"/>
          <w:color w:val="auto"/>
        </w:rPr>
        <w:t>On August 9, 2023, the Company issued a press release announcing the Offering and on August 9, 2023, the Company issued a press release announcing the pricing of the Offering. Copies of these press releases are attached hereto as Exhibits 99.1 and 99.2, respectively, and are each incorporated herein by reference.</w:t>
      </w:r>
    </w:p>
    <w:p>
      <w:pPr>
        <w:sectPr>
          <w:pgSz w:w="11900" w:h="16838" w:orient="portrait"/>
          <w:cols w:equalWidth="0" w:num="1">
            <w:col w:w="10980"/>
          </w:cols>
          <w:pgMar w:left="440" w:top="513" w:right="4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100" w:type="dxa"/>
            <w:vAlign w:val="bottom"/>
            <w:gridSpan w:val="7"/>
          </w:tcPr>
          <w:p>
            <w:pPr>
              <w:ind w:left="320"/>
              <w:spacing w:after="0"/>
              <w:rPr>
                <w:sz w:val="20"/>
                <w:szCs w:val="20"/>
                <w:color w:val="auto"/>
              </w:rPr>
            </w:pPr>
            <w:r>
              <w:rPr>
                <w:rFonts w:ascii="Arial" w:cs="Arial" w:eastAsia="Arial" w:hAnsi="Arial"/>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0980" w:type="dxa"/>
            <w:vAlign w:val="bottom"/>
            <w:gridSpan w:val="9"/>
          </w:tcPr>
          <w:p>
            <w:pPr>
              <w:spacing w:after="0"/>
              <w:rPr>
                <w:sz w:val="20"/>
                <w:szCs w:val="20"/>
                <w:color w:val="auto"/>
              </w:rPr>
            </w:pPr>
            <w:r>
              <w:rPr>
                <w:rFonts w:ascii="Arial" w:cs="Arial" w:eastAsia="Arial" w:hAnsi="Arial"/>
                <w:sz w:val="18"/>
                <w:szCs w:val="18"/>
                <w:color w:val="auto"/>
              </w:rPr>
              <w:t>(d) Exhibits.</w:t>
            </w:r>
          </w:p>
        </w:tc>
        <w:tc>
          <w:tcPr>
            <w:tcW w:w="0" w:type="dxa"/>
            <w:vAlign w:val="bottom"/>
          </w:tcPr>
          <w:p>
            <w:pPr>
              <w:spacing w:after="0"/>
              <w:rPr>
                <w:sz w:val="1"/>
                <w:szCs w:val="1"/>
                <w:color w:val="auto"/>
              </w:rPr>
            </w:pPr>
          </w:p>
        </w:tc>
      </w:tr>
      <w:tr>
        <w:trPr>
          <w:trHeight w:val="369"/>
        </w:trPr>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0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960" w:type="dxa"/>
            <w:vAlign w:val="bottom"/>
            <w:gridSpan w:val="5"/>
            <w:vMerge w:val="restart"/>
          </w:tcPr>
          <w:p>
            <w:pPr>
              <w:ind w:left="5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460" w:type="dxa"/>
            <w:vAlign w:val="bottom"/>
          </w:tcPr>
          <w:p>
            <w:pPr>
              <w:jc w:val="right"/>
              <w:ind w:right="54"/>
              <w:spacing w:after="0"/>
              <w:rPr>
                <w:sz w:val="20"/>
                <w:szCs w:val="20"/>
                <w:color w:val="auto"/>
              </w:rPr>
            </w:pPr>
            <w:r>
              <w:rPr>
                <w:rFonts w:ascii="Arial" w:cs="Arial" w:eastAsia="Arial" w:hAnsi="Arial"/>
                <w:sz w:val="14"/>
                <w:szCs w:val="14"/>
                <w:b w:val="1"/>
                <w:bCs w:val="1"/>
                <w:color w:val="auto"/>
              </w:rPr>
              <w:t>No.</w:t>
            </w:r>
          </w:p>
        </w:tc>
        <w:tc>
          <w:tcPr>
            <w:tcW w:w="4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59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60" w:type="dxa"/>
            <w:vAlign w:val="bottom"/>
          </w:tcPr>
          <w:p>
            <w:pPr>
              <w:jc w:val="right"/>
              <w:ind w:right="54"/>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24"/>
                <w:szCs w:val="24"/>
                <w:color w:val="auto"/>
              </w:rPr>
            </w:pPr>
          </w:p>
        </w:tc>
        <w:tc>
          <w:tcPr>
            <w:tcW w:w="1010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1"/>
              </w:rPr>
              <w:t>Underwriting Agreement dated as of August 9, 2023, between Flywire Corporation and Goldman Sachs &amp; Co. LLC, as representative of the</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4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0"/>
              </w:rPr>
              <w:t>underwriters named therein.</w:t>
            </w:r>
          </w:p>
        </w:tc>
        <w:tc>
          <w:tcPr>
            <w:tcW w:w="80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jc w:val="right"/>
              <w:ind w:right="54"/>
              <w:spacing w:after="0"/>
              <w:rPr>
                <w:sz w:val="20"/>
                <w:szCs w:val="20"/>
                <w:color w:val="auto"/>
              </w:rPr>
            </w:pPr>
            <w:r>
              <w:rPr>
                <w:rFonts w:ascii="Arial" w:cs="Arial" w:eastAsia="Arial" w:hAnsi="Arial"/>
                <w:sz w:val="18"/>
                <w:szCs w:val="18"/>
                <w:color w:val="auto"/>
              </w:rPr>
              <w:t>5.1</w:t>
            </w:r>
          </w:p>
        </w:tc>
        <w:tc>
          <w:tcPr>
            <w:tcW w:w="420" w:type="dxa"/>
            <w:vAlign w:val="bottom"/>
          </w:tcPr>
          <w:p>
            <w:pPr>
              <w:spacing w:after="0"/>
              <w:rPr>
                <w:sz w:val="24"/>
                <w:szCs w:val="24"/>
                <w:color w:val="auto"/>
              </w:rPr>
            </w:pPr>
          </w:p>
        </w:tc>
        <w:tc>
          <w:tcPr>
            <w:tcW w:w="664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1"/>
              </w:rPr>
              <w:t>Opinion and Consent of Gunderson Dettmer Stough Villeneuve Franklin &amp; Hachigian, LLP.</w:t>
            </w:r>
          </w:p>
        </w:tc>
        <w:tc>
          <w:tcPr>
            <w:tcW w:w="34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jc w:val="right"/>
              <w:ind w:right="54"/>
              <w:spacing w:after="0"/>
              <w:rPr>
                <w:sz w:val="20"/>
                <w:szCs w:val="20"/>
                <w:color w:val="auto"/>
              </w:rPr>
            </w:pPr>
            <w:r>
              <w:rPr>
                <w:rFonts w:ascii="Arial" w:cs="Arial" w:eastAsia="Arial" w:hAnsi="Arial"/>
                <w:sz w:val="18"/>
                <w:szCs w:val="18"/>
                <w:color w:val="auto"/>
                <w:w w:val="85"/>
              </w:rPr>
              <w:t>23.1</w:t>
            </w:r>
          </w:p>
        </w:tc>
        <w:tc>
          <w:tcPr>
            <w:tcW w:w="420" w:type="dxa"/>
            <w:vAlign w:val="bottom"/>
          </w:tcPr>
          <w:p>
            <w:pPr>
              <w:spacing w:after="0"/>
              <w:rPr>
                <w:sz w:val="24"/>
                <w:szCs w:val="24"/>
                <w:color w:val="auto"/>
              </w:rPr>
            </w:pPr>
          </w:p>
        </w:tc>
        <w:tc>
          <w:tcPr>
            <w:tcW w:w="10100" w:type="dxa"/>
            <w:vAlign w:val="bottom"/>
            <w:gridSpan w:val="7"/>
          </w:tcPr>
          <w:p>
            <w:pPr>
              <w:spacing w:after="0"/>
              <w:rPr>
                <w:sz w:val="20"/>
                <w:szCs w:val="20"/>
                <w:color w:val="auto"/>
              </w:rPr>
            </w:pPr>
            <w:r>
              <w:rPr>
                <w:rFonts w:ascii="Arial" w:cs="Arial" w:eastAsia="Arial" w:hAnsi="Arial"/>
                <w:sz w:val="18"/>
                <w:szCs w:val="18"/>
                <w:color w:val="0000EE"/>
              </w:rPr>
              <w:t>Consent of Gunderson Dettmer Stough Villeneuve Franklin &amp; Hachigian, LLP (included in Exhibit 5.1).</w:t>
            </w:r>
          </w:p>
        </w:tc>
        <w:tc>
          <w:tcPr>
            <w:tcW w:w="0" w:type="dxa"/>
            <w:vAlign w:val="bottom"/>
          </w:tcPr>
          <w:p>
            <w:pPr>
              <w:spacing w:after="0"/>
              <w:rPr>
                <w:sz w:val="1"/>
                <w:szCs w:val="1"/>
                <w:color w:val="auto"/>
              </w:rPr>
            </w:pPr>
          </w:p>
        </w:tc>
      </w:tr>
      <w:tr>
        <w:trPr>
          <w:trHeight w:val="304"/>
        </w:trPr>
        <w:tc>
          <w:tcPr>
            <w:tcW w:w="460" w:type="dxa"/>
            <w:vAlign w:val="bottom"/>
          </w:tcPr>
          <w:p>
            <w:pPr>
              <w:jc w:val="right"/>
              <w:ind w:right="54"/>
              <w:spacing w:after="0"/>
              <w:rPr>
                <w:sz w:val="20"/>
                <w:szCs w:val="20"/>
                <w:color w:val="auto"/>
              </w:rPr>
            </w:pPr>
            <w:r>
              <w:rPr>
                <w:rFonts w:ascii="Arial" w:cs="Arial" w:eastAsia="Arial" w:hAnsi="Arial"/>
                <w:sz w:val="18"/>
                <w:szCs w:val="18"/>
                <w:color w:val="auto"/>
                <w:w w:val="85"/>
              </w:rPr>
              <w:t>99.1</w:t>
            </w:r>
          </w:p>
        </w:tc>
        <w:tc>
          <w:tcPr>
            <w:tcW w:w="420" w:type="dxa"/>
            <w:vAlign w:val="bottom"/>
          </w:tcPr>
          <w:p>
            <w:pPr>
              <w:spacing w:after="0"/>
              <w:rPr>
                <w:sz w:val="24"/>
                <w:szCs w:val="24"/>
                <w:color w:val="auto"/>
              </w:rPr>
            </w:pPr>
          </w:p>
        </w:tc>
        <w:tc>
          <w:tcPr>
            <w:tcW w:w="414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88"/>
              </w:rPr>
              <w:t>Press Release issued by the Company on August 9, 2023.</w:t>
            </w:r>
          </w:p>
        </w:tc>
        <w:tc>
          <w:tcPr>
            <w:tcW w:w="3380" w:type="dxa"/>
            <w:vAlign w:val="bottom"/>
            <w:tcBorders>
              <w:top w:val="single" w:sz="8" w:color="0000EE"/>
            </w:tcBorders>
            <w:gridSpan w:val="4"/>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jc w:val="right"/>
              <w:ind w:right="54"/>
              <w:spacing w:after="0"/>
              <w:rPr>
                <w:sz w:val="20"/>
                <w:szCs w:val="20"/>
                <w:color w:val="auto"/>
              </w:rPr>
            </w:pPr>
            <w:r>
              <w:rPr>
                <w:rFonts w:ascii="Arial" w:cs="Arial" w:eastAsia="Arial" w:hAnsi="Arial"/>
                <w:sz w:val="18"/>
                <w:szCs w:val="18"/>
                <w:color w:val="auto"/>
                <w:w w:val="85"/>
              </w:rPr>
              <w:t>99.2</w:t>
            </w:r>
          </w:p>
        </w:tc>
        <w:tc>
          <w:tcPr>
            <w:tcW w:w="420" w:type="dxa"/>
            <w:vAlign w:val="bottom"/>
          </w:tcPr>
          <w:p>
            <w:pPr>
              <w:spacing w:after="0"/>
              <w:rPr>
                <w:sz w:val="24"/>
                <w:szCs w:val="24"/>
                <w:color w:val="auto"/>
              </w:rPr>
            </w:pPr>
          </w:p>
        </w:tc>
        <w:tc>
          <w:tcPr>
            <w:tcW w:w="414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8"/>
              </w:rPr>
              <w:t>Press Release issued by the Company on August 9, 2023.</w:t>
            </w:r>
          </w:p>
        </w:tc>
        <w:tc>
          <w:tcPr>
            <w:tcW w:w="59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4"/>
                <w:szCs w:val="24"/>
                <w:color w:val="auto"/>
              </w:rPr>
            </w:pPr>
          </w:p>
        </w:tc>
        <w:tc>
          <w:tcPr>
            <w:tcW w:w="10100" w:type="dxa"/>
            <w:vAlign w:val="bottom"/>
            <w:gridSpan w:val="7"/>
          </w:tcPr>
          <w:p>
            <w:pPr>
              <w:spacing w:after="0"/>
              <w:rPr>
                <w:sz w:val="20"/>
                <w:szCs w:val="20"/>
                <w:color w:val="auto"/>
              </w:rPr>
            </w:pPr>
            <w:r>
              <w:rPr>
                <w:rFonts w:ascii="Arial" w:cs="Arial" w:eastAsia="Arial" w:hAnsi="Arial"/>
                <w:sz w:val="18"/>
                <w:szCs w:val="18"/>
                <w:color w:val="auto"/>
              </w:rPr>
              <w:t>Cover Page Interactive Data File (formatted as inline XBRL)</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80"/>
          </w:cols>
          <w:pgMar w:left="440" w:top="513" w:right="47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68580"/>
                    </a:xfrm>
                    <a:prstGeom prst="rect">
                      <a:avLst/>
                    </a:prstGeom>
                    <a:noFill/>
                  </pic:spPr>
                </pic:pic>
              </a:graphicData>
            </a:graphic>
          </wp:anchor>
        </w:drawing>
      </w:r>
    </w:p>
    <w:bookmarkStart w:id="3" w:name="page4"/>
    <w:bookmarkEnd w:id="3"/>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68580"/>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FLYWIRE CORPORATION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Ellis</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Michael Ellis</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Dated August 11, 2023</w:t>
      </w:r>
    </w:p>
    <w:p>
      <w:pPr>
        <w:sectPr>
          <w:pgSz w:w="11900" w:h="16838" w:orient="portrait"/>
          <w:cols w:equalWidth="0" w:num="1">
            <w:col w:w="10260"/>
          </w:cols>
          <w:pgMar w:left="440" w:top="513" w:right="11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Flywire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Underwriting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August 9,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 (the “Representative”) of the several Underwriters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named in Schedule I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10282-2198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Flywire Corporation, a Delaware corporation (the “Company”), proposes, subject to the terms and conditions stated in this agreement (this “Agreement”), to issue and sell to the Underwriters named in Schedule I hereto (the “Underwriters”), an aggregate of 8,000,000 shares (the “Firm Shares”) and, at the election of the Underwriters, up to 1,200,000 additional shares (the “Optional Shares”) of voting common stock, $0.0001 par value per share (“Stock”) of the Company (the Firm Shares and the Optional Shares that the Underwriters elect to purchase pursuant to Section 2 hereof being collectively called the “Shares”).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The Company represents and warrants to, and agrees with, each of the Underwriters that:</w:t>
      </w:r>
    </w:p>
    <w:p>
      <w:pPr>
        <w:spacing w:after="0" w:line="117" w:lineRule="exact"/>
        <w:rPr>
          <w:sz w:val="20"/>
          <w:szCs w:val="20"/>
          <w:color w:val="auto"/>
        </w:rPr>
      </w:pPr>
    </w:p>
    <w:p>
      <w:pPr>
        <w:ind w:right="60" w:firstLine="436"/>
        <w:spacing w:after="0" w:line="269" w:lineRule="auto"/>
        <w:tabs>
          <w:tab w:leader="none" w:pos="675" w:val="left"/>
        </w:tabs>
        <w:numPr>
          <w:ilvl w:val="0"/>
          <w:numId w:val="2"/>
        </w:numPr>
        <w:rPr>
          <w:rFonts w:ascii="Arial" w:cs="Arial" w:eastAsia="Arial" w:hAnsi="Arial"/>
          <w:sz w:val="17"/>
          <w:szCs w:val="17"/>
          <w:color w:val="auto"/>
        </w:rPr>
      </w:pPr>
      <w:r>
        <w:rPr>
          <w:rFonts w:ascii="Arial" w:cs="Arial" w:eastAsia="Arial" w:hAnsi="Arial"/>
          <w:sz w:val="17"/>
          <w:szCs w:val="17"/>
          <w:color w:val="auto"/>
        </w:rPr>
        <w:t>An “automatic shelf registration statement” as defined in Rule 405 of the Securities Act of 1933, as amended (the “Act”) on Form S-3 (File No. 333-273835) in respect of the Shares has been filed with the Securities and Exchange Commission (the “Commission”) not earlier than three years prior to the date hereof; such registration statement, and any post-effective amendment thereto, became effective on filing; and no stop order suspending the effectiveness of such registration statement or any part thereof has been issued and no proceeding for that purpose has been initiated or, to the Company’s knowledge, threatened by the Commission, and no notice of objection of the Commission to the use of such registration statement or any post-effective amendment thereto pursuant to Rule 401(g)(2) under the Act has been received by the Company (the base prospectus filed as part of such registration statement, in the form in which it has most recently been filed with the Commission on or prior to the date of this Agreement, is hereinafter called the “Basic Prospectus”; any preliminary prospectus (including any preliminary prospectus supplement) relating to the Shares filed with the Commission pursuant to Rule 424(b) under the Act is hereinafter called a “Preliminary Prospectus”; the various parts of such registration statement, including all exhibits thereto and including any</w:t>
      </w:r>
    </w:p>
    <w:p>
      <w:pPr>
        <w:sectPr>
          <w:pgSz w:w="11900" w:h="16838" w:orient="portrait"/>
          <w:cols w:equalWidth="0" w:num="1">
            <w:col w:w="11020"/>
          </w:cols>
          <w:pgMar w:left="440" w:top="121" w:right="439" w:bottom="1440" w:gutter="0" w:footer="0" w:header="0"/>
        </w:sectPr>
      </w:pPr>
    </w:p>
    <w:bookmarkStart w:id="5" w:name="page6"/>
    <w:bookmarkEnd w:id="5"/>
    <w:p>
      <w:pPr>
        <w:ind w:right="2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prospectus supplement relating to the Shares that is filed with the Commission and deemed by virtue of Rule 430B to be part of such registration statement, each as amended at the time such part of the registration statement became effective, are hereinafter collectively called the “Registration Statement”; the Basic Prospectus, as amended and supplemented immediately prior to the Applicable Time (as defined in Section 1(c) hereof), is hereinafter called the “Pricing Prospectus”; the form of the final prospectus relating to the Shares filed with the Commission pursuant to Rule 424(b) under the Act in accordance with Section 5(a) hereof is hereinafter called the “Prospectus”; any reference herein to the Basic Prospectus, the Pricing Prospectus, any Preliminary Prospectus or the Prospectus shall be deemed to refer to and include the documents incorporated by reference therein pursuant to Item 12 of Form S-3 under the Act, as of the date of such prospectus; any reference to any amendment or supplement to the Basic Prospectus, any Preliminary Prospectus or the Prospectus shall be deemed to refer to and include any post-effective amendment to the Registration Statement, any prospectus supplement relating to the Shares filed with the Commission pursuant to Rule 424(b) under the Act and any documents filed under the Securities Exchange Act of 1934, as amended (the “Exchange Act”), and incorporated by reference therein, in each case after the date of the Basic Prospectus, such Preliminary Prospectus, or the Prospectus, as the case may be; any reference to any amendment to the Registration Statement shall be deemed to refer to and include any annual report of the Company filed pursuant to Section 13(a) or 15(d) of the Exchange Act after the effective date of the Registration Statement that is incorporated by reference in the Registration Statement; any oral or written communication with potential investors undertaken in reliance on Rule 163B under the Act is hereinafter called a “Testing-the-Waters Communication”; any Testing-the-Waters Communication that is a written communication within the meaning of Rule 405 under the Act is hereinafter called a “Written Testing-the-Waters Communication”; and any “issuer free writing prospectus” as defined in Rule 433 under the Act relating to the Shares is hereinafter called an “Issuer Free Writing Prospectus”);</w:t>
      </w:r>
    </w:p>
    <w:p>
      <w:pPr>
        <w:spacing w:after="0" w:line="191" w:lineRule="exact"/>
        <w:rPr>
          <w:sz w:val="20"/>
          <w:szCs w:val="20"/>
          <w:color w:val="auto"/>
        </w:rPr>
      </w:pPr>
    </w:p>
    <w:p>
      <w:pPr>
        <w:ind w:firstLine="436"/>
        <w:spacing w:after="0" w:line="273" w:lineRule="auto"/>
        <w:tabs>
          <w:tab w:leader="none" w:pos="695"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(A) No order preventing or suspending the use of any Preliminary Prospectus or any Issuer Free Writing Prospectus has been issued by the Commission, and (B) each Preliminary Prospectus, at the time of filing thereof, conformed in all material respects to the applicable requirements of the Act and the rules and regulations of the Commission thereunder, and did not contain an untrue statement of a material fact or omit to state a material fact required to be stated therein or necessary to make the statements therein, in the light of the circumstances under which they were made, not misleading;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this representation and warranty shall not apply to any statements or omissions made in reliance upon and in conformity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Underwriter Information (as defined in Section 9(b) of this Agreement);</w:t>
      </w:r>
    </w:p>
    <w:p>
      <w:pPr>
        <w:spacing w:after="0" w:line="177" w:lineRule="exact"/>
        <w:rPr>
          <w:rFonts w:ascii="Arial" w:cs="Arial" w:eastAsia="Arial" w:hAnsi="Arial"/>
          <w:sz w:val="17"/>
          <w:szCs w:val="17"/>
          <w:color w:val="auto"/>
        </w:rPr>
      </w:pPr>
    </w:p>
    <w:p>
      <w:pPr>
        <w:ind w:right="40" w:firstLine="436"/>
        <w:spacing w:after="0" w:line="275" w:lineRule="auto"/>
        <w:tabs>
          <w:tab w:leader="none" w:pos="685" w:val="left"/>
        </w:tabs>
        <w:numPr>
          <w:ilvl w:val="0"/>
          <w:numId w:val="3"/>
        </w:numPr>
        <w:rPr>
          <w:rFonts w:ascii="Arial" w:cs="Arial" w:eastAsia="Arial" w:hAnsi="Arial"/>
          <w:sz w:val="17"/>
          <w:szCs w:val="17"/>
          <w:color w:val="auto"/>
        </w:rPr>
      </w:pPr>
      <w:r>
        <w:rPr>
          <w:rFonts w:ascii="Arial" w:cs="Arial" w:eastAsia="Arial" w:hAnsi="Arial"/>
          <w:sz w:val="17"/>
          <w:szCs w:val="17"/>
          <w:color w:val="auto"/>
        </w:rPr>
        <w:t>For the purposes of this Agreement, the “Applicable Time” is 7:00 pm (New York City time) on the date of this Agreement. The Pricing Prospectus, as supplemented by the information listed on Schedule II(c) hereto, taken together (collectively, the “Pricing Disclosure Package”), as of the Applicable Time, did not, and as of each Time of Delivery (as defined in Section 4(a) of this Agreement) will not, include any untrue statement of a material fact or omit to state any material fact necessary in order to make the statements therein, in the light of the circumstances under which they were made, not misleading; and each Issuer Free Writing Prospectus, and each Written Testing-the-Waters Communication</w:t>
      </w:r>
    </w:p>
    <w:p>
      <w:pPr>
        <w:sectPr>
          <w:pgSz w:w="11900" w:h="16838" w:orient="portrait"/>
          <w:cols w:equalWidth="0" w:num="1">
            <w:col w:w="11000"/>
          </w:cols>
          <w:pgMar w:left="440" w:top="490" w:right="459" w:bottom="1440" w:gutter="0" w:footer="0" w:header="0"/>
        </w:sectPr>
      </w:pPr>
    </w:p>
    <w:bookmarkStart w:id="6" w:name="page7"/>
    <w:bookmarkEnd w:id="6"/>
    <w:p>
      <w:pPr>
        <w:ind w:right="2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does not conflict with the information contained in the Registration Statement, the Pricing Prospectus or the Prospectus and each Issuer Free Writing Prospectus and each Written Testing-the-Waters Communication, as supplemented by and taken together with the Pricing Disclosure Package, as of the Applicable Time, did not, and as of each Time of Delivery will not, include any untrue statement of a material fact or omit to state any material fact necessary in order to make the statements therein, in the light of the circumstances under which they were made, not misleading; provided, however, that this representation and warranty shall not apply to statements or omissions made in reliance upon and in conformity with the Underwriter Information;</w:t>
      </w:r>
    </w:p>
    <w:p>
      <w:pPr>
        <w:spacing w:after="0" w:line="161" w:lineRule="exact"/>
        <w:rPr>
          <w:sz w:val="20"/>
          <w:szCs w:val="20"/>
          <w:color w:val="auto"/>
        </w:rPr>
      </w:pPr>
    </w:p>
    <w:p>
      <w:pPr>
        <w:ind w:right="120" w:firstLine="436"/>
        <w:spacing w:after="0" w:line="287" w:lineRule="auto"/>
        <w:tabs>
          <w:tab w:leader="none" w:pos="692"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documents incorporated by reference in the Pricing Prospectus and the Prospectus, when they became effective or were filed with the Commission, as the case may be, conformed in all material respects to the requirements of the Act or the Exchange Act, as applicable, and the rules and regulations of the Commission thereunder, and none of such documents, at such times, contained an untrue statement of a material fact or omitted to state a material fact required to be stated therein or necessary to make the statements therein not misleading; any further documents so filed and incorporated by reference in the Pricing Prospectus and the Prospectus or any further amendment or supplement thereto, when such documents become effective or are filed with the Commission, as the case may be, will conform in all material respects to the requirements of the Act or the Exchange Act, as applicable, and the rules and regulations of the Commission thereunder and will not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the Underwriter Information; and no such or any other document were filed with the Commission since the Commission’s close of business on the business day immediately prior to the date of this Agreement and prior to the execution of this Agreement, except as set forth on Schedule II(c) hereto;</w:t>
      </w:r>
    </w:p>
    <w:p>
      <w:pPr>
        <w:spacing w:after="0" w:line="171" w:lineRule="exact"/>
        <w:rPr>
          <w:rFonts w:ascii="Arial" w:cs="Arial" w:eastAsia="Arial" w:hAnsi="Arial"/>
          <w:sz w:val="16"/>
          <w:szCs w:val="16"/>
          <w:color w:val="auto"/>
        </w:rPr>
      </w:pPr>
    </w:p>
    <w:p>
      <w:pPr>
        <w:ind w:firstLine="436"/>
        <w:spacing w:after="0" w:line="254" w:lineRule="auto"/>
        <w:tabs>
          <w:tab w:leader="none" w:pos="68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Registration Statement conforms, and the Prospectus and any further amendments or supplements to the Registration Statement and the Prospectus, on the date when such prospectus is filed, will conform, in all material respects to the applicable requirements of the Act and the rules and regulations of the Commission thereunder and do not and will not, as of the applicable effective date as to each part of the Registration Statement, as of the applicable filing date as to the Prospectus and any amendment or supplement thereto, and as of each Time of Delivery,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the Underwriter Information;</w:t>
      </w:r>
    </w:p>
    <w:p>
      <w:pPr>
        <w:spacing w:after="0" w:line="194" w:lineRule="exact"/>
        <w:rPr>
          <w:rFonts w:ascii="Arial" w:cs="Arial" w:eastAsia="Arial" w:hAnsi="Arial"/>
          <w:sz w:val="18"/>
          <w:szCs w:val="18"/>
          <w:color w:val="auto"/>
        </w:rPr>
      </w:pPr>
    </w:p>
    <w:p>
      <w:pPr>
        <w:ind w:right="60" w:firstLine="436"/>
        <w:spacing w:after="0" w:line="257" w:lineRule="auto"/>
        <w:tabs>
          <w:tab w:leader="none" w:pos="665" w:val="left"/>
        </w:tabs>
        <w:numPr>
          <w:ilvl w:val="0"/>
          <w:numId w:val="4"/>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since the date of the latest audited financial statements included or incorporated by reference in the Pricing Prospectus, (i) sustained any material loss or interference with its business from fire, explosion, flood or other calamity, whether or not covered by insurance, or from any labor dispute or court or governmental action, order or decree or (ii) entered into any transaction or agreement (whether or not in the ordinary course of business) that is material to the Company and its subsidiaries, taken as a whole, which would be required to be filed as an</w:t>
      </w:r>
    </w:p>
    <w:p>
      <w:pPr>
        <w:sectPr>
          <w:pgSz w:w="11900" w:h="16838" w:orient="portrait"/>
          <w:cols w:equalWidth="0" w:num="1">
            <w:col w:w="11020"/>
          </w:cols>
          <w:pgMar w:left="440" w:top="490" w:right="439" w:bottom="1440" w:gutter="0" w:footer="0" w:header="0"/>
        </w:sectPr>
      </w:pPr>
    </w:p>
    <w:bookmarkStart w:id="7" w:name="page8"/>
    <w:bookmarkEnd w:id="7"/>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exhibit to the Registration Statement pursuant to Item 601 of Regulation S-K of the Act or incurred any liability or obligation, direct or contingent, that is material to the Company and its subsidiaries, taken as a whole, in each case otherwise than as set forth or contemplated in the Pricing Prospectus; and, since the respective dates as of which information is given in the Registration Statement and the Pricing Prospectus, there has not been (x) any change in the capital stock (other than as a result of (i) the exercise of stock options or warrants or settlement of restricted stock units (including any “net” or “cashless” exercises or settlements), if any, or the award, if any, of stock options, restricted stock units, restricted stock or other awards in the ordinary course of business pursuant to the Company’s equity plans that are described in the Pricing Prospectus and the Prospectus, (ii) the repurchase of shares of capital stock upon termination of the holder’s employment or service with the Company pursuant to agreements providing for an option to repurchase or a right of first refusal on behalf of the Company or (iii) the issuance, if any, of stock upon exercise or conversion of Company securities as described in the Pricing Prospectus and the Prospectus or documents incorporated therein by reference, or (iv) issuances otherwise set forth or contemplated in the Pricing Prospectus or any increase in long term debt of the Company or any of its subsidiaries or (y) any Material Adverse Effect (as defined below); as used in this Agreement, “Material Adverse Effect” shall mean any material adverse change or effect, or any development involving a prospective material adverse change or effect, in or affecting (i) the business, properties, general affairs, management, consolidated financial position, consolidated stockholders’ equity, or consolidated results of operations or prospects of the Company and its subsidiaries, taken as a whole, or (ii) the ability of the Company to perform its obligations under this Agreement, including the issuance and sale of the Shares, or to consummate the transactions contemplated in the Pricing Prospectus and the Prospectus;</w:t>
      </w:r>
    </w:p>
    <w:p>
      <w:pPr>
        <w:spacing w:after="0" w:line="182" w:lineRule="exact"/>
        <w:rPr>
          <w:sz w:val="20"/>
          <w:szCs w:val="20"/>
          <w:color w:val="auto"/>
        </w:rPr>
      </w:pPr>
    </w:p>
    <w:p>
      <w:pPr>
        <w:ind w:right="20" w:firstLine="436"/>
        <w:spacing w:after="0" w:line="272" w:lineRule="auto"/>
        <w:tabs>
          <w:tab w:leader="none" w:pos="695" w:val="left"/>
        </w:tabs>
        <w:numPr>
          <w:ilvl w:val="0"/>
          <w:numId w:val="5"/>
        </w:numPr>
        <w:rPr>
          <w:rFonts w:ascii="Arial" w:cs="Arial" w:eastAsia="Arial" w:hAnsi="Arial"/>
          <w:sz w:val="17"/>
          <w:szCs w:val="17"/>
          <w:color w:val="auto"/>
        </w:rPr>
      </w:pPr>
      <w:r>
        <w:rPr>
          <w:rFonts w:ascii="Arial" w:cs="Arial" w:eastAsia="Arial" w:hAnsi="Arial"/>
          <w:sz w:val="17"/>
          <w:szCs w:val="17"/>
          <w:color w:val="auto"/>
        </w:rPr>
        <w:t>Neither the Company nor its subsidiaries own any real property. The Company and its subsidiaries have good and marketable title to all personal property owned by them (other than with respect to Intellectual Property, title to which is addressed exclusively in subsection 1(ii)), in each case free and clear of all liens, encumbrances and defects except such as are described in the Pricing Prospectus or such as do not materially affect the value of such property and do not materially interfere with the use made and proposed to be made of such property by the Company and its subsidiaries; and any real property and buildings held under lease by the Company and its subsidiaries are held by them, to the Company’s knowledge, under valid, subsisting and enforceable leases with such exceptions as are not material and do not materially interfere with the use made and proposed to be made of such property and buildings by the Company and its subsidiaries;</w:t>
      </w:r>
    </w:p>
    <w:p>
      <w:pPr>
        <w:spacing w:after="0" w:line="177" w:lineRule="exact"/>
        <w:rPr>
          <w:rFonts w:ascii="Arial" w:cs="Arial" w:eastAsia="Arial" w:hAnsi="Arial"/>
          <w:sz w:val="17"/>
          <w:szCs w:val="17"/>
          <w:color w:val="auto"/>
        </w:rPr>
      </w:pPr>
    </w:p>
    <w:p>
      <w:pPr>
        <w:ind w:right="60" w:firstLine="436"/>
        <w:spacing w:after="0" w:line="291" w:lineRule="auto"/>
        <w:tabs>
          <w:tab w:leader="none" w:pos="695" w:val="left"/>
        </w:tabs>
        <w:numPr>
          <w:ilvl w:val="0"/>
          <w:numId w:val="5"/>
        </w:numPr>
        <w:rPr>
          <w:rFonts w:ascii="Arial" w:cs="Arial" w:eastAsia="Arial" w:hAnsi="Arial"/>
          <w:sz w:val="16"/>
          <w:szCs w:val="16"/>
          <w:color w:val="auto"/>
        </w:rPr>
      </w:pPr>
      <w:r>
        <w:rPr>
          <w:rFonts w:ascii="Arial" w:cs="Arial" w:eastAsia="Arial" w:hAnsi="Arial"/>
          <w:sz w:val="16"/>
          <w:szCs w:val="16"/>
          <w:color w:val="auto"/>
        </w:rPr>
        <w:t>Each of the Company and each of its subsidiaries has been (i) duly organized and is validly existing and in good standing under the laws of its jurisdiction of organization, with power and authority (corporate and other) to own its properties and conduct its business as described in the Pricing Prospectus, and (ii) duly qualified as a foreign corporation for the transaction of business and is in good standing (where such concept exists) under the laws of each other jurisdiction in which it owns or leases properties or conducts any business so as to require such qualification, except, in the case of this clause (ii), where the failure to be so qualified or in good standing would not, individually or in the aggregate, reasonably be expected to have a Material Adverse Effect, and each “significant subsidiary” (as such term is defined in Rule 1-02(w) of Regulation S-X under the Act) of the Company has been listed in the Registration Statement or a document incorporated by reference to the Registration Statement;</w:t>
      </w:r>
    </w:p>
    <w:p>
      <w:pPr>
        <w:sectPr>
          <w:pgSz w:w="11900" w:h="16838" w:orient="portrait"/>
          <w:cols w:equalWidth="0" w:num="1">
            <w:col w:w="10980"/>
          </w:cols>
          <w:pgMar w:left="440" w:top="490" w:right="479" w:bottom="1440" w:gutter="0" w:footer="0" w:header="0"/>
        </w:sectPr>
      </w:pPr>
    </w:p>
    <w:bookmarkStart w:id="8" w:name="page9"/>
    <w:bookmarkEnd w:id="8"/>
    <w:p>
      <w:pPr>
        <w:ind w:left="-436" w:firstLine="436"/>
        <w:spacing w:after="0" w:line="273" w:lineRule="auto"/>
        <w:tabs>
          <w:tab w:leader="none" w:pos="216" w:val="left"/>
        </w:tabs>
        <w:numPr>
          <w:ilvl w:val="0"/>
          <w:numId w:val="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The Company has an authorized capitalization as set forth in the Pricing Prospectus and all of the issued and outstanding shares of capital stock of the Company have been duly and validly authorized and issued and are fully paid and non-assessable and conform in all material respects to the description thereof contained in the Pricing Disclosure Package and Prospectus; and all of the issued and outstanding shares of capital stock of each subsidiary of the Company have been duly and validly authorized and issued, are fully paid and non-assessable and (except, in the case of any foreign subsidiary, for directors’ qualifying shares) are owned directly or indirectly by the Company, free and clear of all liens, encumbrances, equities or claims, except for such liens or encumbrances described in the Pricing Prospectus and the Prospectus;</w:t>
      </w:r>
    </w:p>
    <w:p>
      <w:pPr>
        <w:spacing w:after="0" w:line="177" w:lineRule="exact"/>
        <w:rPr>
          <w:rFonts w:ascii="Arial" w:cs="Arial" w:eastAsia="Arial" w:hAnsi="Arial"/>
          <w:sz w:val="17"/>
          <w:szCs w:val="17"/>
          <w:color w:val="auto"/>
        </w:rPr>
      </w:pPr>
    </w:p>
    <w:p>
      <w:pPr>
        <w:ind w:left="-436" w:right="20" w:firstLine="436"/>
        <w:spacing w:after="0" w:line="301" w:lineRule="auto"/>
        <w:tabs>
          <w:tab w:leader="none" w:pos="216"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Shares to be issued and sold by the Company to the Underwriters hereunder have been duly and validly authorized and, when issued and delivered against payment therefor as provided herein, will be duly and validly issued and fully paid and non-assessable and will conform in all material respects to the description of the Stock contained in the Pricing Disclosure Package and the Prospectus; and the issuance of the Shares is not subject to any preemptive or similar rights, except rights that have been complied with or waived in writing as of the date of this Agreement;</w:t>
      </w:r>
    </w:p>
    <w:p>
      <w:pPr>
        <w:spacing w:after="0" w:line="157" w:lineRule="exact"/>
        <w:rPr>
          <w:rFonts w:ascii="Arial" w:cs="Arial" w:eastAsia="Arial" w:hAnsi="Arial"/>
          <w:sz w:val="16"/>
          <w:szCs w:val="16"/>
          <w:color w:val="auto"/>
        </w:rPr>
      </w:pPr>
    </w:p>
    <w:p>
      <w:pPr>
        <w:ind w:left="-436" w:firstLine="436"/>
        <w:spacing w:after="0" w:line="286" w:lineRule="auto"/>
        <w:tabs>
          <w:tab w:leader="none" w:pos="256"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issue and sale of the Shares and the compliance by the Company with this Agreement and the consummation of the transactions contemplated in this Agreement and the Pricing Prospectus will not conflict with or result in a breach or violation of any of the terms or provisions of, or constitute a default under, (A) any indenture, mortgage, deed of trust, loan agreement, lease or other agreement or instrument to which the Company or any of its subsidiaries is a party or by which the Company or any of its subsidiaries is bound or to which any of the property or assets of the Company or any of its subsidiaries is subject, (B) the certificate of incorporation or by-laws (or other applicable organizational document) of the Company or any of its subsidiaries, or (C) any statute or any judgment, order, rule or regulation of any court or governmental agency or body having jurisdiction over the Company or any of its subsidiaries or any of their properties, except, in the case of clauses (A) and (C) for such defaults, breaches, or violations that would not, individually or in the aggregate, reasonably be expected to have a Material Adverse Effect; and no consent, approval, authorization, order, registration or qualification of or with any such court or governmental agency or regulatory body is required for the issue and sale of the Shares by the Company or the consummation by the Company of the transactions contemplated by this Agreement, except such as have been obtained under the Act, the approval by the Financial Industry Regulatory Authority (“FINRA”) of the underwriting terms and arrangements, the approval for listing the Shares on the Nasdaq Global Select Market (“Nasdaq”) and such consents, approvals, authorizations, orders, registrations or qualifications as may be required under state securities or Blue Sky laws in connection with the purchase and distribution of the Shares by the Underwriters;</w:t>
      </w:r>
    </w:p>
    <w:p>
      <w:pPr>
        <w:spacing w:after="0" w:line="173" w:lineRule="exact"/>
        <w:rPr>
          <w:rFonts w:ascii="Arial" w:cs="Arial" w:eastAsia="Arial" w:hAnsi="Arial"/>
          <w:sz w:val="16"/>
          <w:szCs w:val="16"/>
          <w:color w:val="auto"/>
        </w:rPr>
      </w:pPr>
    </w:p>
    <w:p>
      <w:pPr>
        <w:ind w:left="-436" w:right="100" w:firstLine="436"/>
        <w:spacing w:after="0" w:line="286" w:lineRule="auto"/>
        <w:tabs>
          <w:tab w:leader="none" w:pos="219" w:val="left"/>
        </w:tabs>
        <w:numPr>
          <w:ilvl w:val="0"/>
          <w:numId w:val="6"/>
        </w:numPr>
        <w:rPr>
          <w:rFonts w:ascii="Arial" w:cs="Arial" w:eastAsia="Arial" w:hAnsi="Arial"/>
          <w:sz w:val="17"/>
          <w:szCs w:val="17"/>
          <w:color w:val="auto"/>
        </w:rPr>
      </w:pPr>
      <w:r>
        <w:rPr>
          <w:rFonts w:ascii="Arial" w:cs="Arial" w:eastAsia="Arial" w:hAnsi="Arial"/>
          <w:sz w:val="17"/>
          <w:szCs w:val="17"/>
          <w:color w:val="auto"/>
        </w:rPr>
        <w:t>Neither the Company nor any of its subsidiaries is (i) in violation of its certificate of incorporation or by-laws (or other applicable organizational document), (ii) in violation of any statute or any judgment, order, rule or regulation of any court or governmental agency or body having jurisdiction over the Company or any of its subsidiaries or any of their properties, or (iii) in default in the performance or observance</w:t>
      </w:r>
    </w:p>
    <w:p>
      <w:pPr>
        <w:sectPr>
          <w:pgSz w:w="11900" w:h="16838" w:orient="portrait"/>
          <w:cols w:equalWidth="0" w:num="1">
            <w:col w:w="10544"/>
          </w:cols>
          <w:pgMar w:left="876" w:top="490" w:right="479" w:bottom="1440" w:gutter="0" w:footer="0" w:header="0"/>
        </w:sectPr>
      </w:pPr>
    </w:p>
    <w:bookmarkStart w:id="9" w:name="page10"/>
    <w:bookmarkEnd w:id="9"/>
    <w:p>
      <w:pPr>
        <w:ind w:right="20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of any obligation, agreement, covenant or condition contained in any indenture, mortgage, deed of trust, loan agreement, lease or other agreement or instrument to which it is a party or by which it or any of its properties may be bound, except, in the case of the foregoing clauses (ii) and (iii), for such violations or defaults as would not, individually or in the aggregate, reasonably be expected to have a Material Adverse Effect;</w:t>
      </w:r>
    </w:p>
    <w:p>
      <w:pPr>
        <w:spacing w:after="0" w:line="149" w:lineRule="exact"/>
        <w:rPr>
          <w:sz w:val="20"/>
          <w:szCs w:val="20"/>
          <w:color w:val="auto"/>
        </w:rPr>
      </w:pPr>
    </w:p>
    <w:p>
      <w:pPr>
        <w:ind w:right="120" w:firstLine="436"/>
        <w:spacing w:after="0" w:line="255" w:lineRule="auto"/>
        <w:tabs>
          <w:tab w:leader="none" w:pos="74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statements set forth in the Pricing Prospectus and Prospectus under the caption “Description of Capital Stock”, insofar as they purport to constitute a summary of the terms of the Stock</w:t>
      </w:r>
      <w:r>
        <w:rPr>
          <w:rFonts w:ascii="Arial" w:cs="Arial" w:eastAsia="Arial" w:hAnsi="Arial"/>
          <w:sz w:val="18"/>
          <w:szCs w:val="18"/>
          <w:b w:val="1"/>
          <w:bCs w:val="1"/>
          <w:color w:val="auto"/>
        </w:rPr>
        <w:t>,</w:t>
      </w:r>
      <w:r>
        <w:rPr>
          <w:rFonts w:ascii="Arial" w:cs="Arial" w:eastAsia="Arial" w:hAnsi="Arial"/>
          <w:sz w:val="18"/>
          <w:szCs w:val="18"/>
          <w:color w:val="auto"/>
        </w:rPr>
        <w:t xml:space="preserve"> under the caption “Material United States Federal Income Tax Consequences for Non-U.S. Holders of Our Common Stock”, and under the caption “Underwriting”, insofar as they purport to describe the provisions of the laws (other than laws, rules and regulations relating to selling restrictions in various foreign jurisdictions) and documents referred to therein, are accurate, complete and fair in all material respects;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this representation and warranty shall not apply to any statements or omissions made in reliance upon and in conformity with the Underwriter Information;</w:t>
      </w:r>
    </w:p>
    <w:p>
      <w:pPr>
        <w:spacing w:after="0" w:line="192" w:lineRule="exact"/>
        <w:rPr>
          <w:rFonts w:ascii="Arial" w:cs="Arial" w:eastAsia="Arial" w:hAnsi="Arial"/>
          <w:sz w:val="18"/>
          <w:szCs w:val="18"/>
          <w:color w:val="auto"/>
        </w:rPr>
      </w:pPr>
    </w:p>
    <w:p>
      <w:pPr>
        <w:ind w:firstLine="436"/>
        <w:spacing w:after="0" w:line="255" w:lineRule="auto"/>
        <w:tabs>
          <w:tab w:leader="none" w:pos="695"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than as set forth in the Pricing Prospectus, there are no legal or governmental proceedings pending to which the Company or any of its subsidiaries or, to the Company’s knowledge, any executive officer or director of the Company, is a party or of which any property of the Company or any of its subsidiaries or, to the Company’s knowledge, any executive officer or director of the Company, is the subject which, if determined adversely to the Company or any of its subsidiaries (or such officer or director), would individually or in the aggregate reasonably be expected to have a Material Adverse Effect; and, to the Company’s knowledge, other than as set forth in the Pricing Prospectus, no such proceedings are threatened by governmental authorities or others;</w:t>
      </w:r>
    </w:p>
    <w:p>
      <w:pPr>
        <w:spacing w:after="0" w:line="192" w:lineRule="exact"/>
        <w:rPr>
          <w:rFonts w:ascii="Arial" w:cs="Arial" w:eastAsia="Arial" w:hAnsi="Arial"/>
          <w:sz w:val="18"/>
          <w:szCs w:val="18"/>
          <w:color w:val="auto"/>
        </w:rPr>
      </w:pPr>
    </w:p>
    <w:p>
      <w:pPr>
        <w:ind w:firstLine="436"/>
        <w:spacing w:after="0" w:line="263" w:lineRule="auto"/>
        <w:tabs>
          <w:tab w:leader="none" w:pos="69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Shares and the application of the proceeds thereof as described in the Pricing Prospectus and the Prospectus, will not be an “investment company”, as such term is defined in the Investment Company Act of 1940, as amended (the “Investment Company Act”);</w:t>
      </w:r>
    </w:p>
    <w:p>
      <w:pPr>
        <w:spacing w:after="0" w:line="183" w:lineRule="exact"/>
        <w:rPr>
          <w:rFonts w:ascii="Arial" w:cs="Arial" w:eastAsia="Arial" w:hAnsi="Arial"/>
          <w:sz w:val="18"/>
          <w:szCs w:val="18"/>
          <w:color w:val="auto"/>
        </w:rPr>
      </w:pPr>
    </w:p>
    <w:p>
      <w:pPr>
        <w:ind w:right="160" w:firstLine="436"/>
        <w:spacing w:after="0" w:line="254" w:lineRule="auto"/>
        <w:tabs>
          <w:tab w:leader="none" w:pos="695" w:val="left"/>
        </w:tabs>
        <w:numPr>
          <w:ilvl w:val="0"/>
          <w:numId w:val="7"/>
        </w:numPr>
        <w:rPr>
          <w:rFonts w:ascii="Arial" w:cs="Arial" w:eastAsia="Arial" w:hAnsi="Arial"/>
          <w:sz w:val="18"/>
          <w:szCs w:val="18"/>
          <w:color w:val="auto"/>
        </w:rPr>
      </w:pPr>
      <w:r>
        <w:rPr>
          <w:rFonts w:ascii="Arial" w:cs="Arial" w:eastAsia="Arial" w:hAnsi="Arial"/>
          <w:sz w:val="18"/>
          <w:szCs w:val="18"/>
          <w:color w:val="auto"/>
        </w:rPr>
        <w:t>(A) (i) At the time of filing the Registration Statement, (ii) at the time of the most recent amendment thereto for the purposes of complying with Section 10(a)(3) of the Act (whether such amendment was by post-effective amendment, incorporated report filed pursuant to Section 13 or 15(d) of the Exchange Act or form of prospectus), and (iii) at the time the Company or any person acting on its behalf (within the meaning, for this clause only, of Rule 163(c) under the Act) made any offer relating to the Shares in reliance on the exemption of Rule 163 under the Act, the Company was a “well-known seasoned issuer” as defined in Rule 405 under the Act; and (B) at the time of filing the Registration Statement and any post-effective amendment thereto, at the earliest time thereafter that the Company or any offering participant made a bona fide offer (within the meaning of Rule 164(h)(2) under the Act) of the Shares, and at the date hereof, the Company was not and is not an “ineligible issuer,” as defined in Rule 405 under the Act;</w:t>
      </w:r>
    </w:p>
    <w:p>
      <w:pPr>
        <w:spacing w:after="0" w:line="191" w:lineRule="exact"/>
        <w:rPr>
          <w:rFonts w:ascii="Arial" w:cs="Arial" w:eastAsia="Arial" w:hAnsi="Arial"/>
          <w:sz w:val="18"/>
          <w:szCs w:val="18"/>
          <w:color w:val="auto"/>
        </w:rPr>
      </w:pPr>
    </w:p>
    <w:p>
      <w:pPr>
        <w:ind w:right="20" w:firstLine="436"/>
        <w:spacing w:after="0" w:line="277" w:lineRule="auto"/>
        <w:tabs>
          <w:tab w:leader="none" w:pos="695"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PricewaterhouseCoopers LLP, who have certified certain financial statements of the Company and its subsidiaries, is an independent registered public accounting firm as required by the Act and the rules and regulations of the Commission thereunder;</w:t>
      </w:r>
    </w:p>
    <w:p>
      <w:pPr>
        <w:sectPr>
          <w:pgSz w:w="11900" w:h="16838" w:orient="portrait"/>
          <w:cols w:equalWidth="0" w:num="1">
            <w:col w:w="11000"/>
          </w:cols>
          <w:pgMar w:left="440" w:top="490" w:right="459" w:bottom="1440" w:gutter="0" w:footer="0" w:header="0"/>
        </w:sectPr>
      </w:pPr>
    </w:p>
    <w:bookmarkStart w:id="10" w:name="page11"/>
    <w:bookmarkEnd w:id="10"/>
    <w:p>
      <w:pPr>
        <w:ind w:left="-436" w:right="20" w:firstLine="436"/>
        <w:spacing w:after="0" w:line="269" w:lineRule="auto"/>
        <w:tabs>
          <w:tab w:leader="none" w:pos="226" w:val="left"/>
        </w:tabs>
        <w:numPr>
          <w:ilvl w:val="0"/>
          <w:numId w:val="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Company maintains a system of internal control over financial reporting (as such term is defined in Rule 13a-15(f) under the Exchange Act that (i) is designed to comply with the requirements of the Exchange Act that are applicable to the Company, (ii)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U.S. generally accepted accounting principles (“GAAP”) and (iii) is designed to provide reasonable assurance that (A) transactions are executed in accordance with management’s general or specific authorization, (B) transactions are recorded as necessary to permit preparation of financial statements in conformity with GAAP and to maintain accountability for assets, (C) access to assets is permitted only in accordance with management’s general or specific authorization and (D) the recorded accountability for assets is compared with the existing assets at reasonable intervals and appropriate action is taken with respect to any differences; and the Company’s internal control over financial reporting is effective and the Company is not aware of any material weaknesses in its internal control over financial reporting;</w:t>
      </w:r>
    </w:p>
    <w:p>
      <w:pPr>
        <w:spacing w:after="0" w:line="185" w:lineRule="exact"/>
        <w:rPr>
          <w:rFonts w:ascii="Arial" w:cs="Arial" w:eastAsia="Arial" w:hAnsi="Arial"/>
          <w:sz w:val="17"/>
          <w:szCs w:val="17"/>
          <w:color w:val="auto"/>
        </w:rPr>
      </w:pPr>
    </w:p>
    <w:p>
      <w:pPr>
        <w:ind w:left="-436" w:right="320" w:firstLine="436"/>
        <w:spacing w:after="0" w:line="263" w:lineRule="auto"/>
        <w:tabs>
          <w:tab w:leader="none" w:pos="239" w:val="left"/>
        </w:tabs>
        <w:numPr>
          <w:ilvl w:val="0"/>
          <w:numId w:val="8"/>
        </w:numPr>
        <w:rPr>
          <w:rFonts w:ascii="Arial" w:cs="Arial" w:eastAsia="Arial" w:hAnsi="Arial"/>
          <w:sz w:val="18"/>
          <w:szCs w:val="18"/>
          <w:color w:val="auto"/>
        </w:rPr>
      </w:pPr>
      <w:r>
        <w:rPr>
          <w:rFonts w:ascii="Arial" w:cs="Arial" w:eastAsia="Arial" w:hAnsi="Arial"/>
          <w:sz w:val="18"/>
          <w:szCs w:val="18"/>
          <w:color w:val="auto"/>
        </w:rPr>
        <w:t>Since the date of the latest audited financial statements included or incorporated by reference in the Pricing Prospectus, there has been no change in the Company’s internal control over financial reporting that has materially and adversely affected, or is reasonably likely to materially and adversely affect, the Company’s internal control over financial reporting;</w:t>
      </w:r>
    </w:p>
    <w:p>
      <w:pPr>
        <w:spacing w:after="0" w:line="183" w:lineRule="exact"/>
        <w:rPr>
          <w:rFonts w:ascii="Arial" w:cs="Arial" w:eastAsia="Arial" w:hAnsi="Arial"/>
          <w:sz w:val="18"/>
          <w:szCs w:val="18"/>
          <w:color w:val="auto"/>
        </w:rPr>
      </w:pPr>
    </w:p>
    <w:p>
      <w:pPr>
        <w:ind w:left="-436" w:right="200" w:firstLine="436"/>
        <w:spacing w:after="0" w:line="279" w:lineRule="auto"/>
        <w:tabs>
          <w:tab w:leader="none" w:pos="216"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Company maintains disclosure controls and procedures (as such term is defined in Rule 13a-15(e) under the Exchange Act) that are designed to comply with the requirements of the Exchange Act that are applicable to the Company; such disclosure controls and procedures have been designed to ensure that material information relating to the Company and its subsidiaries is made known to the Company’s principal executive officer and principal financial officer by others within those entities; and such disclosure controls and procedures are effective;</w:t>
      </w:r>
    </w:p>
    <w:p>
      <w:pPr>
        <w:spacing w:after="0" w:line="171" w:lineRule="exact"/>
        <w:rPr>
          <w:rFonts w:ascii="Arial" w:cs="Arial" w:eastAsia="Arial" w:hAnsi="Arial"/>
          <w:sz w:val="17"/>
          <w:szCs w:val="17"/>
          <w:color w:val="auto"/>
        </w:rPr>
      </w:pPr>
    </w:p>
    <w:p>
      <w:pPr>
        <w:ind w:left="-436" w:firstLine="436"/>
        <w:spacing w:after="0" w:line="269" w:lineRule="auto"/>
        <w:tabs>
          <w:tab w:leader="none" w:pos="259" w:val="left"/>
        </w:tabs>
        <w:numPr>
          <w:ilvl w:val="0"/>
          <w:numId w:val="8"/>
        </w:numPr>
        <w:rPr>
          <w:rFonts w:ascii="Arial" w:cs="Arial" w:eastAsia="Arial" w:hAnsi="Arial"/>
          <w:sz w:val="17"/>
          <w:szCs w:val="17"/>
          <w:color w:val="auto"/>
        </w:rPr>
      </w:pPr>
      <w:r>
        <w:rPr>
          <w:rFonts w:ascii="Arial" w:cs="Arial" w:eastAsia="Arial" w:hAnsi="Arial"/>
          <w:sz w:val="17"/>
          <w:szCs w:val="17"/>
          <w:color w:val="auto"/>
        </w:rPr>
        <w:t>Neither the Company nor any of its subsidiaries, nor any director, officer or employee, nor, to the knowledge of the Company, any agent, affiliate or other person while acting on behalf of the Company or any of its subsidiaries has (i) made, offered, promised or authorized any unlawful contribution, gift, entertainment or other unlawful benefit or expense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(ii) made, offered, promised or authorized any direct or indirect unlawful payment to any government official; or (iii) violated or is in violation of any applicable provision of the U.S. Foreign Corrupt Practices Act of 1977, as amended, or the rules and regulations thereunder, the Bribery Act 2010 of the United Kingdom or any other applicable anti-corruption, anti-bribery or related law, statute or regulation (collectively, “Anti-Corruption Laws”); the Company and its subsidiaries have conducted their businesses in compliance with applicable Anti-Corruption Laws and have instituted and maintained and will continue to maintain policies and procedures reasonably designed to promote and achieve compliance with such laws;</w:t>
      </w:r>
    </w:p>
    <w:p>
      <w:pPr>
        <w:spacing w:after="0" w:line="185" w:lineRule="exact"/>
        <w:rPr>
          <w:rFonts w:ascii="Arial" w:cs="Arial" w:eastAsia="Arial" w:hAnsi="Arial"/>
          <w:sz w:val="17"/>
          <w:szCs w:val="17"/>
          <w:color w:val="auto"/>
        </w:rPr>
      </w:pPr>
    </w:p>
    <w:p>
      <w:pPr>
        <w:jc w:val="both"/>
        <w:ind w:left="-436" w:right="20" w:firstLine="436"/>
        <w:spacing w:after="0" w:line="263" w:lineRule="auto"/>
        <w:tabs>
          <w:tab w:leader="none" w:pos="256"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operations of the Company and its subsidiaries are and have been conducted at all times in compliance with the requirements of applicable anti-money laundering laws, including, but not limited to, the Bank Secrecy Act of 1970, as amended by the USA PATRIOT ACT of 2001, and the rules and regulations promulgated thereunder,</w:t>
      </w:r>
    </w:p>
    <w:p>
      <w:pPr>
        <w:sectPr>
          <w:pgSz w:w="11900" w:h="16838" w:orient="portrait"/>
          <w:cols w:equalWidth="0" w:num="1">
            <w:col w:w="10584"/>
          </w:cols>
          <w:pgMar w:left="876" w:top="490" w:right="439" w:bottom="1440" w:gutter="0" w:footer="0" w:header="0"/>
        </w:sectPr>
      </w:pPr>
    </w:p>
    <w:bookmarkStart w:id="11" w:name="page12"/>
    <w:bookmarkEnd w:id="11"/>
    <w:p>
      <w:pPr>
        <w:ind w:left="4"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and the applicable anti-money laundering laws of the various jurisdictions in which the Company and its subsidiaries conduct business (collectively, the “Money Laundering Laws”)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87" w:lineRule="exact"/>
        <w:rPr>
          <w:sz w:val="20"/>
          <w:szCs w:val="20"/>
          <w:color w:val="auto"/>
        </w:rPr>
      </w:pPr>
    </w:p>
    <w:p>
      <w:pPr>
        <w:ind w:left="4" w:firstLine="436"/>
        <w:spacing w:after="0" w:line="283" w:lineRule="auto"/>
        <w:tabs>
          <w:tab w:leader="none" w:pos="739" w:val="left"/>
        </w:tabs>
        <w:numPr>
          <w:ilvl w:val="1"/>
          <w:numId w:val="9"/>
        </w:numPr>
        <w:rPr>
          <w:rFonts w:ascii="Arial" w:cs="Arial" w:eastAsia="Arial" w:hAnsi="Arial"/>
          <w:sz w:val="16"/>
          <w:szCs w:val="16"/>
          <w:color w:val="auto"/>
        </w:rPr>
      </w:pPr>
      <w:r>
        <w:rPr>
          <w:rFonts w:ascii="Arial" w:cs="Arial" w:eastAsia="Arial" w:hAnsi="Arial"/>
          <w:sz w:val="16"/>
          <w:szCs w:val="16"/>
          <w:color w:val="auto"/>
        </w:rPr>
        <w:t>Except as set forth in the Pricing Prospectus, neither the Company nor any of its subsidiaries, nor any director, officer or employee of the Company or any of its subsidiaries is currently the subject or the target of any sanctions administered or enforced by the U.S. Government, including, without limitation, the Office of Foreign Assets Control of the U.S. Department of the Treasury (“OFAC”) or the U.S. Department of State and including, without limitation, the designation as a “specially designated national” or “blocked person,” the European Union (including any of its member states), His Majesty’s Treasury, the United Nations Security Council, or other governmental authority with jurisdiction over the Company or the Underwriter (collectively, “Sanctions”), nor is the Company or any of its subsidiaries or any of their respective directors, officers or employees located, organized, or ordinarily resident in a country or territory that itself is itself the subject or target of comprehensive or territory-wide Sanctions (currently, Cuba, Iran, North Korea, Syria, and the Crimea, so-called Donetsk People’s Republic (DNR) and so-called Luhansk People’s Republic (LNR) regions of Ukraine) (each, a “Sanctioned Jurisdiction”), the Company will not, directly or indirectly, use the proceeds of the offering of the Shares hereunder, or lend, contribute or otherwise make available such proceeds to any subsidiary, joint venture partner or other person or entity (i) to fund or facilitate any activities of or business with or for the benefit of any person that, at the time of such funding, is the subject or the target of applicable Sanctions or any country or territory that, at the time of such funding is a Sanctioned Jurisdiction, except in each case to the extent as permitted under such Sanctions, or</w:t>
      </w:r>
    </w:p>
    <w:p>
      <w:pPr>
        <w:spacing w:after="0" w:line="2" w:lineRule="exact"/>
        <w:rPr>
          <w:rFonts w:ascii="Arial" w:cs="Arial" w:eastAsia="Arial" w:hAnsi="Arial"/>
          <w:sz w:val="16"/>
          <w:szCs w:val="16"/>
          <w:color w:val="auto"/>
        </w:rPr>
      </w:pPr>
    </w:p>
    <w:p>
      <w:pPr>
        <w:ind w:left="4" w:right="40" w:hanging="4"/>
        <w:spacing w:after="0" w:line="295" w:lineRule="auto"/>
        <w:tabs>
          <w:tab w:leader="none" w:pos="269"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any other manner that will result in a violation by the Company, any of its subsidiaries or by any person participating in the transaction, whether as underwriter, advisor, investor or otherwise, of Sanctions; except as set forth in the Pricing Prospectus, neither the Company nor any of its subsidiaries is engaged in, or has at any time in the past five years engaged in, any transactions in violation of Sanctions; the Company and its subsidiaries have instituted, and maintain, policies and procedures reasonably designed to promote and achieve continued compliance with Sanctions;</w:t>
      </w:r>
    </w:p>
    <w:p>
      <w:pPr>
        <w:spacing w:after="0" w:line="161" w:lineRule="exact"/>
        <w:rPr>
          <w:rFonts w:ascii="Arial" w:cs="Arial" w:eastAsia="Arial" w:hAnsi="Arial"/>
          <w:sz w:val="16"/>
          <w:szCs w:val="16"/>
          <w:color w:val="auto"/>
        </w:rPr>
      </w:pPr>
    </w:p>
    <w:p>
      <w:pPr>
        <w:ind w:left="4" w:right="20" w:firstLine="436"/>
        <w:spacing w:after="0" w:line="253" w:lineRule="auto"/>
        <w:tabs>
          <w:tab w:leader="none" w:pos="699" w:val="left"/>
        </w:tabs>
        <w:numPr>
          <w:ilvl w:val="1"/>
          <w:numId w:val="10"/>
        </w:numPr>
        <w:rPr>
          <w:rFonts w:ascii="Arial" w:cs="Arial" w:eastAsia="Arial" w:hAnsi="Arial"/>
          <w:sz w:val="18"/>
          <w:szCs w:val="18"/>
          <w:color w:val="auto"/>
        </w:rPr>
      </w:pPr>
      <w:r>
        <w:rPr>
          <w:rFonts w:ascii="Arial" w:cs="Arial" w:eastAsia="Arial" w:hAnsi="Arial"/>
          <w:sz w:val="18"/>
          <w:szCs w:val="18"/>
          <w:color w:val="auto"/>
        </w:rPr>
        <w:t>(i) Each employee benefit plan, within the meaning of Section 3(3) of the Employee Retirement Income Security Act of 1974, as amended (“ERISA”), for which the Company or any member of its “Controlled Group” (defined as any entity, whether or not incorporated, that is under common control with the Company within the meaning of Section 4001(a)(14) of ERISA or any entity that would be regarded as a single employer with the Company under Section 414(b),(c),(m) or (o) of the Internal Revenue Code of 1986, as amended (the “Code”)) would have any liability (each, a “Plan”) has been maintained in compliance with its terms and the requirements of any applicable statutes, orders, rules and regulations, including but not limited to ERISA and the Code; (ii) no prohibited transaction, within the meaning of Section 406 of ERISA or Section 4975 of the Code, has occurred with respect to any Plan, excluding transactions effected pursuant to a statutory or administrative exemption; (iii) for each Plan that is subject to the funding rules of Section 412 of the Code or Section 302 of ERISA, no Plan has failed (whether or not waived), or is reasonably expected to fail, to satisfy the minimum funding standards (within</w:t>
      </w:r>
    </w:p>
    <w:p>
      <w:pPr>
        <w:sectPr>
          <w:pgSz w:w="11900" w:h="16838" w:orient="portrait"/>
          <w:cols w:equalWidth="0" w:num="1">
            <w:col w:w="11004"/>
          </w:cols>
          <w:pgMar w:left="436" w:top="490" w:right="459" w:bottom="1440" w:gutter="0" w:footer="0" w:header="0"/>
        </w:sectPr>
      </w:pPr>
    </w:p>
    <w:bookmarkStart w:id="12" w:name="page13"/>
    <w:bookmarkEnd w:id="12"/>
    <w:p>
      <w:pPr>
        <w:ind w:left="4" w:right="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meaning of Section 302 of ERISA or Section 412 of the Code) applicable to such Plan; (iv) no Plan is, or is reasonably expected to be, in “at risk status” (within the meaning of Section 303(i) of ERISA) and no Plan that is a “multiemployer plan” within the meaning of Section 4001(a)(3) of ERISA is in “endangered status” or “critical status” (within the meaning of Sections 304 and 305 of ERISA) (v) the fair market value of the assets of each Plan exceeds the present value of all benefits accrued under such Plan (determined based on those assumptions used to fund such Plan); (vi) no “reportable event” (within the meaning of Section 4043(c) of ERISA and the regulations promulgated thereunder) has occurred or is reasonably expected to occur;</w:t>
      </w:r>
    </w:p>
    <w:p>
      <w:pPr>
        <w:spacing w:after="0" w:line="2" w:lineRule="exact"/>
        <w:rPr>
          <w:sz w:val="20"/>
          <w:szCs w:val="20"/>
          <w:color w:val="auto"/>
        </w:rPr>
      </w:pPr>
    </w:p>
    <w:p>
      <w:pPr>
        <w:ind w:left="4" w:right="20" w:hanging="4"/>
        <w:spacing w:after="0" w:line="281" w:lineRule="auto"/>
        <w:tabs>
          <w:tab w:leader="none" w:pos="359" w:val="left"/>
        </w:tabs>
        <w:numPr>
          <w:ilvl w:val="0"/>
          <w:numId w:val="11"/>
        </w:numPr>
        <w:rPr>
          <w:rFonts w:ascii="Arial" w:cs="Arial" w:eastAsia="Arial" w:hAnsi="Arial"/>
          <w:sz w:val="16"/>
          <w:szCs w:val="16"/>
          <w:color w:val="auto"/>
        </w:rPr>
      </w:pPr>
      <w:r>
        <w:rPr>
          <w:rFonts w:ascii="Arial" w:cs="Arial" w:eastAsia="Arial" w:hAnsi="Arial"/>
          <w:sz w:val="16"/>
          <w:szCs w:val="16"/>
          <w:color w:val="auto"/>
        </w:rPr>
        <w:t>each Plan that is intended to be qualified under Section 401(a) of the Code is so qualified, and nothing has occurred, whether by action or by failure to act, which would cause the loss of such qualification; (viii) neither the Company nor any member of the Controlled Group has incurred, nor reasonably expects to incur, any liability under Title IV of ERISA (other than contributions to the Plan or premiums to the Pension Benefit Guarantee Corporation, in the ordinary course and without default) in respect of a Plan (including a “multiemployer plan” within the meaning of Section 4001(a)</w:t>
      </w:r>
    </w:p>
    <w:p>
      <w:pPr>
        <w:spacing w:after="0" w:line="2" w:lineRule="exact"/>
        <w:rPr>
          <w:rFonts w:ascii="Arial" w:cs="Arial" w:eastAsia="Arial" w:hAnsi="Arial"/>
          <w:sz w:val="16"/>
          <w:szCs w:val="16"/>
          <w:color w:val="auto"/>
        </w:rPr>
      </w:pPr>
    </w:p>
    <w:p>
      <w:pPr>
        <w:ind w:left="4" w:right="80"/>
        <w:spacing w:after="0" w:line="269" w:lineRule="auto"/>
        <w:rPr>
          <w:rFonts w:ascii="Arial" w:cs="Arial" w:eastAsia="Arial" w:hAnsi="Arial"/>
          <w:sz w:val="16"/>
          <w:szCs w:val="16"/>
          <w:color w:val="auto"/>
        </w:rPr>
      </w:pPr>
      <w:r>
        <w:rPr>
          <w:rFonts w:ascii="Arial" w:cs="Arial" w:eastAsia="Arial" w:hAnsi="Arial"/>
          <w:sz w:val="17"/>
          <w:szCs w:val="17"/>
          <w:color w:val="auto"/>
        </w:rPr>
        <w:t>(3) of ERISA); and (ix) none of the following events has occurred or is reasonably likely to occur: (A) a material increase in the aggregate amount of contributions required to be made to all Plans by the Company or its Controlled Group affiliates in the current fiscal year of the Company and its Controlled Group affiliates compared to the amount of such contributions made in the Company’s and its Controlled Group affiliates’ most recently completed fiscal year; or (B) a material increase in the Company and its subsidiaries’ “accumulated post-retirement benefit obligations” (within the meaning of Accounting Standards Codification Topic 715-60) compared to the amount of such obligations in the Company and its subsidiaries’ most recently completed fiscal year, except in each case with respect to the events or conditions set forth in (i) through (ix) hereof, as would not, individually or in the aggregate, reasonably be expected to have a Material Adverse Effect;</w:t>
      </w:r>
    </w:p>
    <w:p>
      <w:pPr>
        <w:spacing w:after="0" w:line="180" w:lineRule="exact"/>
        <w:rPr>
          <w:rFonts w:ascii="Arial" w:cs="Arial" w:eastAsia="Arial" w:hAnsi="Arial"/>
          <w:sz w:val="16"/>
          <w:szCs w:val="16"/>
          <w:color w:val="auto"/>
        </w:rPr>
      </w:pPr>
    </w:p>
    <w:p>
      <w:pPr>
        <w:ind w:left="4" w:firstLine="436"/>
        <w:spacing w:after="0" w:line="272" w:lineRule="auto"/>
        <w:tabs>
          <w:tab w:leader="none" w:pos="696" w:val="left"/>
        </w:tabs>
        <w:numPr>
          <w:ilvl w:val="1"/>
          <w:numId w:val="11"/>
        </w:numPr>
        <w:rPr>
          <w:rFonts w:ascii="Arial" w:cs="Arial" w:eastAsia="Arial" w:hAnsi="Arial"/>
          <w:sz w:val="17"/>
          <w:szCs w:val="17"/>
          <w:color w:val="auto"/>
        </w:rPr>
      </w:pPr>
      <w:r>
        <w:rPr>
          <w:rFonts w:ascii="Arial" w:cs="Arial" w:eastAsia="Arial" w:hAnsi="Arial"/>
          <w:sz w:val="17"/>
          <w:szCs w:val="17"/>
          <w:color w:val="auto"/>
        </w:rPr>
        <w:t>The Company and its subsidiaries have insurance covering their respective properties, operations, personnel and businesses, including business interruption insurance, as are required by law and in such amounts, and that insures against such losses and risks, as are reasonable and is ordinary and customary for comparable companies in the same or similar businesses as determined by the Company, and the Company believes are adequate to protect the Company and its subsidiaries; and the Company (i) has not received notice from any insurer or agent of such insurer that capital improvements or other expenditures are required or necessary to be made in order to continue such insurance and (ii) does not have any reason to believe that it will not be able to renew its existing insurance coverage as and when such coverage expires or to obtain similar coverage at reasonable cost from similar insurers as may be necessary to continue its business;</w:t>
      </w:r>
    </w:p>
    <w:p>
      <w:pPr>
        <w:spacing w:after="0" w:line="177" w:lineRule="exact"/>
        <w:rPr>
          <w:rFonts w:ascii="Arial" w:cs="Arial" w:eastAsia="Arial" w:hAnsi="Arial"/>
          <w:sz w:val="17"/>
          <w:szCs w:val="17"/>
          <w:color w:val="auto"/>
        </w:rPr>
      </w:pPr>
    </w:p>
    <w:p>
      <w:pPr>
        <w:ind w:left="684" w:hanging="244"/>
        <w:spacing w:after="0"/>
        <w:tabs>
          <w:tab w:leader="none" w:pos="684"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225" w:lineRule="exact"/>
        <w:rPr>
          <w:sz w:val="20"/>
          <w:szCs w:val="20"/>
          <w:color w:val="auto"/>
        </w:rPr>
      </w:pPr>
    </w:p>
    <w:p>
      <w:pPr>
        <w:ind w:left="4" w:right="460" w:firstLine="436"/>
        <w:spacing w:after="0" w:line="311" w:lineRule="auto"/>
        <w:tabs>
          <w:tab w:leader="none" w:pos="766"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financial statements included or incorporated by reference in the Registration Statement, the Pricing Prospectus and the Prospectus, together with the related schedules and notes, present fairly in all material respects the financial position of the Company and its consolidated subsidiaries at the dates indicated and the statement of operations, stockholders’ equity and cash flows of the Company and its consolidated</w:t>
      </w:r>
    </w:p>
    <w:p>
      <w:pPr>
        <w:sectPr>
          <w:pgSz w:w="11900" w:h="16838" w:orient="portrait"/>
          <w:cols w:equalWidth="0" w:num="1">
            <w:col w:w="11004"/>
          </w:cols>
          <w:pgMar w:left="436" w:top="490" w:right="459" w:bottom="1440" w:gutter="0" w:footer="0" w:header="0"/>
        </w:sectPr>
      </w:pPr>
    </w:p>
    <w:bookmarkStart w:id="13" w:name="page14"/>
    <w:bookmarkEnd w:id="13"/>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subsidiaries for the periods specified; said financial statements have been prepared in conformity with GAAP applied on a consistent basis throughout the periods involved. The selected consolidated financial data and the summary consolidated financial information included or incorporated by reference in the Registration Statement, the Pricing Prospectus and the Prospectus present fairly in all material respects the information shown therein and have been compiled on a basis consistent with that of the audited financial statements included therein. Except as included therein, no historical or pro forma financial statements or supporting schedules are required to be included or incorporated by reference in the Registration Statement, the Pricing Prospectus or the Prospectus under the Act or the rules and regulations promulgated thereunder. All disclosures contained or incorporated by reference in the Registration Statement, the Pricing Prospectus and the Prospectus regarding “non-GAAP financial measures” (as such term is defined by the rules and regulations of the Commission) comply in all material respects with Regulation G of the Exchange Act and Item 10 of Regulation S-K of the Act, to the extent applicable;</w:t>
      </w:r>
    </w:p>
    <w:p>
      <w:pPr>
        <w:spacing w:after="0" w:line="181" w:lineRule="exact"/>
        <w:rPr>
          <w:sz w:val="20"/>
          <w:szCs w:val="20"/>
          <w:color w:val="auto"/>
        </w:rPr>
      </w:pPr>
    </w:p>
    <w:p>
      <w:pPr>
        <w:jc w:val="both"/>
        <w:ind w:right="80" w:firstLine="436"/>
        <w:spacing w:after="0" w:line="342" w:lineRule="auto"/>
        <w:tabs>
          <w:tab w:leader="none" w:pos="782"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There are no persons with registration rights or other similar rights to have any securities registered pursuant to the Registration Statement or otherwise registered by the Company under the Act, except as have been validly waived or complied with in connection with the offering of the Shares;</w:t>
      </w:r>
    </w:p>
    <w:p>
      <w:pPr>
        <w:spacing w:after="0" w:line="123" w:lineRule="exact"/>
        <w:rPr>
          <w:rFonts w:ascii="Arial" w:cs="Arial" w:eastAsia="Arial" w:hAnsi="Arial"/>
          <w:sz w:val="16"/>
          <w:szCs w:val="16"/>
          <w:color w:val="auto"/>
        </w:rPr>
      </w:pPr>
    </w:p>
    <w:p>
      <w:pPr>
        <w:ind w:firstLine="436"/>
        <w:spacing w:after="0" w:line="286" w:lineRule="auto"/>
        <w:tabs>
          <w:tab w:leader="none" w:pos="765" w:val="left"/>
        </w:tabs>
        <w:numPr>
          <w:ilvl w:val="0"/>
          <w:numId w:val="13"/>
        </w:numPr>
        <w:rPr>
          <w:rFonts w:ascii="Arial" w:cs="Arial" w:eastAsia="Arial" w:hAnsi="Arial"/>
          <w:sz w:val="16"/>
          <w:szCs w:val="16"/>
          <w:color w:val="auto"/>
        </w:rPr>
      </w:pPr>
      <w:r>
        <w:rPr>
          <w:rFonts w:ascii="Arial" w:cs="Arial" w:eastAsia="Arial" w:hAnsi="Arial"/>
          <w:sz w:val="16"/>
          <w:szCs w:val="16"/>
          <w:color w:val="auto"/>
        </w:rPr>
        <w:t>No material labor disturbance by or dispute with current or former employees or officers of the Company or any of its subsidiaries exists or, to the Company’s knowledge, is contemplated or threatened, and the Company is not aware of any existing or imminent labor disturbance by, or dispute with, the employees of any of the Company’s or any of its subsidiaries’ principal suppliers, vendors or contractors. Neither the Company nor any of its subsidiaries is a party to any collective bargaining agreement. The Company and its subsidiaries are, and for the past three (3) years have been, in material compliance with all applicable laws and regulations respecting labor and employment matters, including fair employment practices, harassment, discrimination, pay equity, restrictive covenants, the classification of independent contractors and employees, workplace safety and health, work authorization and immigration, unemployment compensation, workers’ compensation, affirmative action, terms and conditions of employment, employee leave and wages and hours, including payment of minimum wages and overtime, except for such as would not reasonably be expected to have a Material Adverse Effect. For the last three (3) years, neither the Company nor any of its subsidiaries has experienced a “plant closing,” “or “mass layoff” or similar group employment loss as defined in the federal Worker Adjustment and Retraining Notification Act (the “WARN Act”) or any similar state, local or foreign law or regulation affecting any site of employment of the Company or any of its subsidiaries or one or more facilities or operating units within any site of employment or facility of the Company or any of its subsidiaries. During the ninety (90) day period preceding the date hereof, no more than ten (10) employees have suffered an “employment loss” as defined in the WARN Act with respect to the Company or any of its subsidiaries;</w:t>
      </w:r>
    </w:p>
    <w:p>
      <w:pPr>
        <w:spacing w:after="0" w:line="173" w:lineRule="exact"/>
        <w:rPr>
          <w:rFonts w:ascii="Arial" w:cs="Arial" w:eastAsia="Arial" w:hAnsi="Arial"/>
          <w:sz w:val="16"/>
          <w:szCs w:val="16"/>
          <w:color w:val="auto"/>
        </w:rPr>
      </w:pPr>
    </w:p>
    <w:p>
      <w:pPr>
        <w:ind w:right="120" w:firstLine="436"/>
        <w:spacing w:after="0" w:line="263" w:lineRule="auto"/>
        <w:tabs>
          <w:tab w:leader="none" w:pos="78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Company’s board of directors meets the independence requirements of, and has established an audit committee, a compensation committee and a nominating and corporate governance committee, in each case, that meets the independence requirements of, the rules and regulations of the Commission and Nasdaq;</w:t>
      </w:r>
    </w:p>
    <w:p>
      <w:pPr>
        <w:sectPr>
          <w:pgSz w:w="11900" w:h="16838" w:orient="portrait"/>
          <w:cols w:equalWidth="0" w:num="1">
            <w:col w:w="11000"/>
          </w:cols>
          <w:pgMar w:left="440" w:top="490" w:right="459" w:bottom="1440" w:gutter="0" w:footer="0" w:header="0"/>
        </w:sectPr>
      </w:pPr>
    </w:p>
    <w:bookmarkStart w:id="14" w:name="page15"/>
    <w:bookmarkEnd w:id="14"/>
    <w:p>
      <w:pPr>
        <w:ind w:left="-436" w:right="440" w:firstLine="436"/>
        <w:spacing w:after="0" w:line="286" w:lineRule="auto"/>
        <w:tabs>
          <w:tab w:leader="none" w:pos="329" w:val="left"/>
        </w:tabs>
        <w:numPr>
          <w:ilvl w:val="0"/>
          <w:numId w:val="1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Neither the Company nor any of its subsidiaries is a party to any contract, agreement or understanding with any person (other than this Agreement) that would reasonably be expected to give rise to a valid claim against the Company or any of its subsidiaries or any Underwriter for a brokerage commission, finder’s fee or like payment in connection with the offering and sale of the Shares;</w:t>
      </w:r>
    </w:p>
    <w:p>
      <w:pPr>
        <w:spacing w:after="0" w:line="165" w:lineRule="exact"/>
        <w:rPr>
          <w:rFonts w:ascii="Arial" w:cs="Arial" w:eastAsia="Arial" w:hAnsi="Arial"/>
          <w:sz w:val="17"/>
          <w:szCs w:val="17"/>
          <w:color w:val="auto"/>
        </w:rPr>
      </w:pPr>
    </w:p>
    <w:p>
      <w:pPr>
        <w:ind w:left="-436" w:firstLine="436"/>
        <w:spacing w:after="0" w:line="259" w:lineRule="auto"/>
        <w:tabs>
          <w:tab w:leader="none" w:pos="285"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relationship, direct or indirect, exists between or among the Company or any of its subsidiaries, on the one hand, and the directors, officers, stockholders, customers, vendors or suppliers of the Company or any of its subsidiaries, on the other, that is required by the Act to be described in the Registration Statement and the Prospectus and that is not so described in such documents and in the Registration Statement, the Pricing Disclosure Package and the Prospectus;</w:t>
      </w:r>
    </w:p>
    <w:p>
      <w:pPr>
        <w:spacing w:after="0" w:line="186" w:lineRule="exact"/>
        <w:rPr>
          <w:rFonts w:ascii="Arial" w:cs="Arial" w:eastAsia="Arial" w:hAnsi="Arial"/>
          <w:sz w:val="18"/>
          <w:szCs w:val="18"/>
          <w:color w:val="auto"/>
        </w:rPr>
      </w:pPr>
    </w:p>
    <w:p>
      <w:pPr>
        <w:ind w:left="-436" w:right="100" w:firstLine="436"/>
        <w:spacing w:after="0" w:line="277" w:lineRule="auto"/>
        <w:tabs>
          <w:tab w:leader="none" w:pos="34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There are no contracts, arrangements or documents which are required to be described in the Registration Statement or to be filed as exhibits thereto which have not been so described and filed;</w:t>
      </w:r>
    </w:p>
    <w:p>
      <w:pPr>
        <w:spacing w:after="0" w:line="170" w:lineRule="exact"/>
        <w:rPr>
          <w:rFonts w:ascii="Arial" w:cs="Arial" w:eastAsia="Arial" w:hAnsi="Arial"/>
          <w:sz w:val="18"/>
          <w:szCs w:val="18"/>
          <w:color w:val="auto"/>
        </w:rPr>
      </w:pPr>
    </w:p>
    <w:p>
      <w:pPr>
        <w:ind w:left="-436" w:firstLine="436"/>
        <w:spacing w:after="0" w:line="286" w:lineRule="auto"/>
        <w:tabs>
          <w:tab w:leader="none" w:pos="346"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Company and each of its subsidiaries have in place, comply with, and take appropriate steps reasonably designed to ensure compliance with their policies and procedures relating to data privacy and security and the collection, storage, use, disclosure, handling, and analysis of Personal Data (as defined below), except as would not, individually or in the aggregate, reasonably be expected to have a Material Adverse Effect. The Company and each of its subsidiaries comply and have complied with all applicable laws and regulations concerning the protection, privacy or security of Personal Data, and all published interpretations of any of the foregoing by any governmental authority or body, including, without limitation, federal, state or foreign laws or regulations regarding (a) the processing of Personal Data, data privacy or security; (b) data breach notification; (c) sales and marketing communications; (d) payment card processing; (e) biometric data; and (f) online behavioral advertising (“Data Protection Laws”), except as would not, individually or in the aggregate, reasonably be expected to have a Material Adverse Effect. Neither the Company nor any of its subsidiaries has received any written communication from any person or data subject alleging a breach of any of its obligations under Data Protection Laws and, to the Company’s knowledge, there are no facts or circumstances that would give rise to any such claim, except as would not, individually or in the aggregate, reasonably be expected to have a Material Adverse Effect. Except as would not, individually or in the aggregate, reasonably be expected to have a Material Adverse Effect, the Company further certifies that neither the Company nor any of its subsidiaries are currently conducting or paying for, in whole or in part, any investigation, remediation, or other corrective action pursuant to any Data Protection Law and neither the Company nor any of its subsidiaries is a party to any order, decree, or agreement that imposes any obligation or liability under any Data Protection Law;</w:t>
      </w:r>
    </w:p>
    <w:p>
      <w:pPr>
        <w:spacing w:after="0" w:line="170" w:lineRule="exact"/>
        <w:rPr>
          <w:rFonts w:ascii="Arial" w:cs="Arial" w:eastAsia="Arial" w:hAnsi="Arial"/>
          <w:sz w:val="16"/>
          <w:szCs w:val="16"/>
          <w:color w:val="auto"/>
        </w:rPr>
      </w:pPr>
    </w:p>
    <w:p>
      <w:pPr>
        <w:ind w:left="-436" w:right="100" w:firstLine="436"/>
        <w:spacing w:after="0" w:line="272" w:lineRule="auto"/>
        <w:tabs>
          <w:tab w:leader="none" w:pos="266" w:val="left"/>
        </w:tabs>
        <w:numPr>
          <w:ilvl w:val="0"/>
          <w:numId w:val="14"/>
        </w:numPr>
        <w:rPr>
          <w:rFonts w:ascii="Arial" w:cs="Arial" w:eastAsia="Arial" w:hAnsi="Arial"/>
          <w:sz w:val="17"/>
          <w:szCs w:val="17"/>
          <w:color w:val="auto"/>
        </w:rPr>
      </w:pPr>
      <w:r>
        <w:rPr>
          <w:rFonts w:ascii="Arial" w:cs="Arial" w:eastAsia="Arial" w:hAnsi="Arial"/>
          <w:sz w:val="17"/>
          <w:szCs w:val="17"/>
          <w:color w:val="auto"/>
        </w:rPr>
        <w:t>To the Company’s knowledge, the Company and each of its subsidiaries (i) own or otherwise possess adequate rights to use all material patents, patent applications, trademarks, service marks, trade names, domain names, copyrights and registrations and applications thereof, licenses, know-how, software, systems and technology (including trade secrets and other unpatented and/or unpatentable proprietary or confidential information, systems or procedures and other intellectual property) necessary for the conduct of their respective businesses, and (ii) do not, through the conduct of their respective businesses, infringe, violate or conflict with any such right of others. Except as would not, individually or in the aggregate, reasonably be expected to be material to the Company and its subsidiaries, taken as a whole, the Company has not received any written notice of any claim of infringement, violation or conflict with, any such rights of others;</w:t>
      </w:r>
    </w:p>
    <w:p>
      <w:pPr>
        <w:sectPr>
          <w:pgSz w:w="11900" w:h="16838" w:orient="portrait"/>
          <w:cols w:equalWidth="0" w:num="1">
            <w:col w:w="10564"/>
          </w:cols>
          <w:pgMar w:left="876" w:top="490" w:right="459" w:bottom="1440" w:gutter="0" w:footer="0" w:header="0"/>
        </w:sectPr>
      </w:pPr>
    </w:p>
    <w:bookmarkStart w:id="15" w:name="page16"/>
    <w:bookmarkEnd w:id="15"/>
    <w:p>
      <w:pPr>
        <w:ind w:left="-436" w:firstLine="436"/>
        <w:spacing w:after="0" w:line="286" w:lineRule="auto"/>
        <w:tabs>
          <w:tab w:leader="none" w:pos="266" w:val="left"/>
        </w:tabs>
        <w:numPr>
          <w:ilvl w:val="0"/>
          <w:numId w:val="1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Company and its subsidiaries’ information technology assets and equipment, computers, systems, networks, hardware, software, websites, applications, and databases (collectively, “IT Systems”) are adequate for, and operate and perform in all material respects as required in connection with the operation of the business of the Company and its subsidiaries as currently conducted, to the Company’s knowledge, free and clear of all material bugs, errors, defects, Trojan horses, time bombs, malware and other corruptants; the Company and its subsidiaries have taken commercially reasonable steps to implement and maintain controls, policies, procedures, and safeguards to maintain and protect their material confidential information and the integrity, continuous operation, redundancy and security of all IT Systems and data (including all personal, personally identifiable, sensitive, confidential or regulated data (“Personal Data”)) used in connection with their businesses, and there have been no breaches, violations, outages or unauthorized uses of or accesses to same, except for those that have been remedied without material cost or liability or the duty to notify any other person of material incidents, nor any incidents under internal review or investigations relating to the same. Except as would not, individually or in the aggregate, reasonably be expected to be material to the Company and its subsidiaries, taken as a whole, the Company and its subsidiaries have at all times complied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spacing w:after="0" w:line="173" w:lineRule="exact"/>
        <w:rPr>
          <w:rFonts w:ascii="Arial" w:cs="Arial" w:eastAsia="Arial" w:hAnsi="Arial"/>
          <w:sz w:val="16"/>
          <w:szCs w:val="16"/>
          <w:color w:val="auto"/>
        </w:rPr>
      </w:pPr>
    </w:p>
    <w:p>
      <w:pPr>
        <w:ind w:left="-436" w:right="60" w:firstLine="436"/>
        <w:spacing w:after="0" w:line="263" w:lineRule="auto"/>
        <w:tabs>
          <w:tab w:leader="none" w:pos="349"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forward-looking statement (within the meaning of Section 27A of the Act and Section 21E of the Exchange Act) included or incorporated by reference in any of the Registration Statement, the Pricing Prospectus or the Prospectus has been made or reaffirmed by the Company without a reasonable basis or has been disclosed other than in good faith;</w:t>
      </w:r>
    </w:p>
    <w:p>
      <w:pPr>
        <w:spacing w:after="0" w:line="183" w:lineRule="exact"/>
        <w:rPr>
          <w:rFonts w:ascii="Arial" w:cs="Arial" w:eastAsia="Arial" w:hAnsi="Arial"/>
          <w:sz w:val="18"/>
          <w:szCs w:val="18"/>
          <w:color w:val="auto"/>
        </w:rPr>
      </w:pPr>
    </w:p>
    <w:p>
      <w:pPr>
        <w:ind w:left="-436" w:right="60" w:firstLine="436"/>
        <w:spacing w:after="0" w:line="263" w:lineRule="auto"/>
        <w:tabs>
          <w:tab w:leader="none" w:pos="269"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Nothing has come to the attention of the Company that has caused the Company to believe that the statistical and market-related data included or incorporated by reference in each of the Registration Statement, the Pricing Prospectus and the Prospectus is not based on or derived from sources that are reliable and accurate in all material respects;</w:t>
      </w:r>
    </w:p>
    <w:p>
      <w:pPr>
        <w:spacing w:after="0" w:line="183" w:lineRule="exact"/>
        <w:rPr>
          <w:rFonts w:ascii="Arial" w:cs="Arial" w:eastAsia="Arial" w:hAnsi="Arial"/>
          <w:sz w:val="18"/>
          <w:szCs w:val="18"/>
          <w:color w:val="auto"/>
        </w:rPr>
      </w:pPr>
    </w:p>
    <w:p>
      <w:pPr>
        <w:ind w:left="-436" w:firstLine="436"/>
        <w:spacing w:after="0" w:line="263" w:lineRule="auto"/>
        <w:tabs>
          <w:tab w:leader="none" w:pos="44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There is and has been no failure on the part of the Company or any of the Company’s directors or officers, in their capacities as such, to comply with any provision of the Sarbanes-Oxley Act of 2002, as amended and the rules and regulations promulgated in connection therewith applicable to them, including Section 402 related to loans;</w:t>
      </w:r>
    </w:p>
    <w:p>
      <w:pPr>
        <w:spacing w:after="0" w:line="183" w:lineRule="exact"/>
        <w:rPr>
          <w:rFonts w:ascii="Arial" w:cs="Arial" w:eastAsia="Arial" w:hAnsi="Arial"/>
          <w:sz w:val="18"/>
          <w:szCs w:val="18"/>
          <w:color w:val="auto"/>
        </w:rPr>
      </w:pPr>
    </w:p>
    <w:p>
      <w:pPr>
        <w:ind w:left="-436" w:right="460" w:firstLine="436"/>
        <w:spacing w:after="0" w:line="263" w:lineRule="auto"/>
        <w:tabs>
          <w:tab w:leader="none" w:pos="349"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Neither the Company nor any of its controlled affiliates has taken, directly or indirectly, without giving effect to the activities by the Underwriters, any action designed to or that would reasonably be expected to cause or result in the stabilization or manipulation of the price of the Shares;</w:t>
      </w:r>
    </w:p>
    <w:p>
      <w:pPr>
        <w:sectPr>
          <w:pgSz w:w="11900" w:h="16838" w:orient="portrait"/>
          <w:cols w:equalWidth="0" w:num="1">
            <w:col w:w="10564"/>
          </w:cols>
          <w:pgMar w:left="876" w:top="490" w:right="459" w:bottom="1440" w:gutter="0" w:footer="0" w:header="0"/>
        </w:sectPr>
      </w:pPr>
    </w:p>
    <w:bookmarkStart w:id="16" w:name="page17"/>
    <w:bookmarkEnd w:id="16"/>
    <w:p>
      <w:pPr>
        <w:ind w:left="-436" w:right="160" w:firstLine="436"/>
        <w:spacing w:after="0" w:line="254" w:lineRule="auto"/>
        <w:tabs>
          <w:tab w:leader="none" w:pos="346" w:val="left"/>
        </w:tabs>
        <w:numPr>
          <w:ilvl w:val="0"/>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Company and each of its subsidiaries have such permits, licenses, approvals, consents, franchises, certificates of need and other approvals or authorizations of governmental or regulatory authorities (“Permits”) as are necessary under applicable law to own their respective properties and conduct their respective businesses in the manner described in the Registration Statement, the Pricing Prospectus and the Prospectus, except for any of the foregoing that would not, individually or in the aggregate, reasonably be expected to have a Material Adverse Effect. Neither the Company nor any of its subsidiaries has received written notice of any proceedings related to the revocation or modification of any such Permits that, individually or in the aggregate, if the subject of an unfavorable decision, ruling or finding, would reasonably be expected to have a Material Adverse Effect;</w:t>
      </w:r>
    </w:p>
    <w:p>
      <w:pPr>
        <w:spacing w:after="0" w:line="194" w:lineRule="exact"/>
        <w:rPr>
          <w:rFonts w:ascii="Arial" w:cs="Arial" w:eastAsia="Arial" w:hAnsi="Arial"/>
          <w:sz w:val="18"/>
          <w:szCs w:val="18"/>
          <w:color w:val="auto"/>
        </w:rPr>
      </w:pPr>
    </w:p>
    <w:p>
      <w:pPr>
        <w:ind w:left="-436" w:right="60" w:firstLine="436"/>
        <w:spacing w:after="0" w:line="291" w:lineRule="auto"/>
        <w:tabs>
          <w:tab w:leader="none" w:pos="339" w:val="left"/>
        </w:tabs>
        <w:numPr>
          <w:ilvl w:val="0"/>
          <w:numId w:val="16"/>
        </w:numPr>
        <w:rPr>
          <w:rFonts w:ascii="Arial" w:cs="Arial" w:eastAsia="Arial" w:hAnsi="Arial"/>
          <w:sz w:val="16"/>
          <w:szCs w:val="16"/>
          <w:color w:val="auto"/>
        </w:rPr>
      </w:pPr>
      <w:r>
        <w:rPr>
          <w:rFonts w:ascii="Arial" w:cs="Arial" w:eastAsia="Arial" w:hAnsi="Arial"/>
          <w:sz w:val="16"/>
          <w:szCs w:val="16"/>
          <w:color w:val="auto"/>
        </w:rPr>
        <w:t>All United States federal income tax returns of the Company and its subsidiaries required by law to be filed, subject to permitted extensions, have been filed and all taxes shown as due on such returns or that otherwise have been assessed, which are due and payable, have been paid, except assessments against which appeals have been or will be promptly taken and as to which adequate reserves have been provided. The Company and its Subsidiaries have filed all other tax returns that are required to have been filed by them pursuant to applicable foreign, state, local or other law, except insofar as the failure to file such returns would not, individually or in the aggregate, reasonably be expected to have a Material Adverse Effect, and has paid all taxes due pursuant to such returns or pursuant to any assessment received by the Company and its Subsidiaries, except for such taxes, if any, as are being contested in good faith and as to which adequate reserves have been provided;</w:t>
      </w:r>
    </w:p>
    <w:p>
      <w:pPr>
        <w:spacing w:after="0" w:line="166" w:lineRule="exact"/>
        <w:rPr>
          <w:rFonts w:ascii="Arial" w:cs="Arial" w:eastAsia="Arial" w:hAnsi="Arial"/>
          <w:sz w:val="16"/>
          <w:szCs w:val="16"/>
          <w:color w:val="auto"/>
        </w:rPr>
      </w:pPr>
    </w:p>
    <w:p>
      <w:pPr>
        <w:ind w:left="-436" w:firstLine="436"/>
        <w:spacing w:after="0" w:line="271" w:lineRule="auto"/>
        <w:tabs>
          <w:tab w:leader="none" w:pos="349" w:val="left"/>
        </w:tabs>
        <w:numPr>
          <w:ilvl w:val="0"/>
          <w:numId w:val="16"/>
        </w:numPr>
        <w:rPr>
          <w:rFonts w:ascii="Arial" w:cs="Arial" w:eastAsia="Arial" w:hAnsi="Arial"/>
          <w:sz w:val="17"/>
          <w:szCs w:val="17"/>
          <w:color w:val="auto"/>
        </w:rPr>
      </w:pPr>
      <w:r>
        <w:rPr>
          <w:rFonts w:ascii="Arial" w:cs="Arial" w:eastAsia="Arial" w:hAnsi="Arial"/>
          <w:sz w:val="17"/>
          <w:szCs w:val="17"/>
          <w:color w:val="auto"/>
        </w:rPr>
        <w:t>Except for any such matter or matters as would not, individually or in the aggregate, reasonably be expected to have a Material Adverse Effect (i) the Company and its subsidiaries are in compliance with all, and have not violated any, applicable federal, state, local and foreign laws (including common law), rules, regulations, requirements, decisions, judgments, decrees, orders and other legally enforceable requirements relating to pollution or the protection of human health or safety, the environment, natural resources, hazardous or toxic substances or wastes, pollutants or contaminants (collectively, “Environmental Laws”); (ii) are in compliance with all, and have not violated any, permits, licenses, certificates or other authorizations or approvals required of them under any Environmental Laws to conduct their respective businesses; and have not received notice of any actual or potential liability or obligation under or relating to, or any actual or potential violation of, any Environmental Laws; and (iii) there are no costs or liabilities associated with Environmental Laws of or relating to the Company or its subsidiaries;</w:t>
      </w:r>
    </w:p>
    <w:p>
      <w:pPr>
        <w:spacing w:after="0" w:line="178" w:lineRule="exact"/>
        <w:rPr>
          <w:rFonts w:ascii="Arial" w:cs="Arial" w:eastAsia="Arial" w:hAnsi="Arial"/>
          <w:sz w:val="17"/>
          <w:szCs w:val="17"/>
          <w:color w:val="auto"/>
        </w:rPr>
      </w:pPr>
    </w:p>
    <w:p>
      <w:pPr>
        <w:ind w:left="284" w:hanging="284"/>
        <w:spacing w:after="0"/>
        <w:tabs>
          <w:tab w:leader="none" w:pos="28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is a “well-known seasoned issuer” as defined in Rule 405 of the Act; and</w:t>
      </w:r>
    </w:p>
    <w:p>
      <w:pPr>
        <w:spacing w:after="0" w:line="225" w:lineRule="exact"/>
        <w:rPr>
          <w:rFonts w:ascii="Arial" w:cs="Arial" w:eastAsia="Arial" w:hAnsi="Arial"/>
          <w:sz w:val="18"/>
          <w:szCs w:val="18"/>
          <w:color w:val="auto"/>
        </w:rPr>
      </w:pPr>
    </w:p>
    <w:p>
      <w:pPr>
        <w:ind w:left="-436" w:right="20" w:firstLine="436"/>
        <w:spacing w:after="0" w:line="277" w:lineRule="auto"/>
        <w:tabs>
          <w:tab w:leader="none" w:pos="30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There are no debt securities of the Company rated by any “nationally recognized statistical rating organization”, as that term is defined by the Commission for purposes of Rule 436(g)(2) under the Act.</w:t>
      </w:r>
    </w:p>
    <w:p>
      <w:pPr>
        <w:spacing w:after="0" w:line="170" w:lineRule="exact"/>
        <w:rPr>
          <w:sz w:val="20"/>
          <w:szCs w:val="20"/>
          <w:color w:val="auto"/>
        </w:rPr>
      </w:pPr>
    </w:p>
    <w:p>
      <w:pPr>
        <w:ind w:left="-436" w:right="80" w:firstLine="436"/>
        <w:spacing w:after="0" w:line="296" w:lineRule="auto"/>
        <w:tabs>
          <w:tab w:leader="none" w:pos="184" w:val="left"/>
        </w:tabs>
        <w:numPr>
          <w:ilvl w:val="0"/>
          <w:numId w:val="17"/>
        </w:numPr>
        <w:rPr>
          <w:rFonts w:ascii="Arial" w:cs="Arial" w:eastAsia="Arial" w:hAnsi="Arial"/>
          <w:sz w:val="16"/>
          <w:szCs w:val="16"/>
          <w:color w:val="auto"/>
        </w:rPr>
      </w:pPr>
      <w:r>
        <w:rPr>
          <w:rFonts w:ascii="Arial" w:cs="Arial" w:eastAsia="Arial" w:hAnsi="Arial"/>
          <w:sz w:val="16"/>
          <w:szCs w:val="16"/>
          <w:color w:val="auto"/>
        </w:rPr>
        <w:t>Subject to the terms and conditions herein set forth, (a) the Company agrees to issue and sell to each of the Underwriters, and each of the Underwriters agrees, severally and not jointly, to purchase from the Company, at a purchase price per share of $30.72, the number of Firm Shares set forth opposite the name of such Underwriter in Schedule I hereto and (b) in the event and to the extent that the Underwriters shall exercise the election to purchase Optional Shares as provided below, the Company agrees to issue and sell to each of the Underwriters, and each of the Underwriters agrees, severally and not jointly, to purchase from the Company, at the purchase price per share set forth in clause (a) of this</w:t>
      </w:r>
    </w:p>
    <w:p>
      <w:pPr>
        <w:sectPr>
          <w:pgSz w:w="11900" w:h="16838" w:orient="portrait"/>
          <w:cols w:equalWidth="0" w:num="1">
            <w:col w:w="10504"/>
          </w:cols>
          <w:pgMar w:left="876" w:top="490" w:right="519" w:bottom="1440" w:gutter="0" w:footer="0" w:header="0"/>
        </w:sectPr>
      </w:pPr>
    </w:p>
    <w:bookmarkStart w:id="17" w:name="page18"/>
    <w:bookmarkEnd w:id="17"/>
    <w:p>
      <w:pPr>
        <w:ind w:right="1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Section 2 (provided that the purchase price per Optional Share shall be reduced by an amount per share equal to any dividends or distributions declared by the Company and payable on the Firm Shares but not payable on the Optional Shares), that portion of the number of Optional Shares as to which such election shall have been exercised (to be adjusted by the Representative so as to eliminate fractional shares) determined by multiplying such number of Optional Shares by a fraction, the numerator of which is the maximum number of Optional Shares which such Underwriter is entitled to purchase as set forth opposite the name of such Underwriter in Schedule I hereto and the denominator of which is the maximum number of Optional Shares that all of the Underwriters are entitled to purchase hereunder.</w:t>
      </w:r>
    </w:p>
    <w:p>
      <w:pPr>
        <w:spacing w:after="0" w:line="178"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color w:val="auto"/>
        </w:rPr>
        <w:t>The Company hereby grants to the Underwriters the right to purchase at their election up to 1,200,000 Optional Shares, at the purchase price per share set forth in the paragraph above, provided that the purchase price per Optional Share shall be reduced by an amount per share equal to any dividends or distributions declared by the Company and payable on the Firm Shares but not payable on the Optional Shares. Any such election to purchase Optional Shares may be exercised only by written notice from the Representative to the Company, given within a period of 30 calendar days after the date of this Agreement, setting forth the aggregate number of Optional Shares to be purchased and the date on which such Optional Shares are to be delivered, as determined by the Representative but in no event earlier than the First Time of Delivery (as defined in Section 4 hereof) or, unless the Representative and the Company otherwise agree in writing, earlier than two or later than ten business days after the date of such notice.</w:t>
      </w:r>
    </w:p>
    <w:p>
      <w:pPr>
        <w:spacing w:after="0" w:line="166" w:lineRule="exact"/>
        <w:rPr>
          <w:sz w:val="20"/>
          <w:szCs w:val="20"/>
          <w:color w:val="auto"/>
        </w:rPr>
      </w:pPr>
    </w:p>
    <w:p>
      <w:pPr>
        <w:ind w:right="240" w:firstLine="436"/>
        <w:spacing w:after="0" w:line="277" w:lineRule="auto"/>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Upon the authorization by the Representative of the release of the Firm Shares, the several Underwriters propose to offer the Firm Shares for sale upon the terms and conditions set forth in the Pricing Prospectus and the Prospectus.</w:t>
      </w:r>
    </w:p>
    <w:p>
      <w:pPr>
        <w:spacing w:after="0" w:line="170" w:lineRule="exact"/>
        <w:rPr>
          <w:rFonts w:ascii="Arial" w:cs="Arial" w:eastAsia="Arial" w:hAnsi="Arial"/>
          <w:sz w:val="18"/>
          <w:szCs w:val="18"/>
          <w:color w:val="auto"/>
        </w:rPr>
      </w:pPr>
    </w:p>
    <w:p>
      <w:pPr>
        <w:ind w:firstLine="436"/>
        <w:spacing w:after="0" w:line="269" w:lineRule="auto"/>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The Shares to be purchased by each Underwriter hereunder, in book-entry form, and in such authorized denominations and registered in such names as the Representative may request upon at least forty-eight hours’ prior notice to the Company shall be delivered by or on behalf of the Company to the Representative, through the facilities of the Depository Trust Company (“DTC”), for the account of such Underwriter, against payment by or on behalf of such Underwriter of the purchase price therefor by wire transfer of Federal (same-day) funds to the account specified by the Company to the Representative at least forty-eight hours in advance. The time and date of such delivery and payment shall be, with respect to the Firm Shares, 9:30 a.m., New York City time, on August 14, 2023 or such other time and date as the Representative and the Company may agree upon in writing, and, with respect to the Optional Shares, 9:30 a.m., New York City time, on the date specified by the Representative in the written notice given by the Representative of the Underwriters’ election to purchase such Optional Shares, or such other time and date as the Representative and the Company may agree upon in writing. Such time and date for delivery of the Firm Shares is herein called the “First Time of Delivery”, each such time and date for delivery of the Optional Shares, if not the First Time of Delivery, is herein called the “Second Time of Delivery”, and each such time and date for delivery is herein called a “Time of Delivery”.</w:t>
      </w:r>
    </w:p>
    <w:p>
      <w:pPr>
        <w:sectPr>
          <w:pgSz w:w="11900" w:h="16838" w:orient="portrait"/>
          <w:cols w:equalWidth="0" w:num="1">
            <w:col w:w="11000"/>
          </w:cols>
          <w:pgMar w:left="440" w:top="490" w:right="459" w:bottom="1440" w:gutter="0" w:footer="0" w:header="0"/>
        </w:sectPr>
      </w:pPr>
    </w:p>
    <w:bookmarkStart w:id="18" w:name="page19"/>
    <w:bookmarkEnd w:id="18"/>
    <w:p>
      <w:pPr>
        <w:ind w:left="-436" w:right="120" w:firstLine="436"/>
        <w:spacing w:after="0" w:line="271" w:lineRule="auto"/>
        <w:tabs>
          <w:tab w:leader="none" w:pos="256" w:val="left"/>
        </w:tabs>
        <w:numPr>
          <w:ilvl w:val="0"/>
          <w:numId w:val="1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documents to be delivered at each Time of Delivery by or on behalf of the parties hereto pursuant to Section 8 hereof, including the cross receipt for the Shares and any additional documents requested by the Underwriters pursuant to Section 8(l) hereof, will be delivered at the offices of Goodwin Procter LLP, 100 Northern Avenue, Boston, Massachusetts 02210 (the “Closing Location”), and the Shares will be delivered at the office of DTC or its designated custodian, all at such Time of Delivery. A meeting will be held at the Closing Location at 5:00 p.m., New York City time, on the New York Business Day next preceding such Time of Delivery, at which meeting the final drafts of the documents to be delivered pursuant to the preceding sentence will be available for review by the parties hereto. For the purposes of this Section 4, “New York Business Day” shall mean each Monday, Tuesday, Wednesday, Thursday and Friday which is not a day on which banking institutions in New York City are generally authorized or obligated by law or executive order to close.</w:t>
      </w:r>
    </w:p>
    <w:p>
      <w:pPr>
        <w:spacing w:after="0" w:line="178" w:lineRule="exact"/>
        <w:rPr>
          <w:sz w:val="20"/>
          <w:szCs w:val="20"/>
          <w:color w:val="auto"/>
        </w:rPr>
      </w:pPr>
    </w:p>
    <w:p>
      <w:pPr>
        <w:ind w:left="4"/>
        <w:spacing w:after="0"/>
        <w:rPr>
          <w:sz w:val="20"/>
          <w:szCs w:val="20"/>
          <w:color w:val="auto"/>
        </w:rPr>
      </w:pPr>
      <w:r>
        <w:rPr>
          <w:rFonts w:ascii="Arial" w:cs="Arial" w:eastAsia="Arial" w:hAnsi="Arial"/>
          <w:sz w:val="18"/>
          <w:szCs w:val="18"/>
          <w:color w:val="auto"/>
        </w:rPr>
        <w:t>5. The Company agrees with each of the Underwriters:</w:t>
      </w:r>
    </w:p>
    <w:p>
      <w:pPr>
        <w:spacing w:after="0" w:line="117" w:lineRule="exact"/>
        <w:rPr>
          <w:sz w:val="20"/>
          <w:szCs w:val="20"/>
          <w:color w:val="auto"/>
        </w:rPr>
      </w:pPr>
    </w:p>
    <w:p>
      <w:pPr>
        <w:ind w:left="-436" w:firstLine="436"/>
        <w:spacing w:after="0" w:line="284" w:lineRule="auto"/>
        <w:tabs>
          <w:tab w:leader="none" w:pos="245" w:val="left"/>
        </w:tabs>
        <w:numPr>
          <w:ilvl w:val="0"/>
          <w:numId w:val="20"/>
        </w:numPr>
        <w:rPr>
          <w:rFonts w:ascii="Arial" w:cs="Arial" w:eastAsia="Arial" w:hAnsi="Arial"/>
          <w:sz w:val="16"/>
          <w:szCs w:val="16"/>
          <w:color w:val="auto"/>
        </w:rPr>
      </w:pPr>
      <w:r>
        <w:rPr>
          <w:rFonts w:ascii="Arial" w:cs="Arial" w:eastAsia="Arial" w:hAnsi="Arial"/>
          <w:sz w:val="16"/>
          <w:szCs w:val="16"/>
          <w:color w:val="auto"/>
        </w:rPr>
        <w:t>To prepare the Prospectus in a form approved by the Representative and to file such Prospectus pursuant to Rule 424(b) under the Act not later than the Commission’s close of business on the second business day following the execution and delivery of this Agreement, or, if applicable, such earlier time as may be required by Rule 430A(a)(3) under the Act; to make no further amendment or any supplement to the Registration Statement, the Basic Prospectus or the Prospectus prior to the last Time of Delivery which shall be disapproved by the Representative promptly after reasonable notice thereof; to advise the Representative, promptly after it receives notice thereof, of the time when any amendment to the Registration Statement has been filed or becomes effective or any amendment or supplement to the Prospectus has been filed and to furnish the Representative with copies thereof; to file promptly all material required to be filed by the Company with the Commission pursuant to Rule 433(d) under the Act; to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(or in lieu thereof, the notice referred to in Rule 173(a) under the Act) is required in connection with the offering or sale of the Shares; to advise the Representative, promptly after it receives notice thereof, of the issuance by the Commission of any stop order or of any order preventing or suspending the use of any Preliminary Prospectus or other prospectus in respect of the Shares, of any notice of objection of the Commission to the use of the Registration Statement or any post-effective amendment thereto pursuant to Rule 401(g)(2) under the Act, of the suspension of the qualification of the Shares for offering or sale in any jurisdiction, of the initiation or threatening of any proceeding for any such purpose or pursuant to Section 8A of the Act, or of any request by the Commission for the amending or supplementing of the Registration Statement or the Prospectus or for additional information; and, in the event of the issuance of any stop order or of any order preventing or suspending the use of any Preliminary Prospectus or other prospectus in respect of the Shares or suspending any such qualification, to promptly use its reasonable efforts to obtain the withdrawal of such order; and in the event of any such issuance of a notice of objection, promptly to take such reasonable steps including, without limitation, amending the Registration Statement or filing a new registration statement, at its own expense, as may be necessary to permit offers and sales of the Shares by the Underwriters (references herein to the Registration Statement shall include any such amendment or new registration statement);</w:t>
      </w:r>
    </w:p>
    <w:p>
      <w:pPr>
        <w:sectPr>
          <w:pgSz w:w="11900" w:h="16838" w:orient="portrait"/>
          <w:cols w:equalWidth="0" w:num="1">
            <w:col w:w="10564"/>
          </w:cols>
          <w:pgMar w:left="876" w:top="490" w:right="459" w:bottom="1440" w:gutter="0" w:footer="0" w:header="0"/>
        </w:sectPr>
      </w:pPr>
    </w:p>
    <w:bookmarkStart w:id="19" w:name="page20"/>
    <w:bookmarkEnd w:id="19"/>
    <w:p>
      <w:pPr>
        <w:ind w:left="-436" w:right="60" w:firstLine="436"/>
        <w:spacing w:after="0" w:line="263" w:lineRule="auto"/>
        <w:tabs>
          <w:tab w:leader="none" w:pos="259" w:val="left"/>
        </w:tabs>
        <w:numPr>
          <w:ilvl w:val="0"/>
          <w:numId w:val="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If required by Rule 430B(h) under the Act, to prepare a form of prospectus in a form approved by you and to file such form of prospectus pursuant to Rule 424(b) under the Act not later than may be required by Rule 424(b) under the Act; and to make no further amendment or supplement to such form of prospectus which shall be disapproved by you promptly after reasonable notice thereof;</w:t>
      </w:r>
    </w:p>
    <w:p>
      <w:pPr>
        <w:spacing w:after="0" w:line="183" w:lineRule="exact"/>
        <w:rPr>
          <w:rFonts w:ascii="Arial" w:cs="Arial" w:eastAsia="Arial" w:hAnsi="Arial"/>
          <w:sz w:val="18"/>
          <w:szCs w:val="18"/>
          <w:color w:val="auto"/>
        </w:rPr>
      </w:pPr>
    </w:p>
    <w:p>
      <w:pPr>
        <w:ind w:left="-436" w:right="60" w:firstLine="436"/>
        <w:spacing w:after="0" w:line="255" w:lineRule="auto"/>
        <w:tabs>
          <w:tab w:leader="none" w:pos="249"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Promptly from time to time to take such action as the Representative may reasonably request to qualify the Shares for offering and sale under the securities laws of such jurisdictions as the Representative may request and to comply with such laws so as to permit the continuance of sales and dealings therein in such jurisdictions for as long as may be necessary to complete the distribution of the Shares, provided that in connection therewith the Company shall not be required to qualify as a foreign corporation (where not otherwise required) or to file a general consent to service of process in any jurisdiction (where not otherwise required) or to subject itself to taxation for doing business in any jurisdiction in which it was not otherwise subject to taxation;</w:t>
      </w:r>
    </w:p>
    <w:p>
      <w:pPr>
        <w:spacing w:after="0" w:line="192" w:lineRule="exact"/>
        <w:rPr>
          <w:rFonts w:ascii="Arial" w:cs="Arial" w:eastAsia="Arial" w:hAnsi="Arial"/>
          <w:sz w:val="18"/>
          <w:szCs w:val="18"/>
          <w:color w:val="auto"/>
        </w:rPr>
      </w:pPr>
    </w:p>
    <w:p>
      <w:pPr>
        <w:ind w:left="-436" w:firstLine="436"/>
        <w:spacing w:after="0" w:line="285" w:lineRule="auto"/>
        <w:tabs>
          <w:tab w:leader="none" w:pos="259"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Prior to 10:00 a.m., New York City time, on the New York Business Day next succeeding the date of this Agreement (or such later date and time as may be agreed to by the Representative and the Company) and from time to time, to furnish the Underwriters with written and electronic copies of the Prospectus in New York City in such quantities as the Representative may reasonably request, and, if the delivery of a prospectus (or in lieu thereof, the notice referred to in Rule 173(a) under the Act) is required at any time prior to the expiration of nine months after the time of issue of the Prospectus in connection with the offering or sale of the Shares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(or in lieu thereof, the notice referred to in Rule 173(a) under the Act) is delivered, not misleading, or, if for any other reason it shall be necessary during such same period to amend or supplement the Prospectus or to file under the Exchange Act any document incorporated by reference in the Prospectus in order to comply with the Act or the Exchange Act, to notify the Representative and upon request of the Representative to prepare and furnish without charge to each Underwriter and to any dealer in securities as many written and electronic copies as any of the Representative may from time to time reasonably request of an amended Prospectus or a supplement to the Prospectus which will correct such statement or omission or effect such compliance; and in case any Underwriter is required to deliver a prospectus (or in lieu thereof, the notice referred to in Rule 173(a) under the Act) in connection with sales of any of the Shares at any time nine months or more after the time of issue of the Prospectus, upon the Representative’s request but at the expense of such Underwriter, to prepare and deliver to such Underwriter as many written and electronic copies as the Representative may request of an amended or supplemented Prospectus complying with Section 10(a)(3) of the Act;</w:t>
      </w:r>
    </w:p>
    <w:p>
      <w:pPr>
        <w:spacing w:after="0" w:line="394" w:lineRule="exact"/>
        <w:rPr>
          <w:rFonts w:ascii="Arial" w:cs="Arial" w:eastAsia="Arial" w:hAnsi="Arial"/>
          <w:sz w:val="16"/>
          <w:szCs w:val="16"/>
          <w:color w:val="auto"/>
        </w:rPr>
      </w:pPr>
    </w:p>
    <w:p>
      <w:pPr>
        <w:jc w:val="both"/>
        <w:ind w:left="-436" w:right="180" w:firstLine="436"/>
        <w:spacing w:after="0" w:line="301" w:lineRule="auto"/>
        <w:tabs>
          <w:tab w:leader="none" w:pos="245" w:val="left"/>
        </w:tabs>
        <w:numPr>
          <w:ilvl w:val="0"/>
          <w:numId w:val="21"/>
        </w:numPr>
        <w:rPr>
          <w:rFonts w:ascii="Arial" w:cs="Arial" w:eastAsia="Arial" w:hAnsi="Arial"/>
          <w:sz w:val="16"/>
          <w:szCs w:val="16"/>
          <w:color w:val="auto"/>
        </w:rPr>
      </w:pPr>
      <w:r>
        <w:rPr>
          <w:rFonts w:ascii="Arial" w:cs="Arial" w:eastAsia="Arial" w:hAnsi="Arial"/>
          <w:sz w:val="16"/>
          <w:szCs w:val="16"/>
          <w:color w:val="auto"/>
        </w:rPr>
        <w:t>To make generally available to its securityholders as soon as practicable (which may be satisfied by filing with the Commission’s Electronic Data Gathering, Analysis and Retrieval System (“EDGAR”)), but in any event not later than sixteen months after the effective date of the Registration Statement (as defined in Rule 158(c) under the Act), an earnings statement of the Company and its subsidiaries (which need not be audited) complying with Section 11(a) of the Act and the rules and regulations of the Commission thereunder (including, at the option of the Company, Rule 158);</w:t>
      </w:r>
    </w:p>
    <w:p>
      <w:pPr>
        <w:sectPr>
          <w:pgSz w:w="11900" w:h="16838" w:orient="portrait"/>
          <w:cols w:equalWidth="0" w:num="1">
            <w:col w:w="10584"/>
          </w:cols>
          <w:pgMar w:left="876" w:top="490" w:right="439" w:bottom="1440" w:gutter="0" w:footer="0" w:header="0"/>
        </w:sectPr>
      </w:pPr>
    </w:p>
    <w:bookmarkStart w:id="20" w:name="page21"/>
    <w:bookmarkEnd w:id="20"/>
    <w:p>
      <w:pPr>
        <w:ind w:left="-436" w:firstLine="436"/>
        <w:spacing w:after="0" w:line="284" w:lineRule="auto"/>
        <w:tabs>
          <w:tab w:leader="none" w:pos="229" w:val="left"/>
        </w:tabs>
        <w:numPr>
          <w:ilvl w:val="0"/>
          <w:numId w:val="2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During the period beginning from the date hereof and continuing to and including the date 90 days after the date of the Prospectus (the “Lock-Up Period”), not to (i) offer, sell, contract to sell, pledge, grant any option to purchase, make any short sale or otherwise transfer or dispose of, directly or indirectly, or file with or confidentially submit to the Commission a registration statement under the Act relating to, any securities of the Company that are substantially similar to the Shares, including but not limited to any options or warrants to purchase shares of Stock or any securities that are convertible into or exchangeable for, or that represent the right to receive, Stock or any such substantially similar securities, or (ii) enter into any swap or other agreement that transfers, in whole or in part, any of the economic consequences of ownership of the Stock or any such other securities, whether any such transaction described in clause (i) or (ii) above is to be settled by delivery of Stock or such other securities, in cash or otherwise without the prior written consent of Goldman Sachs &amp; Co. LLC; provided, however, that the foregoing restrictions shall not apply to (A) the Shares to be sold hereunder, (B) the issuance by the Company of shares of Stock upon the exercise (including “net” or “cashless” exercise) of an option or warrant, vesting or settlement (including “net” settlement) of a restricted stock unit, or the exercise, conversion, exchange or reclassification of a security outstanding on the date hereof, provided that such option, warrant, restricted stock unit or security is disclosed in the Prospectus or Pricing Prospectus and disclosed in or contemplated by the Prospectus or the Pricing Prospectus, (C) the grant of options to purchase, restricted stock units or the issuance by the Company of Common Stock or any securities convertible into, exchangeable for or that represent the right to receive shares of Common Stock, in each case pursuant to the Company’s equity compensation plans disclosed in the Prospectus or the Pricing Prospectus, (D) the entry into an agreement providing for the issuance by the Company of shares of Common Stock or any security convertible into or exercisable for shares of Common Stock in connection with the acquisition by the Company or any of its subsidiaries of the securities, business, technology, property or other assets of another person or entity or pursuant to an employee benefit plan assumed by the Company in connection with such acquisition, and the issuance of any such securities pursuant to any such agreement, (E) the entry into any agreement providing for the issuance of shares of Common Stock or any security convertible into or exercisable for shares of Common Stock in connection with joint ventures, commercial relationships or other strategic transactions, and the issuance of any such securities pursuant to any such agreement, (F) the filing of any registration statement on Form S-8 or amendment to such a registration statement on Form S-8 relating to securities granted or to be granted pursuant to the Company’s equity compensation plans that are described in the Prospectus or the Pricing Prospectus or any assumed employee benefit plan contemplated by clause (D), and (G) the issuance by the Company of shares of Common Stock as contingent consideration in connection with the acquisition of by the Company of WPM Group Ltd. as disclosed in the Prospectus or Pricing Prospectus, provided that in the case of clauses (D) and (E), the aggregate number of shares of Stock that the Company may sell or issue or agree to sell or issue pursuant to clauses (D) and (E) shall not exceed 5% of the total number of shares of Stock issued and outstanding immediately following the completion of the transactions contemplated by this Agreement and provided further that in the case of clauses (B), (C), (D) and (E) the Company shall cause each recipient of such securities to execute and deliver to Goldman</w:t>
      </w:r>
    </w:p>
    <w:p>
      <w:pPr>
        <w:sectPr>
          <w:pgSz w:w="11900" w:h="16838" w:orient="portrait"/>
          <w:cols w:equalWidth="0" w:num="1">
            <w:col w:w="10564"/>
          </w:cols>
          <w:pgMar w:left="876" w:top="490" w:right="459" w:bottom="1440" w:gutter="0" w:footer="0" w:header="0"/>
        </w:sectPr>
      </w:pPr>
    </w:p>
    <w:bookmarkStart w:id="21" w:name="page22"/>
    <w:bookmarkEnd w:id="21"/>
    <w:p>
      <w:pPr>
        <w:ind w:left="4" w:right="3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Sachs &amp; Co. LLC, on or prior to the issuance of such securities, a lock-up agreement on substantially the same terms as the lock-up agreements referenced in Section 8(i) hereof for the remainder of the Lock-Up Period and enter stop transfer instructions with the Company’s transfer agent and registrar on such securities, which the Company agrees it will not waive or amend without the prior written consent of Goldman Sachs &amp; Co. LLC;</w:t>
      </w:r>
    </w:p>
    <w:p>
      <w:pPr>
        <w:spacing w:after="0" w:line="149" w:lineRule="exact"/>
        <w:rPr>
          <w:sz w:val="20"/>
          <w:szCs w:val="20"/>
          <w:color w:val="auto"/>
        </w:rPr>
      </w:pPr>
    </w:p>
    <w:p>
      <w:pPr>
        <w:ind w:left="4" w:right="200" w:firstLine="436"/>
        <w:spacing w:after="0" w:line="277" w:lineRule="auto"/>
        <w:tabs>
          <w:tab w:leader="none" w:pos="696" w:val="left"/>
        </w:tabs>
        <w:numPr>
          <w:ilvl w:val="1"/>
          <w:numId w:val="23"/>
        </w:numPr>
        <w:rPr>
          <w:rFonts w:ascii="Arial" w:cs="Arial" w:eastAsia="Arial" w:hAnsi="Arial"/>
          <w:sz w:val="18"/>
          <w:szCs w:val="18"/>
          <w:color w:val="auto"/>
        </w:rPr>
      </w:pPr>
      <w:r>
        <w:rPr>
          <w:rFonts w:ascii="Arial" w:cs="Arial" w:eastAsia="Arial" w:hAnsi="Arial"/>
          <w:sz w:val="18"/>
          <w:szCs w:val="18"/>
          <w:color w:val="auto"/>
        </w:rPr>
        <w:t>To pay the required Commission filing fees relating to the Shares within the time required by Rule 456(b)(1) under the Act without regard to the proviso therein and otherwise in accordance with Rules 456(b) and 457(r) under the Act;</w:t>
      </w:r>
    </w:p>
    <w:p>
      <w:pPr>
        <w:spacing w:after="0" w:line="170" w:lineRule="exact"/>
        <w:rPr>
          <w:rFonts w:ascii="Arial" w:cs="Arial" w:eastAsia="Arial" w:hAnsi="Arial"/>
          <w:sz w:val="18"/>
          <w:szCs w:val="18"/>
          <w:color w:val="auto"/>
        </w:rPr>
      </w:pPr>
    </w:p>
    <w:p>
      <w:pPr>
        <w:ind w:left="4" w:right="80" w:firstLine="436"/>
        <w:spacing w:after="0" w:line="271" w:lineRule="auto"/>
        <w:tabs>
          <w:tab w:leader="none" w:pos="699" w:val="left"/>
        </w:tabs>
        <w:numPr>
          <w:ilvl w:val="1"/>
          <w:numId w:val="23"/>
        </w:numPr>
        <w:rPr>
          <w:rFonts w:ascii="Arial" w:cs="Arial" w:eastAsia="Arial" w:hAnsi="Arial"/>
          <w:sz w:val="17"/>
          <w:szCs w:val="17"/>
          <w:color w:val="auto"/>
        </w:rPr>
      </w:pPr>
      <w:r>
        <w:rPr>
          <w:rFonts w:ascii="Arial" w:cs="Arial" w:eastAsia="Arial" w:hAnsi="Arial"/>
          <w:sz w:val="17"/>
          <w:szCs w:val="17"/>
          <w:color w:val="auto"/>
        </w:rPr>
        <w:t>During a period of five years from the effective date of the Registration Statement, so long as the Company is subject to the reporting requirements of either Section 13 or Section 15(d) of the Exchange Act, to furnish to its stockholders as soon as practicable after the end of each fiscal year an annual report (including a balance sheet and statements of income, stockholders’ equity and cash flows of the Company and its consolidated subsidiaries certified by independent public accountants) and, as soon as practicable after the end of each of the first three quarters of each fiscal year (beginning with the fiscal quarter ending after the effective date of the Registration Statement), to make available to its stockholders consolidated summary financial information of the Company and its subsidiaries for such quarter in reasonable detail; provided, however, that no reports, documents or other information need to be furnished pursuant to this Section 5(h) to the extent that they are available on EDGAR or the provision of which would require disclosure by the Company under Regulation FD;</w:t>
      </w:r>
    </w:p>
    <w:p>
      <w:pPr>
        <w:spacing w:after="0" w:line="178" w:lineRule="exact"/>
        <w:rPr>
          <w:rFonts w:ascii="Arial" w:cs="Arial" w:eastAsia="Arial" w:hAnsi="Arial"/>
          <w:sz w:val="17"/>
          <w:szCs w:val="17"/>
          <w:color w:val="auto"/>
        </w:rPr>
      </w:pPr>
    </w:p>
    <w:p>
      <w:pPr>
        <w:ind w:left="4" w:right="120" w:firstLine="436"/>
        <w:spacing w:after="0" w:line="286" w:lineRule="auto"/>
        <w:tabs>
          <w:tab w:leader="none" w:pos="659" w:val="left"/>
        </w:tabs>
        <w:numPr>
          <w:ilvl w:val="1"/>
          <w:numId w:val="23"/>
        </w:numPr>
        <w:rPr>
          <w:rFonts w:ascii="Arial" w:cs="Arial" w:eastAsia="Arial" w:hAnsi="Arial"/>
          <w:sz w:val="16"/>
          <w:szCs w:val="16"/>
          <w:color w:val="auto"/>
        </w:rPr>
      </w:pPr>
      <w:r>
        <w:rPr>
          <w:rFonts w:ascii="Arial" w:cs="Arial" w:eastAsia="Arial" w:hAnsi="Arial"/>
          <w:sz w:val="16"/>
          <w:szCs w:val="16"/>
          <w:color w:val="auto"/>
        </w:rPr>
        <w:t>During a period of three years from the effective date of the Registration Statement, so long as the Company is subject to the reporting requirements of either Section 13 or Section 15(d) of the Exchange Act, to furnish to the Representative copies of all reports or other communications (financial or other) furnished to stockholders, and to deliver to the Representative (i) as soon as they are available, copies of any reports and financial statements furnished to or filed with the Commission or any national securities exchange on which any class of securities of the Company is listed; and</w:t>
      </w:r>
    </w:p>
    <w:p>
      <w:pPr>
        <w:spacing w:after="0" w:line="1" w:lineRule="exact"/>
        <w:rPr>
          <w:rFonts w:ascii="Arial" w:cs="Arial" w:eastAsia="Arial" w:hAnsi="Arial"/>
          <w:sz w:val="16"/>
          <w:szCs w:val="16"/>
          <w:color w:val="auto"/>
        </w:rPr>
      </w:pPr>
    </w:p>
    <w:p>
      <w:pPr>
        <w:jc w:val="both"/>
        <w:ind w:left="4" w:right="20" w:hanging="4"/>
        <w:spacing w:after="0" w:line="253" w:lineRule="auto"/>
        <w:tabs>
          <w:tab w:leader="none" w:pos="269"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such additional information concerning the business and financial condition of the Company as the Representative may from time to time reasonably request (such financial statements to be on a consolidated basis to the extent the accounts of the Company and its subsidiaries are consolidated in reports furnished to its stockholders generally or to the Commission);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reports, documents or other information need to be furnished pursuant to this Section 5(g) to the extent that they are available on EDGAR or the provision of which would require disclosure by the Company under Regulation FD;</w:t>
      </w:r>
    </w:p>
    <w:p>
      <w:pPr>
        <w:spacing w:after="0" w:line="190" w:lineRule="exact"/>
        <w:rPr>
          <w:rFonts w:ascii="Arial" w:cs="Arial" w:eastAsia="Arial" w:hAnsi="Arial"/>
          <w:sz w:val="18"/>
          <w:szCs w:val="18"/>
          <w:color w:val="auto"/>
        </w:rPr>
      </w:pPr>
    </w:p>
    <w:p>
      <w:pPr>
        <w:ind w:left="4" w:right="120" w:firstLine="436"/>
        <w:spacing w:after="0" w:line="277" w:lineRule="auto"/>
        <w:tabs>
          <w:tab w:leader="none" w:pos="656" w:val="left"/>
        </w:tabs>
        <w:numPr>
          <w:ilvl w:val="1"/>
          <w:numId w:val="24"/>
        </w:numPr>
        <w:rPr>
          <w:rFonts w:ascii="Arial" w:cs="Arial" w:eastAsia="Arial" w:hAnsi="Arial"/>
          <w:sz w:val="18"/>
          <w:szCs w:val="18"/>
          <w:color w:val="auto"/>
        </w:rPr>
      </w:pPr>
      <w:r>
        <w:rPr>
          <w:rFonts w:ascii="Arial" w:cs="Arial" w:eastAsia="Arial" w:hAnsi="Arial"/>
          <w:sz w:val="18"/>
          <w:szCs w:val="18"/>
          <w:color w:val="auto"/>
        </w:rPr>
        <w:t>To use the net proceeds received by it from the sale of the Shares pursuant to this Agreement in the manner specified in the Pricing Prospectus under the caption “Use of Proceeds”;</w:t>
      </w:r>
    </w:p>
    <w:p>
      <w:pPr>
        <w:spacing w:after="0" w:line="170" w:lineRule="exact"/>
        <w:rPr>
          <w:rFonts w:ascii="Arial" w:cs="Arial" w:eastAsia="Arial" w:hAnsi="Arial"/>
          <w:sz w:val="18"/>
          <w:szCs w:val="18"/>
          <w:color w:val="auto"/>
        </w:rPr>
      </w:pPr>
    </w:p>
    <w:p>
      <w:pPr>
        <w:ind w:left="4" w:firstLine="436"/>
        <w:spacing w:after="0" w:line="308" w:lineRule="auto"/>
        <w:tabs>
          <w:tab w:leader="none" w:pos="696" w:val="left"/>
        </w:tabs>
        <w:numPr>
          <w:ilvl w:val="1"/>
          <w:numId w:val="24"/>
        </w:numPr>
        <w:rPr>
          <w:rFonts w:ascii="Arial" w:cs="Arial" w:eastAsia="Arial" w:hAnsi="Arial"/>
          <w:sz w:val="17"/>
          <w:szCs w:val="17"/>
          <w:color w:val="auto"/>
        </w:rPr>
      </w:pPr>
      <w:r>
        <w:rPr>
          <w:rFonts w:ascii="Arial" w:cs="Arial" w:eastAsia="Arial" w:hAnsi="Arial"/>
          <w:sz w:val="17"/>
          <w:szCs w:val="17"/>
          <w:color w:val="auto"/>
        </w:rPr>
        <w:t>To promptly notify the Representative if the Company ceases to be a “well-known seasoned issuer” as defined in Rule 405 under the Act at any time prior to the later of (i) completion of the distribution of the Shares within the meaning of the Act and (ii) the Time of Delivery; and</w:t>
      </w:r>
    </w:p>
    <w:p>
      <w:pPr>
        <w:spacing w:after="0" w:line="146" w:lineRule="exact"/>
        <w:rPr>
          <w:rFonts w:ascii="Arial" w:cs="Arial" w:eastAsia="Arial" w:hAnsi="Arial"/>
          <w:sz w:val="17"/>
          <w:szCs w:val="17"/>
          <w:color w:val="auto"/>
        </w:rPr>
      </w:pPr>
    </w:p>
    <w:p>
      <w:pPr>
        <w:ind w:left="4" w:right="20" w:firstLine="436"/>
        <w:spacing w:after="0" w:line="259" w:lineRule="auto"/>
        <w:tabs>
          <w:tab w:leader="none" w:pos="659" w:val="left"/>
        </w:tabs>
        <w:numPr>
          <w:ilvl w:val="1"/>
          <w:numId w:val="24"/>
        </w:numPr>
        <w:rPr>
          <w:rFonts w:ascii="Arial" w:cs="Arial" w:eastAsia="Arial" w:hAnsi="Arial"/>
          <w:sz w:val="18"/>
          <w:szCs w:val="18"/>
          <w:color w:val="auto"/>
        </w:rPr>
      </w:pPr>
      <w:r>
        <w:rPr>
          <w:rFonts w:ascii="Arial" w:cs="Arial" w:eastAsia="Arial" w:hAnsi="Arial"/>
          <w:sz w:val="18"/>
          <w:szCs w:val="18"/>
          <w:color w:val="auto"/>
        </w:rPr>
        <w:t>Upon request of any Underwriter, to furnish, or cause to be furnished, to such Underwriter an electronic version of the Company’s trademarks, servicemarks and corporate logo for use on the website, if any, operated by such Underwriter for the purpose of facilitating the on-line offering of the Shares (the “License”); provided, however, that the License shall be used solely for the purpose described above, is granted without any fee and may not be assigned or transferred.</w:t>
      </w:r>
    </w:p>
    <w:p>
      <w:pPr>
        <w:sectPr>
          <w:pgSz w:w="11900" w:h="16838" w:orient="portrait"/>
          <w:cols w:equalWidth="0" w:num="1">
            <w:col w:w="11004"/>
          </w:cols>
          <w:pgMar w:left="436" w:top="490" w:right="459" w:bottom="1440" w:gutter="0" w:footer="0" w:header="0"/>
        </w:sectPr>
      </w:pPr>
    </w:p>
    <w:bookmarkStart w:id="22" w:name="page23"/>
    <w:bookmarkEnd w:id="22"/>
    <w:p>
      <w:pPr>
        <w:ind w:right="200" w:firstLine="436"/>
        <w:spacing w:after="0" w:line="275" w:lineRule="auto"/>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(a) The Company represents and agrees that, without the prior consent of the Representative, it has not made and will not make any offer relating to the Shares that would constitute a “free writing prospectus” as defined in Rule 405 under the Act; each Underwriter represents and agrees that, without the prior consent of the Company and the Representative, it has not made and will not make any offer relating to the Shares that would constitute a free writing prospectus required to be filed with the Commission; any such free writing prospectus the use of which has been consented to by the Company and the Representative is listed on Schedule II(a) and Schedule II(c) hereto;</w:t>
      </w:r>
    </w:p>
    <w:p>
      <w:pPr>
        <w:spacing w:after="0" w:line="176" w:lineRule="exact"/>
        <w:rPr>
          <w:sz w:val="20"/>
          <w:szCs w:val="20"/>
          <w:color w:val="auto"/>
        </w:rPr>
      </w:pPr>
    </w:p>
    <w:p>
      <w:pPr>
        <w:ind w:right="40" w:firstLine="436"/>
        <w:spacing w:after="0" w:line="311" w:lineRule="auto"/>
        <w:tabs>
          <w:tab w:leader="none" w:pos="692"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Company has complied and will comply with the requirements of Rule 433 under the Act applicable to any Issuer Free Writing Prospectus, including timely filing with the Commission or retention where required and legending; and the Company represents that it has satisfied and agrees that it will satisfy the conditions under Rule 433 under the Act to avoid a requirement to file with the Commission any electronic road show;</w:t>
      </w:r>
    </w:p>
    <w:p>
      <w:pPr>
        <w:spacing w:after="0" w:line="148" w:lineRule="exact"/>
        <w:rPr>
          <w:rFonts w:ascii="Arial" w:cs="Arial" w:eastAsia="Arial" w:hAnsi="Arial"/>
          <w:sz w:val="16"/>
          <w:szCs w:val="16"/>
          <w:color w:val="auto"/>
        </w:rPr>
      </w:pPr>
    </w:p>
    <w:p>
      <w:pPr>
        <w:ind w:firstLine="436"/>
        <w:spacing w:after="0" w:line="290" w:lineRule="auto"/>
        <w:tabs>
          <w:tab w:leader="none" w:pos="682"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The Company agrees that if at any time following issuance of an Issuer Free Writing Prospectus or Written Testing-the-Waters Communication any event occurred or occurs as a result of which such Issuer Free Writing Prospectus or Written Testing-the-Waters Communication would conflict with the information in the Registration Statement, the Pricing Prospectus or the Prospectus or would include an untrue statement of a material fact or omit to state any material fact necessary in order to make the statements therein, in the light of the circumstances then prevailing, not misleading, the Company will give prompt notice thereof to the Representative and, if requested by the Representative, will prepare and furnish without charge to each Underwriter an Issuer Free Writing Prospectus, Written Testing-the-Waters Communication or other document which will correct such conflict, statement or omission;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this covenant shall not apply to any statements or omissions in an Issuer Free Writing Prospectus or a Written Testing-the-Waters Communication made in reliance upon and in conformity with the Underwriter Information;</w:t>
      </w:r>
    </w:p>
    <w:p>
      <w:pPr>
        <w:spacing w:after="0" w:line="165" w:lineRule="exact"/>
        <w:rPr>
          <w:rFonts w:ascii="Arial" w:cs="Arial" w:eastAsia="Arial" w:hAnsi="Arial"/>
          <w:sz w:val="16"/>
          <w:szCs w:val="16"/>
          <w:color w:val="auto"/>
        </w:rPr>
      </w:pPr>
    </w:p>
    <w:p>
      <w:pPr>
        <w:ind w:left="680" w:hanging="244"/>
        <w:spacing w:after="0"/>
        <w:tabs>
          <w:tab w:leader="none" w:pos="6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Company represents and agrees that (i) it has not engaged in, or authorized any other person to engage in, any Testing-the-Waters</w:t>
      </w:r>
    </w:p>
    <w:p>
      <w:pPr>
        <w:spacing w:after="0" w:line="34" w:lineRule="exact"/>
        <w:rPr>
          <w:rFonts w:ascii="Arial" w:cs="Arial" w:eastAsia="Arial" w:hAnsi="Arial"/>
          <w:sz w:val="17"/>
          <w:szCs w:val="17"/>
          <w:color w:val="auto"/>
        </w:rPr>
      </w:pPr>
    </w:p>
    <w:p>
      <w:pPr>
        <w:ind w:right="20"/>
        <w:spacing w:after="0" w:line="292" w:lineRule="auto"/>
        <w:rPr>
          <w:rFonts w:ascii="Arial" w:cs="Arial" w:eastAsia="Arial" w:hAnsi="Arial"/>
          <w:sz w:val="17"/>
          <w:szCs w:val="17"/>
          <w:color w:val="auto"/>
        </w:rPr>
      </w:pPr>
      <w:r>
        <w:rPr>
          <w:rFonts w:ascii="Arial" w:cs="Arial" w:eastAsia="Arial" w:hAnsi="Arial"/>
          <w:sz w:val="16"/>
          <w:szCs w:val="16"/>
          <w:color w:val="auto"/>
        </w:rPr>
        <w:t>Communications, other than Testing-the-Waters Communications with the prior consent of the Representative with entities that the Company reasonably believes are qualified institutional buyers as defined in Rule 144A under the Act or institutions that are accredited investors as defined in Rule 501(a)(1), (a)(2), (a)(3), (a)(7) or (a)(8) under the Act; and (ii) it has not distributed, or authorized any other person to distribute, any Written Testing-the-Waters Communications, other than those distributed with the prior consent of the Representative that are listed on Schedule III(d) hereto; and the Company reconfirms that the Underwriters have been authorized to act on its behalf in engaging in Testing-the-Waters Communications; and</w:t>
      </w:r>
    </w:p>
    <w:p>
      <w:pPr>
        <w:sectPr>
          <w:pgSz w:w="11900" w:h="16838" w:orient="portrait"/>
          <w:cols w:equalWidth="0" w:num="1">
            <w:col w:w="11000"/>
          </w:cols>
          <w:pgMar w:left="440" w:top="490" w:right="459" w:bottom="1440" w:gutter="0" w:footer="0" w:header="0"/>
        </w:sectPr>
      </w:pPr>
    </w:p>
    <w:bookmarkStart w:id="23" w:name="page24"/>
    <w:bookmarkEnd w:id="23"/>
    <w:p>
      <w:pPr>
        <w:ind w:left="-436" w:right="160" w:firstLine="436"/>
        <w:spacing w:after="0" w:line="279" w:lineRule="auto"/>
        <w:tabs>
          <w:tab w:leader="none" w:pos="249" w:val="left"/>
        </w:tabs>
        <w:numPr>
          <w:ilvl w:val="0"/>
          <w:numId w:val="2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Each Underwriter represents and agrees that (i) any Testing-the-Waters Communications undertaken by it were with entities that such Underwriter reasonably believes are qualified institutional buyers as defined in Rule 144A under the Act or institutions that are accredited investors as defined in Rule 501(a)(1), (a)(2), (a)(3), (a)(7), or (a)(8) under the Act and, (ii) it will not distribute, or authorize any other person to distribute, any Written Testing-the-Waters Communications, other than those distributed with the prior written authorization of the Company.</w:t>
      </w:r>
    </w:p>
    <w:p>
      <w:pPr>
        <w:spacing w:after="0" w:line="171" w:lineRule="exact"/>
        <w:rPr>
          <w:sz w:val="20"/>
          <w:szCs w:val="20"/>
          <w:color w:val="auto"/>
        </w:rPr>
      </w:pPr>
    </w:p>
    <w:p>
      <w:pPr>
        <w:ind w:left="-436" w:firstLine="436"/>
        <w:spacing w:after="0" w:line="285" w:lineRule="auto"/>
        <w:tabs>
          <w:tab w:leader="none" w:pos="181"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Company covenants and agrees with the several Underwriters that the Company will pay or cause to be paid the following: (i) the fees, disbursements and expenses of the Company’s counsel and accountants in connection with the registration of the Shares under the Act and all other expenses incurred in connection with the preparation, printing, reproduction and filing of the Registration Statement, the Basic Prospectus, any Preliminary Prospectus, any Written Testing-the-Waters Communication, any Issuer Free Writing Prospectus and the Prospectus and amendments and supplements thereto and the mailing and delivering of copies thereof to the Underwriters and dealers; (ii) the cost of printing or producing any Agreement among Underwriters, this Agreement, the Blue Sky Memorandum, closing documents (including any compilations thereof) and any other documents in connection with the offering, purchase, sale and delivery of the Shares; (iii) all expenses incurred in connection with the qualification of the Shares for offering and sale under state securities laws as provided in Section 5(b) hereof, including the reasonable and documented fees and disbursements of counsel for the Underwriters in connection with such qualification and in connection with the Blue Sky survey; (iv) all fees and expenses in connection with listing the Shares on Nasdaq; (v) the filing fees incident to, and the reasonable and documented fees and disbursements of counsel for the Underwriters in connection with, any required review by FINRA of the terms of the sale of the Shares (not to exceed $20,000 in the aggregate); (vi) the cost of preparing stock certificates, if applicable; (vii) the cost and charges of any transfer agent or registrar; and (viii) all other costs and expenses incident to the performance of its obligations hereunder which are not otherwise specifically provided for in this Section. It is understood, however, that, except as provided in this Section, and Sections 9 and 12 hereof, the Underwriters will pay all of their own costs and expenses, including their own travel, lodging and meal expenses (including meal expenses for potential investors) in connection with any road show, the fees of their counsel, stock transfer taxes on resale of any of the Shares by them, and any advertising expenses connected with any offers they may make.</w:t>
      </w:r>
    </w:p>
    <w:p>
      <w:pPr>
        <w:spacing w:after="0" w:line="176" w:lineRule="exact"/>
        <w:rPr>
          <w:rFonts w:ascii="Arial" w:cs="Arial" w:eastAsia="Arial" w:hAnsi="Arial"/>
          <w:sz w:val="16"/>
          <w:szCs w:val="16"/>
          <w:color w:val="auto"/>
        </w:rPr>
      </w:pPr>
    </w:p>
    <w:p>
      <w:pPr>
        <w:jc w:val="both"/>
        <w:ind w:left="-436" w:right="60" w:firstLine="436"/>
        <w:spacing w:after="0" w:line="259" w:lineRule="auto"/>
        <w:tabs>
          <w:tab w:leader="none" w:pos="181"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obligations of the Underwriters hereunder, as to the Shares to be delivered at each Time of Delivery, shall be subject, in their discretion, to the condition that all representations and warranties and other statements of the Company herein are, at and as of the Applicable Time and such Time of Delivery, true and correct, the condition that the Company shall have performed all of its obligations hereunder theretofore to be performed, and the following additional conditions:</w:t>
      </w:r>
    </w:p>
    <w:p>
      <w:pPr>
        <w:spacing w:after="0" w:line="187" w:lineRule="exact"/>
        <w:rPr>
          <w:sz w:val="20"/>
          <w:szCs w:val="20"/>
          <w:color w:val="auto"/>
        </w:rPr>
      </w:pPr>
    </w:p>
    <w:p>
      <w:pPr>
        <w:ind w:left="-436" w:right="20" w:firstLine="436"/>
        <w:spacing w:after="0" w:line="255" w:lineRule="auto"/>
        <w:tabs>
          <w:tab w:leader="none" w:pos="24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Prospectus shall have been filed with the Commission pursuant to Rule 424(b) under the Act within the applicable time period prescribed for such filing by the rules and regulations under the Act and in accordance with Section 5(a) hereof; all material required to be filed by the Company pursuant to Rule 433(d) under the Act shall have been filed with the Commission within the applicable time period prescribed for such filing by Rule 433; no stop order suspending the effectiveness of the Registration Statement or any part thereof shall have been issued and no proceeding for that purpose or pursuant to Section 8A of the Act shall have been initiated or threatened by the Commission and no notice of objection of the Commission to the use of the Registration Statement or any post-</w:t>
      </w:r>
    </w:p>
    <w:p>
      <w:pPr>
        <w:sectPr>
          <w:pgSz w:w="11900" w:h="16838" w:orient="portrait"/>
          <w:cols w:equalWidth="0" w:num="1">
            <w:col w:w="10524"/>
          </w:cols>
          <w:pgMar w:left="876" w:top="490" w:right="499" w:bottom="1440" w:gutter="0" w:footer="0" w:header="0"/>
        </w:sectPr>
      </w:pPr>
    </w:p>
    <w:bookmarkStart w:id="24" w:name="page25"/>
    <w:bookmarkEnd w:id="24"/>
    <w:p>
      <w:pPr>
        <w:ind w:right="2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effective amendment thereto pursuant to Rule 401(g)(2) under the Act shall have been received; no stop order suspending or preventing the use of the Preliminary Prospectus, Prospectus or any Issuer Free Writing Prospectus shall have been initiated or threatened by the Commission; and all requests for additional information on the part of the Commission shall have been complied with to the reasonable satisfaction of the Representative;</w:t>
      </w:r>
    </w:p>
    <w:p>
      <w:pPr>
        <w:spacing w:after="0" w:line="149" w:lineRule="exact"/>
        <w:rPr>
          <w:sz w:val="20"/>
          <w:szCs w:val="20"/>
          <w:color w:val="auto"/>
        </w:rPr>
      </w:pPr>
    </w:p>
    <w:p>
      <w:pPr>
        <w:jc w:val="both"/>
        <w:ind w:right="240" w:firstLine="436"/>
        <w:spacing w:after="0" w:line="263" w:lineRule="auto"/>
        <w:tabs>
          <w:tab w:leader="none" w:pos="6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Goodwin Procter LLP, counsel for the Underwriters, shall have furnished to the Representative their written opinion or opinions, dated such Time of Delivery, in form and substance satisfactory to the Representative, and such counsel shall have received such papers and information as they may reasonably request to enable them to pass upon such matters;</w:t>
      </w:r>
    </w:p>
    <w:p>
      <w:pPr>
        <w:spacing w:after="0" w:line="183" w:lineRule="exact"/>
        <w:rPr>
          <w:rFonts w:ascii="Arial" w:cs="Arial" w:eastAsia="Arial" w:hAnsi="Arial"/>
          <w:sz w:val="18"/>
          <w:szCs w:val="18"/>
          <w:color w:val="auto"/>
        </w:rPr>
      </w:pPr>
    </w:p>
    <w:p>
      <w:pPr>
        <w:ind w:right="140" w:firstLine="436"/>
        <w:spacing w:after="0" w:line="342" w:lineRule="auto"/>
        <w:tabs>
          <w:tab w:leader="none" w:pos="685" w:val="left"/>
        </w:tabs>
        <w:numPr>
          <w:ilvl w:val="0"/>
          <w:numId w:val="30"/>
        </w:numPr>
        <w:rPr>
          <w:rFonts w:ascii="Arial" w:cs="Arial" w:eastAsia="Arial" w:hAnsi="Arial"/>
          <w:sz w:val="16"/>
          <w:szCs w:val="16"/>
          <w:color w:val="auto"/>
        </w:rPr>
      </w:pPr>
      <w:r>
        <w:rPr>
          <w:rFonts w:ascii="Arial" w:cs="Arial" w:eastAsia="Arial" w:hAnsi="Arial"/>
          <w:sz w:val="16"/>
          <w:szCs w:val="16"/>
          <w:color w:val="auto"/>
        </w:rPr>
        <w:t>Gunderson Dettmer Stough Villeneuve Franklin &amp; Hachigian, LLP, counsel for the Company, shall have furnished to the Representative their written opinion and negative assurance letter, dated such Time of Delivery, in form and substance satisfactory to the Representative;</w:t>
      </w:r>
    </w:p>
    <w:p>
      <w:pPr>
        <w:spacing w:after="0" w:line="123" w:lineRule="exact"/>
        <w:rPr>
          <w:rFonts w:ascii="Arial" w:cs="Arial" w:eastAsia="Arial" w:hAnsi="Arial"/>
          <w:sz w:val="16"/>
          <w:szCs w:val="16"/>
          <w:color w:val="auto"/>
        </w:rPr>
      </w:pPr>
    </w:p>
    <w:p>
      <w:pPr>
        <w:ind w:right="80" w:firstLine="436"/>
        <w:spacing w:after="0" w:line="259" w:lineRule="auto"/>
        <w:tabs>
          <w:tab w:leader="none" w:pos="6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the date of the Prospectus at a time prior to the execution of this Agreement, at 9:30 a.m., New York City time, on the effective date of any post-effective amendment to the Registration Statement filed subsequent to the date of this Agreement and also at each Time of Delivery, PricewaterhouseCoopers LLP shall have furnished to the Representative a letter or letters, dated the respective dates of delivery thereof, in form and substance satisfactory to the Representative;</w:t>
      </w:r>
    </w:p>
    <w:p>
      <w:pPr>
        <w:spacing w:after="0" w:line="186" w:lineRule="exact"/>
        <w:rPr>
          <w:rFonts w:ascii="Arial" w:cs="Arial" w:eastAsia="Arial" w:hAnsi="Arial"/>
          <w:sz w:val="18"/>
          <w:szCs w:val="18"/>
          <w:color w:val="auto"/>
        </w:rPr>
      </w:pPr>
    </w:p>
    <w:p>
      <w:pPr>
        <w:ind w:firstLine="436"/>
        <w:spacing w:after="0" w:line="285" w:lineRule="auto"/>
        <w:tabs>
          <w:tab w:leader="none" w:pos="685" w:val="left"/>
        </w:tabs>
        <w:numPr>
          <w:ilvl w:val="0"/>
          <w:numId w:val="30"/>
        </w:numPr>
        <w:rPr>
          <w:rFonts w:ascii="Arial" w:cs="Arial" w:eastAsia="Arial" w:hAnsi="Arial"/>
          <w:sz w:val="16"/>
          <w:szCs w:val="16"/>
          <w:color w:val="auto"/>
        </w:rPr>
      </w:pPr>
      <w:r>
        <w:rPr>
          <w:rFonts w:ascii="Arial" w:cs="Arial" w:eastAsia="Arial" w:hAnsi="Arial"/>
          <w:sz w:val="16"/>
          <w:szCs w:val="16"/>
          <w:color w:val="auto"/>
        </w:rPr>
        <w:t>(i) Neither the Company nor any of its subsidiaries shall have sustained since the date of the latest audited financial statements included or incorporated by reference in the Pricing Prospectus any loss or interference with its business from fire, explosion, flood or other calamity, whether or not covered by insurance, or from any labor dispute or court or governmental action, order or decree, otherwise than as set forth or contemplated in the Pricing Prospectus, and (ii) since the respective dates as of which information is given in the Pricing Prospectus there shall not have been any change in the capital stock (other than as a result of (i) the exercise of stock options or warrants or settlement of restricted stock units (including any “net” or “cashless” exercises or settlements), if any, or the award, if any, of stock options, restricted stock units, restricted stock or other awards pursuant to the Company’s equity plans that are described in the Pricing Prospectus and the Prospectus, (ii) the repurchase of shares of capital stock upon termination of the holder’s employment or service with the Company pursuant to agreements providing for an option to repurchase or a right of first refusal on behalf of the Company or (iii) the issuance, if any, of stock upon exercise or conversion of Company securities as described in the Pricing Prospectus and the Prospectus, or (iv) issuances otherwise set forth or contemplated in the Pricing Prospectus) or any increase in the long-term debt of the Company or any of its subsidiaries or any change or effect, or any development involving a prospective change or effect, in or affecting (x) the business, properties, general affairs, management, financial position, stockholders’ equity or results of operations of the Company and its subsidiaries, taken as a whole, except as set forth or contemplated in the Pricing Prospectus, or (y) the ability of the Company to perform its obligations under this Agreement, including the issuance and sale of the Shares, or to consummate the transactions contemplated in the Pricing Prospectus and the Prospectus, the effect of which, in any such case described in clause (i) or (ii), is in the Representative’s judgment so material and adverse as to make it impracticable or inadvisable to proceed with the public offering or the delivery of the Shares being delivered at such Time of Delivery on the terms and in the manner contemplated in the Pricing Prospectus and the Prospectus;</w:t>
      </w:r>
    </w:p>
    <w:p>
      <w:pPr>
        <w:sectPr>
          <w:pgSz w:w="11900" w:h="16838" w:orient="portrait"/>
          <w:cols w:equalWidth="0" w:num="1">
            <w:col w:w="11000"/>
          </w:cols>
          <w:pgMar w:left="440" w:top="490" w:right="459" w:bottom="1440" w:gutter="0" w:footer="0" w:header="0"/>
        </w:sectPr>
      </w:pPr>
    </w:p>
    <w:bookmarkStart w:id="25" w:name="page26"/>
    <w:bookmarkEnd w:id="25"/>
    <w:p>
      <w:pPr>
        <w:ind w:left="224" w:hanging="224"/>
        <w:spacing w:after="0"/>
        <w:tabs>
          <w:tab w:leader="none" w:pos="224" w:val="left"/>
        </w:tabs>
        <w:numPr>
          <w:ilvl w:val="0"/>
          <w:numId w:val="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[Reserved];</w:t>
      </w:r>
    </w:p>
    <w:p>
      <w:pPr>
        <w:spacing w:after="0" w:line="225" w:lineRule="exact"/>
        <w:rPr>
          <w:rFonts w:ascii="Arial" w:cs="Arial" w:eastAsia="Arial" w:hAnsi="Arial"/>
          <w:sz w:val="18"/>
          <w:szCs w:val="18"/>
          <w:color w:val="auto"/>
        </w:rPr>
      </w:pPr>
    </w:p>
    <w:p>
      <w:pPr>
        <w:ind w:left="-436" w:firstLine="436"/>
        <w:spacing w:after="0" w:line="271" w:lineRule="auto"/>
        <w:tabs>
          <w:tab w:leader="none" w:pos="259" w:val="left"/>
        </w:tabs>
        <w:numPr>
          <w:ilvl w:val="0"/>
          <w:numId w:val="31"/>
        </w:numPr>
        <w:rPr>
          <w:rFonts w:ascii="Arial" w:cs="Arial" w:eastAsia="Arial" w:hAnsi="Arial"/>
          <w:sz w:val="17"/>
          <w:szCs w:val="17"/>
          <w:color w:val="auto"/>
        </w:rPr>
      </w:pPr>
      <w:r>
        <w:rPr>
          <w:rFonts w:ascii="Arial" w:cs="Arial" w:eastAsia="Arial" w:hAnsi="Arial"/>
          <w:sz w:val="17"/>
          <w:szCs w:val="17"/>
          <w:color w:val="auto"/>
        </w:rPr>
        <w:t>On or after the Applicable Time there shall not have occurred any of the following: (i) a suspension or material limitation in trading in securities generally on Nasdaq; (ii) a suspension or material limitation in trading in the Company’s securities on Nasdaq; (iii) a general moratorium on commercial banking activities declared by either Federal or New York authorities or a material disruption in commercial banking or securities settlement or clearance services in the United States; (iv) the outbreak or escalation of hostilities involving the United States or the declaration by the United States of a national emergency or war or (v) the occurrence of any other calamity or crisis or any change in financial, political or economic conditions in the United States or elsewhere, if the effect of any such event specified in clause (iv) or (v) in the Representative’s judgment makes it impracticable or inadvisable to proceed with the public offering or the delivery of the Shares being delivered at such Time of Delivery on the terms and in the manner contemplated in the Pricing Prospectus and the Prospectus;</w:t>
      </w:r>
    </w:p>
    <w:p>
      <w:pPr>
        <w:spacing w:after="0" w:line="178" w:lineRule="exact"/>
        <w:rPr>
          <w:rFonts w:ascii="Arial" w:cs="Arial" w:eastAsia="Arial" w:hAnsi="Arial"/>
          <w:sz w:val="17"/>
          <w:szCs w:val="17"/>
          <w:color w:val="auto"/>
        </w:rPr>
      </w:pPr>
    </w:p>
    <w:p>
      <w:pPr>
        <w:ind w:left="244" w:hanging="244"/>
        <w:spacing w:after="0"/>
        <w:tabs>
          <w:tab w:leader="none" w:pos="24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Shares to be sold at such Time of Delivery shall have been duly listed for quotation on Nasdaq;</w:t>
      </w:r>
    </w:p>
    <w:p>
      <w:pPr>
        <w:spacing w:after="0" w:line="225" w:lineRule="exact"/>
        <w:rPr>
          <w:rFonts w:ascii="Arial" w:cs="Arial" w:eastAsia="Arial" w:hAnsi="Arial"/>
          <w:sz w:val="18"/>
          <w:szCs w:val="18"/>
          <w:color w:val="auto"/>
        </w:rPr>
      </w:pPr>
    </w:p>
    <w:p>
      <w:pPr>
        <w:ind w:left="-436" w:right="380" w:firstLine="436"/>
        <w:spacing w:after="0" w:line="308" w:lineRule="auto"/>
        <w:tabs>
          <w:tab w:leader="none" w:pos="216"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Company shall have obtained and delivered to the Underwriters executed copies of an agreement from each director and officer of the Company substantially to the effect set forth in Annex I hereto in form and substance satisfactory to the Representative;</w:t>
      </w:r>
    </w:p>
    <w:p>
      <w:pPr>
        <w:spacing w:after="0" w:line="146" w:lineRule="exact"/>
        <w:rPr>
          <w:rFonts w:ascii="Arial" w:cs="Arial" w:eastAsia="Arial" w:hAnsi="Arial"/>
          <w:sz w:val="17"/>
          <w:szCs w:val="17"/>
          <w:color w:val="auto"/>
        </w:rPr>
      </w:pPr>
    </w:p>
    <w:p>
      <w:pPr>
        <w:ind w:left="-436" w:right="220" w:firstLine="436"/>
        <w:spacing w:after="0" w:line="277" w:lineRule="auto"/>
        <w:tabs>
          <w:tab w:leader="none" w:pos="216"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shall have complied with the provisions of Section 5(c) hereof with respect to the furnishing of prospectuses on the New York Business Day next succeeding the date of this Agreement;</w:t>
      </w:r>
    </w:p>
    <w:p>
      <w:pPr>
        <w:spacing w:after="0" w:line="170" w:lineRule="exact"/>
        <w:rPr>
          <w:rFonts w:ascii="Arial" w:cs="Arial" w:eastAsia="Arial" w:hAnsi="Arial"/>
          <w:sz w:val="18"/>
          <w:szCs w:val="18"/>
          <w:color w:val="auto"/>
        </w:rPr>
      </w:pPr>
    </w:p>
    <w:p>
      <w:pPr>
        <w:ind w:left="-436" w:right="100" w:firstLine="436"/>
        <w:spacing w:after="0" w:line="263" w:lineRule="auto"/>
        <w:tabs>
          <w:tab w:leader="none" w:pos="256"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chief financial officer of the Company shall have furnished to the Representative a certificate as to the accuracy of certain financial information included or incorporated by reference in the Registration Statement, the Pricing Prospectus and the Prospectus, dated the Time of Delivery, in form and substance satisfactory to the Representative; and</w:t>
      </w:r>
    </w:p>
    <w:p>
      <w:pPr>
        <w:spacing w:after="0" w:line="183" w:lineRule="exact"/>
        <w:rPr>
          <w:rFonts w:ascii="Arial" w:cs="Arial" w:eastAsia="Arial" w:hAnsi="Arial"/>
          <w:sz w:val="18"/>
          <w:szCs w:val="18"/>
          <w:color w:val="auto"/>
        </w:rPr>
      </w:pPr>
    </w:p>
    <w:p>
      <w:pPr>
        <w:ind w:left="-436" w:right="20" w:firstLine="436"/>
        <w:spacing w:after="0" w:line="279" w:lineRule="auto"/>
        <w:tabs>
          <w:tab w:leader="none" w:pos="216"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Company shall have furnished or caused to be furnished to the Representative at such Time of Delivery certificates of officers of the Company satisfactory to the Representative as to the accuracy of the representations and warranties of the Company herein at and as of such Time of Delivery, as to the performance by the Company of all of its obligations hereunder to be performed at or prior to such Time of Delivery, as to the matters set forth in subsections (a) and (e) of this Section and as to such other matters as the Representative may reasonably request.</w:t>
      </w:r>
    </w:p>
    <w:p>
      <w:pPr>
        <w:spacing w:after="0" w:line="171" w:lineRule="exact"/>
        <w:rPr>
          <w:sz w:val="20"/>
          <w:szCs w:val="20"/>
          <w:color w:val="auto"/>
        </w:rPr>
      </w:pPr>
    </w:p>
    <w:p>
      <w:pPr>
        <w:jc w:val="both"/>
        <w:ind w:left="-436" w:right="380" w:firstLine="436"/>
        <w:spacing w:after="0" w:line="286" w:lineRule="auto"/>
        <w:tabs>
          <w:tab w:leader="none" w:pos="184" w:val="left"/>
        </w:tabs>
        <w:numPr>
          <w:ilvl w:val="0"/>
          <w:numId w:val="32"/>
        </w:numPr>
        <w:rPr>
          <w:rFonts w:ascii="Arial" w:cs="Arial" w:eastAsia="Arial" w:hAnsi="Arial"/>
          <w:sz w:val="17"/>
          <w:szCs w:val="17"/>
          <w:color w:val="auto"/>
        </w:rPr>
      </w:pPr>
      <w:r>
        <w:rPr>
          <w:rFonts w:ascii="Arial" w:cs="Arial" w:eastAsia="Arial" w:hAnsi="Arial"/>
          <w:sz w:val="17"/>
          <w:szCs w:val="17"/>
          <w:color w:val="auto"/>
        </w:rPr>
        <w:t>(a) The Company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the</w:t>
      </w:r>
    </w:p>
    <w:p>
      <w:pPr>
        <w:sectPr>
          <w:pgSz w:w="11900" w:h="16838" w:orient="portrait"/>
          <w:cols w:equalWidth="0" w:num="1">
            <w:col w:w="10564"/>
          </w:cols>
          <w:pgMar w:left="876" w:top="490" w:right="459" w:bottom="1440" w:gutter="0" w:footer="0" w:header="0"/>
        </w:sectPr>
      </w:pPr>
    </w:p>
    <w:bookmarkStart w:id="26" w:name="page27"/>
    <w:bookmarkEnd w:id="26"/>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Registration Statement, the Basic Prospectus, any Preliminary Prospectus, the Pricing Prospectus or the Prospectus, or any amendment or supplement thereto, any Issuer Free Writing Prospectus, any “roadshow” as defined in Rule 433(h) under the Act (a “roadshow”), any “issuer information” filed or required to be filed pursuant to Rule 433(d) under the Act or any Testing-the-Waters Communication authorized by the Company,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Company shall not be liable in any such case to the extent that any such loss, claim, damage or liability arises out of or is based upon an untrue statement or alleged untrue statement or omission or alleged omission made in the Registration Statement, the Basic Prospectus, any Preliminary Prospectus, the Pricing Prospectus or the Prospectus, or any amendment or supplement thereto, or any Issuer Free Writing Prospectus, any road show or any Testing-the-Waters Communication, in reliance upon and in conformity with the Underwriter Information.</w:t>
      </w:r>
    </w:p>
    <w:p>
      <w:pPr>
        <w:spacing w:after="0" w:line="185" w:lineRule="exact"/>
        <w:rPr>
          <w:sz w:val="20"/>
          <w:szCs w:val="20"/>
          <w:color w:val="auto"/>
        </w:rPr>
      </w:pPr>
    </w:p>
    <w:p>
      <w:pPr>
        <w:ind w:right="60" w:firstLine="436"/>
        <w:spacing w:after="0" w:line="286" w:lineRule="auto"/>
        <w:tabs>
          <w:tab w:leader="none" w:pos="695" w:val="left"/>
        </w:tabs>
        <w:numPr>
          <w:ilvl w:val="0"/>
          <w:numId w:val="33"/>
        </w:numPr>
        <w:rPr>
          <w:rFonts w:ascii="Arial" w:cs="Arial" w:eastAsia="Arial" w:hAnsi="Arial"/>
          <w:sz w:val="16"/>
          <w:szCs w:val="16"/>
          <w:color w:val="auto"/>
        </w:rPr>
      </w:pPr>
      <w:r>
        <w:rPr>
          <w:rFonts w:ascii="Arial" w:cs="Arial" w:eastAsia="Arial" w:hAnsi="Arial"/>
          <w:sz w:val="16"/>
          <w:szCs w:val="16"/>
          <w:color w:val="auto"/>
        </w:rPr>
        <w:t>Each Underwriter, severally and not jointly, will indemnify and hold harmless the Company against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the Registration Statement, the Basic Prospectus, any Preliminary Prospectus, the Pricing Prospectus or the Prospectus, or any amendment or supplement thereto, or any Issuer Free Writing Prospectus, or any roadshow or any Testing-the-Waters Communication,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the Basic Prospectus, any Preliminary Prospectus, the Pricing Prospectus or the Prospectus, or any amendment or supplement thereto, or any Issuer Free Writing Prospectus, or any roadshow or any Testing-the-Waters Communication, in reliance upon and in conformity with the Underwriter Information; and will reimburse the Company for any legal or other expenses reasonably incurred by the Company in connection with investigating or defending any such action or claim as such expenses are incurred. As used in this Agreement with respect to an Underwriter and an applicable document, “Underwriter Information” shall mean the written information furnished to the Company by such Underwriter through the Representative expressly for use therein; it being understood and agreed upon that the only such information furnished by any Underwriter consists of the following information in the Prospectus furnished on behalf of each Underwriter: the concession and reallowance figures appearing in the fifth paragraph under the caption “Underwriting”, and the information contained in the seventh, eighth and ninth paragraph under the caption “Underwriting”.</w:t>
      </w:r>
    </w:p>
    <w:p>
      <w:pPr>
        <w:spacing w:after="0" w:line="167" w:lineRule="exact"/>
        <w:rPr>
          <w:rFonts w:ascii="Arial" w:cs="Arial" w:eastAsia="Arial" w:hAnsi="Arial"/>
          <w:sz w:val="16"/>
          <w:szCs w:val="16"/>
          <w:color w:val="auto"/>
        </w:rPr>
      </w:pPr>
    </w:p>
    <w:p>
      <w:pPr>
        <w:ind w:firstLine="436"/>
        <w:spacing w:after="0" w:line="311" w:lineRule="auto"/>
        <w:tabs>
          <w:tab w:leader="none" w:pos="685" w:val="left"/>
        </w:tabs>
        <w:numPr>
          <w:ilvl w:val="0"/>
          <w:numId w:val="33"/>
        </w:numPr>
        <w:rPr>
          <w:rFonts w:ascii="Arial" w:cs="Arial" w:eastAsia="Arial" w:hAnsi="Arial"/>
          <w:sz w:val="16"/>
          <w:szCs w:val="16"/>
          <w:color w:val="auto"/>
        </w:rPr>
      </w:pPr>
      <w:r>
        <w:rPr>
          <w:rFonts w:ascii="Arial" w:cs="Arial" w:eastAsia="Arial" w:hAnsi="Arial"/>
          <w:sz w:val="16"/>
          <w:szCs w:val="16"/>
          <w:color w:val="auto"/>
        </w:rPr>
        <w:t>Promptly after receipt by an indemnified party under subsection (a) or (b) of this Section 9 of notice of the commencement of any action, such indemnified party shall, if a claim in respect thereof is to be made against the indemnifying party under such subsection, notify the indemnifying party in writing of the commencement thereof; provided that the failure to notify the indemnifying party shall not relieve it from any liability that it</w:t>
      </w:r>
    </w:p>
    <w:p>
      <w:pPr>
        <w:sectPr>
          <w:pgSz w:w="11900" w:h="16838" w:orient="portrait"/>
          <w:cols w:equalWidth="0" w:num="1">
            <w:col w:w="11000"/>
          </w:cols>
          <w:pgMar w:left="440" w:top="490" w:right="459" w:bottom="1440" w:gutter="0" w:footer="0" w:header="0"/>
        </w:sectPr>
      </w:pPr>
    </w:p>
    <w:bookmarkStart w:id="27" w:name="page28"/>
    <w:bookmarkEnd w:id="27"/>
    <w:p>
      <w:pPr>
        <w:ind w:left="4"/>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may have under the preceding paragraphs of this Section 9 except to the extent that it has been materially prejudiced (through the forfeiture of substantive rights or defenses) by such failure; and provided further that the failure to notify the indemnifying party shall not relieve it from any liability that it may have to an indemnified party otherwise than under the preceding paragraphs of this Section 9.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provided that in any such proceeding, any indemnified party shall have the right to retain its own counsel, but the fees and expenses of such counsel shall be at the expense of such indemnified party unless (i) the indemnifying party and the indemnified party shall have mutually agreed to the contrary; (ii) the indemnifying party has failed within a reasonable time to retain counsel reasonably satisfactory to the indemnified party; (iii) the indemnified party shall have reasonably concluded that there may be legal defenses available to it that are different from or in addition to those available to the indemnifying party; or (iv) the named parties in any such proceeding (including any impleaded parties) include both the indemnifying party and the indemnified party and representation of both parties by the same counsel would be inappropriate due to actual or potential differing interests between them.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any statement as to or an admission of fault, culpability or a failure to act, by or on behalf of any indemnified party.</w:t>
      </w:r>
    </w:p>
    <w:p>
      <w:pPr>
        <w:spacing w:after="0" w:line="385" w:lineRule="exact"/>
        <w:rPr>
          <w:sz w:val="20"/>
          <w:szCs w:val="20"/>
          <w:color w:val="auto"/>
        </w:rPr>
      </w:pPr>
    </w:p>
    <w:p>
      <w:pPr>
        <w:ind w:left="704" w:hanging="264"/>
        <w:spacing w:after="0"/>
        <w:tabs>
          <w:tab w:leader="none" w:pos="704" w:val="left"/>
        </w:tabs>
        <w:numPr>
          <w:ilvl w:val="1"/>
          <w:numId w:val="34"/>
        </w:numPr>
        <w:rPr>
          <w:rFonts w:ascii="Arial" w:cs="Arial" w:eastAsia="Arial" w:hAnsi="Arial"/>
          <w:sz w:val="17"/>
          <w:szCs w:val="17"/>
          <w:color w:val="auto"/>
        </w:rPr>
      </w:pPr>
      <w:r>
        <w:rPr>
          <w:rFonts w:ascii="Arial" w:cs="Arial" w:eastAsia="Arial" w:hAnsi="Arial"/>
          <w:sz w:val="17"/>
          <w:szCs w:val="17"/>
          <w:color w:val="auto"/>
        </w:rPr>
        <w:t>If the indemnification provided for in this Section 9 is unavailable to or insufficient to hold harmless an indemnified party under subsection</w:t>
      </w:r>
    </w:p>
    <w:p>
      <w:pPr>
        <w:spacing w:after="0" w:line="34" w:lineRule="exact"/>
        <w:rPr>
          <w:rFonts w:ascii="Arial" w:cs="Arial" w:eastAsia="Arial" w:hAnsi="Arial"/>
          <w:sz w:val="17"/>
          <w:szCs w:val="17"/>
          <w:color w:val="auto"/>
        </w:rPr>
      </w:pPr>
    </w:p>
    <w:p>
      <w:pPr>
        <w:ind w:left="4" w:right="20" w:hanging="4"/>
        <w:spacing w:after="0" w:line="251" w:lineRule="auto"/>
        <w:tabs>
          <w:tab w:leader="none" w:pos="249" w:val="left"/>
        </w:tabs>
        <w:numPr>
          <w:ilvl w:val="0"/>
          <w:numId w:val="35"/>
        </w:numPr>
        <w:rPr>
          <w:rFonts w:ascii="Arial" w:cs="Arial" w:eastAsia="Arial" w:hAnsi="Arial"/>
          <w:sz w:val="18"/>
          <w:szCs w:val="18"/>
          <w:color w:val="auto"/>
        </w:rPr>
      </w:pPr>
      <w:r>
        <w:rPr>
          <w:rFonts w:ascii="Arial" w:cs="Arial" w:eastAsia="Arial" w:hAnsi="Arial"/>
          <w:sz w:val="18"/>
          <w:szCs w:val="18"/>
          <w:color w:val="auto"/>
        </w:rPr>
        <w:t>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on the other from the offering of the Shares.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Company on the one hand and the Underwriters on the other in connection with the statements or omissions which resulted in such losses, claims, damages or liabilities (or actions in respect thereof), as well as any other relevant equitable considerations. The</w:t>
      </w:r>
    </w:p>
    <w:p>
      <w:pPr>
        <w:sectPr>
          <w:pgSz w:w="11900" w:h="16838" w:orient="portrait"/>
          <w:cols w:equalWidth="0" w:num="1">
            <w:col w:w="11004"/>
          </w:cols>
          <w:pgMar w:left="436" w:top="490" w:right="459" w:bottom="1440" w:gutter="0" w:footer="0" w:header="0"/>
        </w:sectPr>
      </w:pPr>
    </w:p>
    <w:bookmarkStart w:id="28" w:name="page29"/>
    <w:bookmarkEnd w:id="28"/>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relative benefits received by the Company on the one hand and the Underwriters on the other shall be deemed to be in the same proportion as the total net proceeds from the offering (after deducting any underwriting discounts and commissions but before deducting expenses) received by the Company bear to the total 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on the one hand or the Underwriters on the other and the parties’ relative intent, knowledge, access to information and opportunity to correct or prevent such statement or omission. The Company and the Underwriters agree that it would not be just and equitable if contribution pursuant to this subsection (d) were determined by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Shares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w:t>
      </w:r>
    </w:p>
    <w:p>
      <w:pPr>
        <w:spacing w:after="0" w:line="191" w:lineRule="exact"/>
        <w:rPr>
          <w:sz w:val="20"/>
          <w:szCs w:val="20"/>
          <w:color w:val="auto"/>
        </w:rPr>
      </w:pPr>
    </w:p>
    <w:p>
      <w:pPr>
        <w:ind w:right="180" w:firstLine="436"/>
        <w:spacing w:after="0" w:line="296" w:lineRule="auto"/>
        <w:tabs>
          <w:tab w:leader="none" w:pos="682"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obligations of the Company under this Section 9 shall be in addition to any liability which the Company may otherwise have and shall extend, upon the same terms and conditions, to each employee, officer and director of each Underwriter and each person, if any, who controls any Underwriter within the meaning of the Act and each broker-dealer or other affiliate of any Underwriter; and the obligations of the Underwriters under this Section 9 shall be in addition to any liability which the respective Underwriters may otherwise have and shall extend, upon the same terms and conditions, to each officer and director of the Company and to each person, if any, who controls the Company within the meaning of the Act.</w:t>
      </w:r>
    </w:p>
    <w:p>
      <w:pPr>
        <w:spacing w:after="0" w:line="161" w:lineRule="exact"/>
        <w:rPr>
          <w:sz w:val="20"/>
          <w:szCs w:val="20"/>
          <w:color w:val="auto"/>
        </w:rPr>
      </w:pPr>
    </w:p>
    <w:p>
      <w:pPr>
        <w:ind w:right="20" w:firstLine="436"/>
        <w:spacing w:after="0" w:line="273" w:lineRule="auto"/>
        <w:tabs>
          <w:tab w:leader="none" w:pos="71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 If any Underwriter shall default in its obligation to purchase the Shares which it has agreed to purchase hereunder at a Time of Delivery, the Representative may in its discretion arrange for the Representative or another party or other parties to purchase such Shares on the terms contained herein. If within thirty-six hours after such default by any Underwriter the Representative does not arrange for the purchase of such Shares, then the Company shall be entitled to a further period of thirty-six hours within which to procure another party or other parties satisfactory to the Representative to purchase such Shares on such terms. In the event that, within the respective prescribed periods, the Representative notifies the Company that the Representative has so arranged for the purchase of such Shares, or the Company notifies</w:t>
      </w:r>
    </w:p>
    <w:p>
      <w:pPr>
        <w:sectPr>
          <w:pgSz w:w="11900" w:h="16838" w:orient="portrait"/>
          <w:cols w:equalWidth="0" w:num="1">
            <w:col w:w="10940"/>
          </w:cols>
          <w:pgMar w:left="440" w:top="490" w:right="519" w:bottom="1440" w:gutter="0" w:footer="0" w:header="0"/>
        </w:sectPr>
      </w:pPr>
    </w:p>
    <w:bookmarkStart w:id="29" w:name="page30"/>
    <w:bookmarkEnd w:id="29"/>
    <w:p>
      <w:pPr>
        <w:ind w:left="4"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the Representative that it has so arranged for the purchase of such Shares, the Representative or the Company shall have the right to postpone such Time of Delivery for a period of not more than seven days, in order to effect whatever changes may thereby be made necessary in the Registration Statement or the Prospectus, or in any other documents or arrangements, and the Company agrees to file promptly any amendments or supplements to the Registration Statement or the Prospectus which in the Representative’s opinion may thereby be made necessary. The term “Underwriter” as used in this Agreement shall include any person substituted under this Section with like effect as if such person had originally been a party to this Agreement with respect to such Shares.</w:t>
      </w:r>
    </w:p>
    <w:p>
      <w:pPr>
        <w:spacing w:after="0" w:line="192" w:lineRule="exact"/>
        <w:rPr>
          <w:sz w:val="20"/>
          <w:szCs w:val="20"/>
          <w:color w:val="auto"/>
        </w:rPr>
      </w:pPr>
    </w:p>
    <w:p>
      <w:pPr>
        <w:ind w:left="4" w:firstLine="436"/>
        <w:spacing w:after="0" w:line="272" w:lineRule="auto"/>
        <w:tabs>
          <w:tab w:leader="none" w:pos="699" w:val="left"/>
        </w:tabs>
        <w:numPr>
          <w:ilvl w:val="1"/>
          <w:numId w:val="38"/>
        </w:numPr>
        <w:rPr>
          <w:rFonts w:ascii="Arial" w:cs="Arial" w:eastAsia="Arial" w:hAnsi="Arial"/>
          <w:sz w:val="17"/>
          <w:szCs w:val="17"/>
          <w:color w:val="auto"/>
        </w:rPr>
      </w:pPr>
      <w:r>
        <w:rPr>
          <w:rFonts w:ascii="Arial" w:cs="Arial" w:eastAsia="Arial" w:hAnsi="Arial"/>
          <w:sz w:val="17"/>
          <w:szCs w:val="17"/>
          <w:color w:val="auto"/>
        </w:rPr>
        <w:t>If, after giving effect to any arrangements for the purchase of the Shares of a defaulting Underwriter or Underwriters by the Representative and the Company as provided in subsection (a) above, the aggregate number of such Shares which remains unpurchased does not exceed one-eleventh of the aggregate number of all the Shares to be purchased at such Time of Delivery, then the Company shall have the right to require each non-defaulting Underwriter to purchase the number of Shares which such Underwriter agreed to purchase hereunder at such Time of Delivery and, in addition, to require each non-defaulting Underwriter to purchase its pro rata share (based on the number of Shares which such Underwriter agreed to purchase hereunder) of the Shares of such defaulting Underwriter or Underwriters for which such arrangements have not been made; but nothing herein shall relieve a defaulting Underwriter from liability for its default.</w:t>
      </w:r>
    </w:p>
    <w:p>
      <w:pPr>
        <w:spacing w:after="0" w:line="177" w:lineRule="exact"/>
        <w:rPr>
          <w:rFonts w:ascii="Arial" w:cs="Arial" w:eastAsia="Arial" w:hAnsi="Arial"/>
          <w:sz w:val="17"/>
          <w:szCs w:val="17"/>
          <w:color w:val="auto"/>
        </w:rPr>
      </w:pPr>
    </w:p>
    <w:p>
      <w:pPr>
        <w:ind w:left="4" w:right="20" w:firstLine="436"/>
        <w:spacing w:after="0" w:line="287" w:lineRule="auto"/>
        <w:tabs>
          <w:tab w:leader="none" w:pos="689" w:val="left"/>
        </w:tabs>
        <w:numPr>
          <w:ilvl w:val="1"/>
          <w:numId w:val="38"/>
        </w:numPr>
        <w:rPr>
          <w:rFonts w:ascii="Arial" w:cs="Arial" w:eastAsia="Arial" w:hAnsi="Arial"/>
          <w:sz w:val="16"/>
          <w:szCs w:val="16"/>
          <w:color w:val="auto"/>
        </w:rPr>
      </w:pPr>
      <w:r>
        <w:rPr>
          <w:rFonts w:ascii="Arial" w:cs="Arial" w:eastAsia="Arial" w:hAnsi="Arial"/>
          <w:sz w:val="16"/>
          <w:szCs w:val="16"/>
          <w:color w:val="auto"/>
        </w:rPr>
        <w:t>If, after giving effect to any arrangements for the purchase of the Shares of a defaulting Underwriter or Underwriters by the Representative and the Company as provided in subsection (a) above, the aggregate number of such Shares which remains unpurchased exceeds one-eleventh of the aggregate number of all the Shares to be purchased at such Time of Delivery, or if the Company shall not exercise the right described in subsection</w:t>
      </w:r>
    </w:p>
    <w:p>
      <w:pPr>
        <w:spacing w:after="0" w:line="2" w:lineRule="exact"/>
        <w:rPr>
          <w:rFonts w:ascii="Arial" w:cs="Arial" w:eastAsia="Arial" w:hAnsi="Arial"/>
          <w:sz w:val="16"/>
          <w:szCs w:val="16"/>
          <w:color w:val="auto"/>
        </w:rPr>
      </w:pPr>
    </w:p>
    <w:p>
      <w:pPr>
        <w:ind w:left="4" w:right="120" w:hanging="4"/>
        <w:spacing w:after="0" w:line="253" w:lineRule="auto"/>
        <w:tabs>
          <w:tab w:leader="none" w:pos="259" w:val="left"/>
        </w:tabs>
        <w:numPr>
          <w:ilvl w:val="0"/>
          <w:numId w:val="39"/>
        </w:numPr>
        <w:rPr>
          <w:rFonts w:ascii="Arial" w:cs="Arial" w:eastAsia="Arial" w:hAnsi="Arial"/>
          <w:sz w:val="18"/>
          <w:szCs w:val="18"/>
          <w:color w:val="auto"/>
        </w:rPr>
      </w:pPr>
      <w:r>
        <w:rPr>
          <w:rFonts w:ascii="Arial" w:cs="Arial" w:eastAsia="Arial" w:hAnsi="Arial"/>
          <w:sz w:val="18"/>
          <w:szCs w:val="18"/>
          <w:color w:val="auto"/>
        </w:rPr>
        <w:t>above to require non-defaulting Underwriters to purchase Shares of a defaulting Underwriter or Underwriters, then this Agreement (or, with respect to the Second Time of Delivery, the obligations of the Underwriters to purchase and of the Company to sell the Optional Shares) shall thereupon terminate, without liability on the part of any non-defaulting Underwriter or the Company, except for the expenses to be borne by the Company and the Underwriters as provided in Section 7 hereof and the indemnity and contribution agreements in Section 9 hereof; but nothing herein shall relieve a defaulting Underwriter from liability for its default.</w:t>
      </w:r>
    </w:p>
    <w:p>
      <w:pPr>
        <w:spacing w:after="0" w:line="191" w:lineRule="exact"/>
        <w:rPr>
          <w:sz w:val="20"/>
          <w:szCs w:val="20"/>
          <w:color w:val="auto"/>
        </w:rPr>
      </w:pPr>
    </w:p>
    <w:p>
      <w:pPr>
        <w:ind w:left="4" w:right="80" w:firstLine="436"/>
        <w:spacing w:after="0" w:line="257" w:lineRule="auto"/>
        <w:tabs>
          <w:tab w:leader="none" w:pos="704"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respective indemnities, agreements, rights of contribution, representations, warranties and other statements of the Company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director, officer, employee, affiliate or controlling person of any Underwriter, or the Company, or any officer or director or controlling person of the Company, and shall survive delivery of and payment for the Shares.</w:t>
      </w:r>
    </w:p>
    <w:p>
      <w:pPr>
        <w:spacing w:after="0" w:line="187" w:lineRule="exact"/>
        <w:rPr>
          <w:rFonts w:ascii="Arial" w:cs="Arial" w:eastAsia="Arial" w:hAnsi="Arial"/>
          <w:sz w:val="18"/>
          <w:szCs w:val="18"/>
          <w:color w:val="auto"/>
        </w:rPr>
      </w:pPr>
    </w:p>
    <w:p>
      <w:pPr>
        <w:ind w:left="4" w:right="60" w:firstLine="436"/>
        <w:spacing w:after="0" w:line="311" w:lineRule="auto"/>
        <w:tabs>
          <w:tab w:leader="none" w:pos="714" w:val="left"/>
        </w:tabs>
        <w:numPr>
          <w:ilvl w:val="0"/>
          <w:numId w:val="40"/>
        </w:numPr>
        <w:rPr>
          <w:rFonts w:ascii="Arial" w:cs="Arial" w:eastAsia="Arial" w:hAnsi="Arial"/>
          <w:sz w:val="16"/>
          <w:szCs w:val="16"/>
          <w:color w:val="auto"/>
        </w:rPr>
      </w:pPr>
      <w:r>
        <w:rPr>
          <w:rFonts w:ascii="Arial" w:cs="Arial" w:eastAsia="Arial" w:hAnsi="Arial"/>
          <w:sz w:val="16"/>
          <w:szCs w:val="16"/>
          <w:color w:val="auto"/>
        </w:rPr>
        <w:t>If this Agreement shall be terminated pursuant to Section 10 hereof, the Company shall not then be under any liability to any Underwriter except as provided in Sections 7 and 9 hereof; but, if for any other reason (other than those set forth in clauses (i), (iii), (iv) and (v) of Section 8(g)), any Shares are not delivered by or on behalf of the Company as provided herein or the Underwriters decline to purchase the Shares for any</w:t>
      </w:r>
    </w:p>
    <w:p>
      <w:pPr>
        <w:sectPr>
          <w:pgSz w:w="11900" w:h="16838" w:orient="portrait"/>
          <w:cols w:equalWidth="0" w:num="1">
            <w:col w:w="11004"/>
          </w:cols>
          <w:pgMar w:left="436" w:top="490" w:right="459" w:bottom="1440" w:gutter="0" w:footer="0" w:header="0"/>
        </w:sectPr>
      </w:pPr>
    </w:p>
    <w:bookmarkStart w:id="30" w:name="page31"/>
    <w:bookmarkEnd w:id="30"/>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reason permitted under this Agreement, the Company will reimburse the Underwriters through the Representative for all out-of-pocket expenses approved in writing by the Representative, including documented fees and disbursements of counsel, reasonably incurred by the Underwriters in making preparations for the purchase, sale and delivery of the Shares not so delivered, but the Company shall then be under no further liability to any Underwriter except as provided in Sections 7 and 9 hereof.</w:t>
      </w:r>
    </w:p>
    <w:p>
      <w:pPr>
        <w:spacing w:after="0" w:line="187" w:lineRule="exact"/>
        <w:rPr>
          <w:sz w:val="20"/>
          <w:szCs w:val="20"/>
          <w:color w:val="auto"/>
        </w:rPr>
      </w:pPr>
    </w:p>
    <w:p>
      <w:pPr>
        <w:ind w:right="80" w:firstLine="436"/>
        <w:spacing w:after="0" w:line="342" w:lineRule="auto"/>
        <w:tabs>
          <w:tab w:leader="none" w:pos="71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 all dealings hereunder, the Representative shall act on behalf of each of the Underwriters, and the parties hereto shall be entitled to act and rely upon any statement, request, notice or agreement on behalf of any Underwriter made or given by the Representative, on behalf of the Underwriters.</w:t>
      </w:r>
    </w:p>
    <w:p>
      <w:pPr>
        <w:spacing w:after="0" w:line="124"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All statements, requests, notices and agreements hereunder shall be in writing, and if to the Underwriters shall be delivered or sent by mail, telex or facsimile transmission to: Goldman Sachs &amp; Co. LLC, 200 West Street, New York, New York 10282-2198, Attention: Registration Department; and if to the Company shall be delivered or sent by mail, telex or facsimile transmission to the address of the Company set forth in the Registration Statement, Attention: Secretary; provided, however, that any notice to an Underwriter pursuant to Section 9(c) hereof shall be delivered or sent by mail, telex or facsimile transmission to such Underwriter at its address set forth in its Underwriters’ Questionnaire, or telex constituting such Questionnaire, which address will be supplied to the Company by the Representative upon request. Any such statements, requests, notices or agreements shall take effect upon receipt thereof.</w:t>
      </w:r>
    </w:p>
    <w:p>
      <w:pPr>
        <w:spacing w:after="0" w:line="195"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49" w:lineRule="exact"/>
        <w:rPr>
          <w:sz w:val="20"/>
          <w:szCs w:val="20"/>
          <w:color w:val="auto"/>
        </w:rPr>
      </w:pPr>
    </w:p>
    <w:p>
      <w:pPr>
        <w:ind w:right="100" w:firstLine="436"/>
        <w:spacing w:after="0" w:line="257" w:lineRule="auto"/>
        <w:tabs>
          <w:tab w:leader="none" w:pos="707"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This Agreement shall be binding upon, and inure solely to the benefit of, the Underwriters, the Company and, to the extent provided in Sections 9 and 11 hereof, the officers and directors of the Company and each person who controls the Company or any Underwriter, or any director, officer, employee, or affiliate of any Underwriter, and their respective heirs, executors, administrators, successors and assigns, and no other person shall acquire or have any right under or by virtue of this Agreement. No purchaser of any of the Shares from any Underwriter shall be deemed a successor or assign by reason merely of such purchase.</w:t>
      </w:r>
    </w:p>
    <w:p>
      <w:pPr>
        <w:spacing w:after="0" w:line="187" w:lineRule="exact"/>
        <w:rPr>
          <w:rFonts w:ascii="Arial" w:cs="Arial" w:eastAsia="Arial" w:hAnsi="Arial"/>
          <w:sz w:val="18"/>
          <w:szCs w:val="18"/>
          <w:color w:val="auto"/>
        </w:rPr>
      </w:pPr>
    </w:p>
    <w:p>
      <w:pPr>
        <w:ind w:right="160" w:firstLine="436"/>
        <w:spacing w:after="0" w:line="277" w:lineRule="auto"/>
        <w:tabs>
          <w:tab w:leader="none" w:pos="707" w:val="left"/>
        </w:tabs>
        <w:numPr>
          <w:ilvl w:val="0"/>
          <w:numId w:val="42"/>
        </w:numPr>
        <w:rPr>
          <w:rFonts w:ascii="Arial" w:cs="Arial" w:eastAsia="Arial" w:hAnsi="Arial"/>
          <w:sz w:val="18"/>
          <w:szCs w:val="18"/>
          <w:color w:val="auto"/>
        </w:rPr>
      </w:pPr>
      <w:r>
        <w:rPr>
          <w:rFonts w:ascii="Arial" w:cs="Arial" w:eastAsia="Arial" w:hAnsi="Arial"/>
          <w:sz w:val="18"/>
          <w:szCs w:val="18"/>
          <w:color w:val="auto"/>
        </w:rPr>
        <w:t>Time shall be of the essence of this Agreement. As used herein, the term “business day” shall mean any day when the Commission’s office in Washington, D.C. is open for business.</w:t>
      </w:r>
    </w:p>
    <w:p>
      <w:pPr>
        <w:spacing w:after="0" w:line="170" w:lineRule="exact"/>
        <w:rPr>
          <w:rFonts w:ascii="Arial" w:cs="Arial" w:eastAsia="Arial" w:hAnsi="Arial"/>
          <w:sz w:val="18"/>
          <w:szCs w:val="18"/>
          <w:color w:val="auto"/>
        </w:rPr>
      </w:pPr>
    </w:p>
    <w:p>
      <w:pPr>
        <w:ind w:right="20" w:firstLine="436"/>
        <w:spacing w:after="0" w:line="275" w:lineRule="auto"/>
        <w:tabs>
          <w:tab w:leader="none" w:pos="707"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Company acknowledges and agrees that (i) the purchase and sale of the Shares pursuant to this Agreement is an arm’s-length commercial transaction between the Company, on the one hand, and the several Underwriters, on the other, (ii) in connection therewith and with the process leading to such transaction each Underwriter is acting solely as a principal and not the agent or fiduciary of the Company, (iii) no Underwriter has assumed an advisory or fiduciary responsibility in favor of the Company with respect to the offering contemplated hereby or the process leading thereto (irrespective of whether such Underwriter has advised or is currently advising the Company</w:t>
      </w:r>
    </w:p>
    <w:p>
      <w:pPr>
        <w:sectPr>
          <w:pgSz w:w="11900" w:h="16838" w:orient="portrait"/>
          <w:cols w:equalWidth="0" w:num="1">
            <w:col w:w="11020"/>
          </w:cols>
          <w:pgMar w:left="440" w:top="490" w:right="439" w:bottom="1440" w:gutter="0" w:footer="0" w:header="0"/>
        </w:sectPr>
      </w:pPr>
    </w:p>
    <w:bookmarkStart w:id="31" w:name="page32"/>
    <w:bookmarkEnd w:id="31"/>
    <w:p>
      <w:pPr>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on other matters) or any other obligation to the Company except the obligations expressly set forth in this Agreement, (iv) the Company has consulted its own legal and financial advisors to the extent it deemed appropriate, and (v) none of the activities of the Underwriters in connection with the transactions contemplated herein constitutes a recommendation, investment advice, or solicitation of any action by the Underwriters with respect to any entity or natural person. The Company agrees that it will not claim that the Underwriters, or any of them, has rendered advisory services of any nature or respect, or owes a fiduciary or similar duty to the Company, in connection with such transaction or the process leading thereto.</w:t>
      </w:r>
    </w:p>
    <w:p>
      <w:pPr>
        <w:spacing w:after="0" w:line="161" w:lineRule="exact"/>
        <w:rPr>
          <w:sz w:val="20"/>
          <w:szCs w:val="20"/>
          <w:color w:val="auto"/>
        </w:rPr>
      </w:pPr>
    </w:p>
    <w:p>
      <w:pPr>
        <w:ind w:right="120" w:firstLine="436"/>
        <w:spacing w:after="0" w:line="277" w:lineRule="auto"/>
        <w:tabs>
          <w:tab w:leader="none" w:pos="707"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This Agreement supersedes all prior agreements and understandings (whether written or oral) between the Company and the Underwriters, or any of them, with respect to the subject matter hereof.</w:t>
      </w:r>
    </w:p>
    <w:p>
      <w:pPr>
        <w:spacing w:after="0" w:line="170" w:lineRule="exact"/>
        <w:rPr>
          <w:rFonts w:ascii="Arial" w:cs="Arial" w:eastAsia="Arial" w:hAnsi="Arial"/>
          <w:sz w:val="18"/>
          <w:szCs w:val="18"/>
          <w:color w:val="auto"/>
        </w:rPr>
      </w:pPr>
    </w:p>
    <w:p>
      <w:pPr>
        <w:ind w:right="160" w:firstLine="436"/>
        <w:spacing w:after="0" w:line="255" w:lineRule="auto"/>
        <w:tabs>
          <w:tab w:leader="none" w:pos="707"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This Agreement and any transaction contemplated by this Agreement and any claim, controversy or dispute arising under or related thereto shall be governed by and construed in accordance with the laws of the State of New York without regard to principles of conflict of laws that would result in the application of any other law than the laws of the State of New York. The Company agrees that any suit or proceeding arising in respect of this Agreement or any transaction contemplated by this Agreement will be tried exclusively in the U.S. District Court for the Southern District of New York or, if that court does not have subject matter jurisdiction, in any state court located in The City and County of New York and the Company agrees to submit to the jurisdiction of, and to venue in, such courts.</w:t>
      </w:r>
    </w:p>
    <w:p>
      <w:pPr>
        <w:spacing w:after="0" w:line="192" w:lineRule="exact"/>
        <w:rPr>
          <w:rFonts w:ascii="Arial" w:cs="Arial" w:eastAsia="Arial" w:hAnsi="Arial"/>
          <w:sz w:val="18"/>
          <w:szCs w:val="18"/>
          <w:color w:val="auto"/>
        </w:rPr>
      </w:pPr>
    </w:p>
    <w:p>
      <w:pPr>
        <w:ind w:right="240" w:firstLine="436"/>
        <w:spacing w:after="0" w:line="277" w:lineRule="auto"/>
        <w:tabs>
          <w:tab w:leader="none" w:pos="707"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70" w:lineRule="exact"/>
        <w:rPr>
          <w:rFonts w:ascii="Arial" w:cs="Arial" w:eastAsia="Arial" w:hAnsi="Arial"/>
          <w:sz w:val="18"/>
          <w:szCs w:val="18"/>
          <w:color w:val="auto"/>
        </w:rPr>
      </w:pPr>
    </w:p>
    <w:p>
      <w:pPr>
        <w:ind w:right="40" w:firstLine="436"/>
        <w:spacing w:after="0" w:line="275" w:lineRule="auto"/>
        <w:tabs>
          <w:tab w:leader="none" w:pos="707"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This Agreement may be executed by any one or more of the parties hereto in any number of counterparts, each of which shall be deemed to be an original, but all such counterparts shall together constitute one and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76" w:lineRule="exact"/>
        <w:rPr>
          <w:rFonts w:ascii="Arial" w:cs="Arial" w:eastAsia="Arial" w:hAnsi="Arial"/>
          <w:sz w:val="17"/>
          <w:szCs w:val="17"/>
          <w:color w:val="auto"/>
        </w:rPr>
      </w:pPr>
    </w:p>
    <w:p>
      <w:pPr>
        <w:ind w:right="120" w:firstLine="436"/>
        <w:spacing w:after="0" w:line="296" w:lineRule="auto"/>
        <w:tabs>
          <w:tab w:leader="none" w:pos="710" w:val="left"/>
        </w:tabs>
        <w:numPr>
          <w:ilvl w:val="0"/>
          <w:numId w:val="43"/>
        </w:numPr>
        <w:rPr>
          <w:rFonts w:ascii="Arial" w:cs="Arial" w:eastAsia="Arial" w:hAnsi="Arial"/>
          <w:sz w:val="16"/>
          <w:szCs w:val="16"/>
          <w:color w:val="auto"/>
        </w:rPr>
      </w:pPr>
      <w:r>
        <w:rPr>
          <w:rFonts w:ascii="Arial" w:cs="Arial" w:eastAsia="Arial" w:hAnsi="Arial"/>
          <w:sz w:val="16"/>
          <w:szCs w:val="16"/>
          <w:color w:val="auto"/>
        </w:rPr>
        <w:t>Notwithstanding anything herein to the contrary, the Company is authorized to disclose to any persons the U.S. federal and state income tax treatment and tax structure of the potential transaction and all materials of any kind (including tax opinions and other tax analyses) provided to the Company relating to that treatment and structure, without the Underwriters imposing any limitation of any kind. However, any information relating to the tax treatment and tax structure shall remain confidential (and the foregoing sentence shall not apply) to the extent necessary to enable any person to comply with securities laws. For this purpose, “tax structure” is limited to any facts that may be relevant to that treatment.</w:t>
      </w:r>
    </w:p>
    <w:p>
      <w:pPr>
        <w:sectPr>
          <w:pgSz w:w="11900" w:h="16838" w:orient="portrait"/>
          <w:cols w:equalWidth="0" w:num="1">
            <w:col w:w="11000"/>
          </w:cols>
          <w:pgMar w:left="440" w:top="490" w:right="459" w:bottom="1440" w:gutter="0" w:footer="0" w:header="0"/>
        </w:sectPr>
      </w:pPr>
    </w:p>
    <w:bookmarkStart w:id="32" w:name="page33"/>
    <w:bookmarkEnd w:id="3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22. Recognition of the U.S. Special Resolution Regimes.</w:t>
      </w:r>
    </w:p>
    <w:p>
      <w:pPr>
        <w:spacing w:after="0" w:line="225" w:lineRule="exact"/>
        <w:rPr>
          <w:sz w:val="20"/>
          <w:szCs w:val="20"/>
          <w:color w:val="auto"/>
        </w:rPr>
      </w:pPr>
    </w:p>
    <w:p>
      <w:pPr>
        <w:ind w:firstLine="436"/>
        <w:spacing w:after="0" w:line="259" w:lineRule="auto"/>
        <w:tabs>
          <w:tab w:leader="none" w:pos="685"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6" w:lineRule="exact"/>
        <w:rPr>
          <w:rFonts w:ascii="Arial" w:cs="Arial" w:eastAsia="Arial" w:hAnsi="Arial"/>
          <w:sz w:val="18"/>
          <w:szCs w:val="18"/>
          <w:color w:val="auto"/>
        </w:rPr>
      </w:pPr>
    </w:p>
    <w:p>
      <w:pPr>
        <w:ind w:right="60" w:firstLine="436"/>
        <w:spacing w:after="0" w:line="259" w:lineRule="auto"/>
        <w:tabs>
          <w:tab w:leader="none" w:pos="6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6" w:lineRule="exact"/>
        <w:rPr>
          <w:rFonts w:ascii="Arial" w:cs="Arial" w:eastAsia="Arial" w:hAnsi="Arial"/>
          <w:sz w:val="18"/>
          <w:szCs w:val="18"/>
          <w:color w:val="auto"/>
        </w:rPr>
      </w:pPr>
    </w:p>
    <w:p>
      <w:pPr>
        <w:ind w:left="680" w:hanging="244"/>
        <w:spacing w:after="0"/>
        <w:tabs>
          <w:tab w:leader="none" w:pos="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 used in this section: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“BHC Act Affiliate” has the meaning assigned to the term “affiliate” in, and shall be interpreted in accordance with, 12 U.S.C. § 1841(k).</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“Covered Entity” means any of the following:</w:t>
      </w:r>
    </w:p>
    <w:p>
      <w:pPr>
        <w:spacing w:after="0" w:line="117" w:lineRule="exact"/>
        <w:rPr>
          <w:sz w:val="20"/>
          <w:szCs w:val="20"/>
          <w:color w:val="auto"/>
        </w:rPr>
      </w:pPr>
    </w:p>
    <w:p>
      <w:pPr>
        <w:ind w:left="660" w:hanging="224"/>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225" w:lineRule="exact"/>
        <w:rPr>
          <w:rFonts w:ascii="Arial" w:cs="Arial" w:eastAsia="Arial" w:hAnsi="Arial"/>
          <w:sz w:val="18"/>
          <w:szCs w:val="18"/>
          <w:color w:val="auto"/>
        </w:rPr>
      </w:pPr>
    </w:p>
    <w:p>
      <w:pPr>
        <w:ind w:left="700" w:hanging="264"/>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225" w:lineRule="exact"/>
        <w:rPr>
          <w:rFonts w:ascii="Arial" w:cs="Arial" w:eastAsia="Arial" w:hAnsi="Arial"/>
          <w:sz w:val="18"/>
          <w:szCs w:val="18"/>
          <w:color w:val="auto"/>
        </w:rPr>
      </w:pPr>
    </w:p>
    <w:p>
      <w:pPr>
        <w:ind w:left="760" w:hanging="324"/>
        <w:spacing w:after="0"/>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225"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“Default Right” has the meaning assigned to that term in, and shall be interpreted in accordance with, 12 C.F.R. §§ 252.81, 47.2 or 382.1, as applicable.</w:t>
      </w:r>
    </w:p>
    <w:p>
      <w:pPr>
        <w:spacing w:after="0" w:line="170"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1020"/>
          </w:cols>
          <w:pgMar w:left="440" w:top="490" w:right="439" w:bottom="1440" w:gutter="0" w:footer="0" w:header="0"/>
        </w:sectPr>
      </w:pPr>
    </w:p>
    <w:bookmarkStart w:id="33" w:name="page34"/>
    <w:bookmarkEnd w:id="33"/>
    <w:p>
      <w:pPr>
        <w:ind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If the foregoing is in accordance with the Representative’s understanding, please sign and return to us two counterparts hereof, and upon the acceptance hereof by the Representative, on behalf of each of the Underwriters, this letter and such acceptance hereof shall constitute a binding agreement between each of the Underwriters and the Company. It is understood that the Representative’s acceptance of this letter on behalf of each of the Underwriters is pursuant to the authority set forth in a form of Agreement among Underwriters, the form of which shall be submitted to the Company for examination upon request, but without warranty on the Representative’s part as to the authority of the signers thereof.</w:t>
      </w:r>
    </w:p>
    <w:p>
      <w:pPr>
        <w:spacing w:after="0" w:line="188"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FLYWIRE CORPORATION</w:t>
      </w:r>
    </w:p>
    <w:p>
      <w:pPr>
        <w:spacing w:after="0" w:line="22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Michael Massaro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14605</wp:posOffset>
            </wp:positionV>
            <wp:extent cx="260604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17"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Michael Massaro</w:t>
      </w:r>
    </w:p>
    <w:p>
      <w:pPr>
        <w:spacing w:after="0" w:line="9"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Title: 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hereof:</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Goldman Sachs &amp; Co.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Rebecca Steinthal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Rebecca Steinthal</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On behalf of each of the Underwriters</w:t>
      </w:r>
    </w:p>
    <w:p>
      <w:pPr>
        <w:sectPr>
          <w:pgSz w:w="11900" w:h="16838" w:orient="portrait"/>
          <w:cols w:equalWidth="0" w:num="1">
            <w:col w:w="10780"/>
          </w:cols>
          <w:pgMar w:left="440" w:top="490" w:right="679" w:bottom="1440" w:gutter="0" w:footer="0" w:header="0"/>
        </w:sectPr>
      </w:pPr>
    </w:p>
    <w:bookmarkStart w:id="34" w:name="page35"/>
    <w:bookmarkEnd w:id="3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SCHEDULE I</w:t>
      </w:r>
    </w:p>
    <w:p>
      <w:pPr>
        <w:spacing w:after="0" w:line="249"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Optional</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00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8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Shares to</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8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be</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0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Number of</w:t>
            </w:r>
          </w:p>
        </w:tc>
        <w:tc>
          <w:tcPr>
            <w:tcW w:w="8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Purchased</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0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rPr>
              <w:t>Firm</w:t>
            </w:r>
          </w:p>
        </w:tc>
        <w:tc>
          <w:tcPr>
            <w:tcW w:w="8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rPr>
              <w:t>if</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0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Shares to</w:t>
            </w:r>
          </w:p>
        </w:tc>
        <w:tc>
          <w:tcPr>
            <w:tcW w:w="8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8"/>
        </w:trPr>
        <w:tc>
          <w:tcPr>
            <w:tcW w:w="6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w:t>
            </w:r>
          </w:p>
        </w:tc>
        <w:tc>
          <w:tcPr>
            <w:tcW w:w="10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be</w:t>
            </w:r>
          </w:p>
        </w:tc>
        <w:tc>
          <w:tcPr>
            <w:tcW w:w="8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71"/>
        </w:trPr>
        <w:tc>
          <w:tcPr>
            <w:tcW w:w="6540" w:type="dxa"/>
            <w:vAlign w:val="bottom"/>
            <w:gridSpan w:val="2"/>
            <w:vMerge w:val="continue"/>
          </w:tcPr>
          <w:p>
            <w:pPr>
              <w:spacing w:after="0"/>
              <w:rPr>
                <w:sz w:val="14"/>
                <w:szCs w:val="14"/>
                <w:color w:val="auto"/>
              </w:rPr>
            </w:pPr>
          </w:p>
        </w:tc>
        <w:tc>
          <w:tcPr>
            <w:tcW w:w="10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Purchased</w:t>
            </w: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Exercised</w:t>
            </w:r>
          </w:p>
        </w:tc>
        <w:tc>
          <w:tcPr>
            <w:tcW w:w="0" w:type="dxa"/>
            <w:vAlign w:val="bottom"/>
          </w:tcPr>
          <w:p>
            <w:pPr>
              <w:spacing w:after="0"/>
              <w:rPr>
                <w:sz w:val="1"/>
                <w:szCs w:val="1"/>
                <w:color w:val="auto"/>
              </w:rPr>
            </w:pPr>
          </w:p>
        </w:tc>
      </w:tr>
      <w:tr>
        <w:trPr>
          <w:trHeight w:val="209"/>
        </w:trPr>
        <w:tc>
          <w:tcPr>
            <w:tcW w:w="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Goldman</w:t>
            </w: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Sachs &amp; Co. LLC</w:t>
            </w: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2,650,400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397,560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1,237,600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185,640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BofA Securities, Inc.</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1,012,800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151,920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1,012,800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151,920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RBC Capital Markets, LLC</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587,200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88,080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Raymond James &amp; Associates, Inc.</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450,400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67,560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Blair &amp; Company, L.L.C.</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450,400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67,560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Nomura Securities International, Inc.</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241,680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36,252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 Riley Securities, Inc.</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112,800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16,920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Stephens Inc.</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112,800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16,920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Amerivet Securities, Inc.</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29,600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4,440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Samuel A. Ramirez &amp; Company, Inc.</w:t>
            </w: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29,600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3"/>
              </w:rPr>
              <w:t>4,440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Siebert Williams Shank &amp; Co., LLC</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29,600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4,440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Telsey Advisory Group LLC</w:t>
            </w: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29,600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3"/>
              </w:rPr>
              <w:t>4,440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WR Securities, LLC</w:t>
            </w:r>
          </w:p>
        </w:tc>
        <w:tc>
          <w:tcPr>
            <w:tcW w:w="7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12,720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1,908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4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8,000,000</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1,200,000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486" w:right="1440" w:bottom="1440" w:gutter="0" w:footer="0" w:header="0"/>
        </w:sectPr>
      </w:pPr>
    </w:p>
    <w:bookmarkStart w:id="35" w:name="page36"/>
    <w:bookmarkEnd w:id="35"/>
    <w:p>
      <w:pPr>
        <w:ind w:left="492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SCHEDULE II</w:t>
      </w:r>
    </w:p>
    <w:p>
      <w:pPr>
        <w:spacing w:after="0" w:line="256" w:lineRule="exact"/>
        <w:rPr>
          <w:sz w:val="20"/>
          <w:szCs w:val="20"/>
          <w:color w:val="auto"/>
        </w:rPr>
      </w:pPr>
    </w:p>
    <w:p>
      <w:pPr>
        <w:ind w:left="444" w:right="3759" w:hanging="444"/>
        <w:spacing w:after="0" w:line="402" w:lineRule="auto"/>
        <w:tabs>
          <w:tab w:leader="none" w:pos="444" w:val="left"/>
        </w:tabs>
        <w:numPr>
          <w:ilvl w:val="0"/>
          <w:numId w:val="46"/>
        </w:numPr>
        <w:rPr>
          <w:rFonts w:ascii="Arial" w:cs="Arial" w:eastAsia="Arial" w:hAnsi="Arial"/>
          <w:sz w:val="18"/>
          <w:szCs w:val="18"/>
          <w:color w:val="auto"/>
        </w:rPr>
      </w:pPr>
      <w:r>
        <w:rPr>
          <w:rFonts w:ascii="Arial" w:cs="Arial" w:eastAsia="Arial" w:hAnsi="Arial"/>
          <w:sz w:val="18"/>
          <w:szCs w:val="18"/>
          <w:color w:val="auto"/>
        </w:rPr>
        <w:t>Issuer Free Writing Prospectuses not included in the Pricing Disclosure Package: None</w:t>
      </w:r>
    </w:p>
    <w:p>
      <w:pPr>
        <w:spacing w:after="0" w:line="89" w:lineRule="exact"/>
        <w:rPr>
          <w:rFonts w:ascii="Arial" w:cs="Arial" w:eastAsia="Arial" w:hAnsi="Arial"/>
          <w:sz w:val="18"/>
          <w:szCs w:val="18"/>
          <w:color w:val="auto"/>
        </w:rPr>
      </w:pPr>
    </w:p>
    <w:p>
      <w:pPr>
        <w:ind w:left="444" w:right="5939" w:hanging="444"/>
        <w:spacing w:after="0" w:line="383" w:lineRule="auto"/>
        <w:tabs>
          <w:tab w:leader="none" w:pos="444"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Additional Documents Incorporated by Reference: None</w:t>
      </w:r>
    </w:p>
    <w:p>
      <w:pPr>
        <w:ind w:left="444" w:hanging="444"/>
        <w:spacing w:after="0"/>
        <w:tabs>
          <w:tab w:leader="none" w:pos="444"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Information other than the Pricing Prospectus that comprise the Pricing Disclosure Package:</w:t>
      </w:r>
    </w:p>
    <w:p>
      <w:pPr>
        <w:spacing w:after="0" w:line="140" w:lineRule="exact"/>
        <w:rPr>
          <w:rFonts w:ascii="Arial" w:cs="Arial" w:eastAsia="Arial" w:hAnsi="Arial"/>
          <w:sz w:val="16"/>
          <w:szCs w:val="16"/>
          <w:color w:val="auto"/>
        </w:rPr>
      </w:pPr>
    </w:p>
    <w:p>
      <w:pPr>
        <w:ind w:left="444"/>
        <w:spacing w:after="0"/>
        <w:rPr>
          <w:rFonts w:ascii="Arial" w:cs="Arial" w:eastAsia="Arial" w:hAnsi="Arial"/>
          <w:sz w:val="16"/>
          <w:szCs w:val="16"/>
          <w:color w:val="auto"/>
        </w:rPr>
      </w:pPr>
      <w:r>
        <w:rPr>
          <w:rFonts w:ascii="Arial" w:cs="Arial" w:eastAsia="Arial" w:hAnsi="Arial"/>
          <w:sz w:val="18"/>
          <w:szCs w:val="18"/>
          <w:color w:val="auto"/>
        </w:rPr>
        <w:t>The public offering price per share for the Shares is $32.00</w:t>
      </w:r>
    </w:p>
    <w:p>
      <w:pPr>
        <w:spacing w:after="0" w:line="23" w:lineRule="exact"/>
        <w:rPr>
          <w:rFonts w:ascii="Arial" w:cs="Arial" w:eastAsia="Arial" w:hAnsi="Arial"/>
          <w:sz w:val="16"/>
          <w:szCs w:val="16"/>
          <w:color w:val="auto"/>
        </w:rPr>
      </w:pPr>
    </w:p>
    <w:p>
      <w:pPr>
        <w:ind w:left="444"/>
        <w:spacing w:after="0"/>
        <w:rPr>
          <w:rFonts w:ascii="Arial" w:cs="Arial" w:eastAsia="Arial" w:hAnsi="Arial"/>
          <w:sz w:val="16"/>
          <w:szCs w:val="16"/>
          <w:color w:val="auto"/>
        </w:rPr>
      </w:pPr>
      <w:r>
        <w:rPr>
          <w:rFonts w:ascii="Arial" w:cs="Arial" w:eastAsia="Arial" w:hAnsi="Arial"/>
          <w:sz w:val="18"/>
          <w:szCs w:val="18"/>
          <w:color w:val="auto"/>
        </w:rPr>
        <w:t>The number of Shares purchased by the Underwriters is 8,000,000.</w:t>
      </w:r>
    </w:p>
    <w:p>
      <w:pPr>
        <w:spacing w:after="0" w:line="9" w:lineRule="exact"/>
        <w:rPr>
          <w:rFonts w:ascii="Arial" w:cs="Arial" w:eastAsia="Arial" w:hAnsi="Arial"/>
          <w:sz w:val="16"/>
          <w:szCs w:val="16"/>
          <w:color w:val="auto"/>
        </w:rPr>
      </w:pPr>
    </w:p>
    <w:p>
      <w:pPr>
        <w:ind w:left="444"/>
        <w:spacing w:after="0"/>
        <w:rPr>
          <w:rFonts w:ascii="Arial" w:cs="Arial" w:eastAsia="Arial" w:hAnsi="Arial"/>
          <w:sz w:val="16"/>
          <w:szCs w:val="16"/>
          <w:color w:val="auto"/>
        </w:rPr>
      </w:pPr>
      <w:r>
        <w:rPr>
          <w:rFonts w:ascii="Arial" w:cs="Arial" w:eastAsia="Arial" w:hAnsi="Arial"/>
          <w:sz w:val="18"/>
          <w:szCs w:val="18"/>
          <w:color w:val="auto"/>
        </w:rPr>
        <w:t>The number of Shares the Underwriters have the option to purchase is 1,200,000.</w:t>
      </w:r>
    </w:p>
    <w:p>
      <w:pPr>
        <w:spacing w:after="0" w:line="237" w:lineRule="exact"/>
        <w:rPr>
          <w:rFonts w:ascii="Arial" w:cs="Arial" w:eastAsia="Arial" w:hAnsi="Arial"/>
          <w:sz w:val="16"/>
          <w:szCs w:val="16"/>
          <w:color w:val="auto"/>
        </w:rPr>
      </w:pPr>
    </w:p>
    <w:p>
      <w:pPr>
        <w:ind w:left="444" w:right="6319" w:hanging="444"/>
        <w:spacing w:after="0" w:line="402" w:lineRule="auto"/>
        <w:tabs>
          <w:tab w:leader="none" w:pos="444" w:val="left"/>
        </w:tabs>
        <w:numPr>
          <w:ilvl w:val="0"/>
          <w:numId w:val="46"/>
        </w:numPr>
        <w:rPr>
          <w:rFonts w:ascii="Arial" w:cs="Arial" w:eastAsia="Arial" w:hAnsi="Arial"/>
          <w:sz w:val="18"/>
          <w:szCs w:val="18"/>
          <w:color w:val="auto"/>
        </w:rPr>
      </w:pPr>
      <w:r>
        <w:rPr>
          <w:rFonts w:ascii="Arial" w:cs="Arial" w:eastAsia="Arial" w:hAnsi="Arial"/>
          <w:sz w:val="18"/>
          <w:szCs w:val="18"/>
          <w:color w:val="auto"/>
        </w:rPr>
        <w:t>Written Testing-the-Waters Communications: None</w:t>
      </w:r>
    </w:p>
    <w:p>
      <w:pPr>
        <w:sectPr>
          <w:pgSz w:w="11900" w:h="16838" w:orient="portrait"/>
          <w:cols w:equalWidth="0" w:num="1">
            <w:col w:w="10023"/>
          </w:cols>
          <w:pgMar w:left="436" w:top="486" w:right="1440"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ANNEX 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Flywire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Lock-Up Agreement</w:t>
      </w:r>
    </w:p>
    <w:p>
      <w:pPr>
        <w:spacing w:after="0" w:line="225" w:lineRule="exact"/>
        <w:rPr>
          <w:sz w:val="20"/>
          <w:szCs w:val="20"/>
          <w:color w:val="auto"/>
        </w:rPr>
      </w:pPr>
    </w:p>
    <w:p>
      <w:pPr>
        <w:jc w:val="both"/>
        <w:ind w:left="9780"/>
        <w:spacing w:after="0"/>
        <w:tabs>
          <w:tab w:leader="none" w:pos="10540" w:val="left"/>
        </w:tabs>
        <w:rPr>
          <w:sz w:val="20"/>
          <w:szCs w:val="20"/>
          <w:color w:val="auto"/>
        </w:rPr>
      </w:pPr>
      <w:r>
        <w:rPr>
          <w:rFonts w:ascii="Arial" w:cs="Arial" w:eastAsia="Arial" w:hAnsi="Arial"/>
          <w:sz w:val="18"/>
          <w:szCs w:val="18"/>
          <w:b w:val="1"/>
          <w:bCs w:val="1"/>
          <w:color w:val="auto"/>
        </w:rPr>
        <w:t>August</w:t>
        <w:tab/>
        <w: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6592570</wp:posOffset>
            </wp:positionH>
            <wp:positionV relativeFrom="paragraph">
              <wp:posOffset>-7620</wp:posOffset>
            </wp:positionV>
            <wp:extent cx="1143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10282-2198</w:t>
      </w:r>
    </w:p>
    <w:p>
      <w:pPr>
        <w:spacing w:after="0" w:line="238"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Flywire Corporation—Lock-Up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The undersigned understands that Goldman Sachs &amp; Co. LLC, as representative, proposes to enter into an Underwriting Agreement on behalf of the several Underwriters named in Schedule I to such agreement (collectively, the “Underwriters”), with Flywire Corporation, a Delaware corporation (the “Company”), providing for a public offering (the “Public Offering”) of the Voting Common Stock of the Company (the “Shares”) pursuant to a Registration Statement on Form S-3ASR filed with the Securities and Exchange Commission (the “SEC”) on August 9, 2023 (File No. 333-273835).</w:t>
      </w:r>
    </w:p>
    <w:p>
      <w:pPr>
        <w:spacing w:after="0" w:line="157" w:lineRule="exact"/>
        <w:rPr>
          <w:sz w:val="20"/>
          <w:szCs w:val="20"/>
          <w:color w:val="auto"/>
        </w:rPr>
      </w:pPr>
    </w:p>
    <w:p>
      <w:pPr>
        <w:ind w:right="140" w:firstLine="440"/>
        <w:spacing w:after="0" w:line="286" w:lineRule="auto"/>
        <w:rPr>
          <w:sz w:val="20"/>
          <w:szCs w:val="20"/>
          <w:color w:val="auto"/>
        </w:rPr>
      </w:pPr>
      <w:r>
        <w:rPr>
          <w:rFonts w:ascii="Arial" w:cs="Arial" w:eastAsia="Arial" w:hAnsi="Arial"/>
          <w:sz w:val="16"/>
          <w:szCs w:val="16"/>
          <w:color w:val="auto"/>
        </w:rPr>
        <w:t>In consideration of the agreement by the Underwriters to offer and sell the Shares, and of other good and valuable consideration the receipt and sufficiency of which is hereby acknowledged, the undersigned agrees that, during the period beginning from the date of this Lock-Up Agreement and continuing to and including the date 90 days after the date (the “Public Offering Date”) set forth on the final prospectus (the “Prospectus”) used to sell the Shares (the “Lock-Up Period”), the undersigned will not, and will not publicly disclose an intention to, offer, sell, contract to sell, pledge, grant any option to purchase, make any short sale or otherwise transfer or dispose of any shares of Voting Common Stock or Non-Voting Common Stock of the Company, or any options or warrants to purchase any shares of Common Stock of the Company, or any securities convertible into, exchangeable for or that represent the right to receive shares of Voting Common Stock or Non-Voting Common Stock of the Company, or enter into any swap, hedge or other arrangement that transfers, in whole or in part, any of the economic consequences of ownership of the Common Stock, whether any such aforementioned transaction is to be settled by delivery of the Common Stock or such other securities, in cash or otherwise, whether now owned or hereinafter acquired, owned directly by the undersigned (including holding as a custodian) or with respect to which the undersigned has beneficial ownership within the rules and regulations of the SEC (collectively the “Undersigned’s Shares”). In addition, the undersigned agrees that, without the prior written consent of Goldman Sachs &amp; Co. LLC, it will not, during the Lock-Up Period, make any demand for or exercise any right with respect to, the registration of any Undersigned’s Shares or any security convertible into or</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020"/>
          </w:cols>
          <w:pgMar w:left="440" w:top="486" w:right="439" w:bottom="1440" w:gutter="0" w:footer="0" w:header="0"/>
        </w:sectPr>
      </w:pPr>
    </w:p>
    <w:bookmarkStart w:id="37" w:name="page38"/>
    <w:bookmarkEnd w:id="37"/>
    <w:p>
      <w:pPr>
        <w:jc w:val="both"/>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exercisable or exchangeable for shares of Voting Common Stock or Non-Voting Common Stock, if such demand or exercise of registration rights would require the Company during the Lock-Up Period to file, or make a public announcement or disclosure of its intention to file, a registration statement, or would otherwise require or result in a public announcement or disclosure by the undersigned.</w:t>
      </w:r>
    </w:p>
    <w:p>
      <w:pPr>
        <w:spacing w:after="0" w:line="184"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The foregoing restriction is expressly agreed to preclude the undersigned from engaging in any hedging or other transaction which is designed to, or which reasonably could be expected to lead to, or result in a sale or disposition of the Undersigned’s Shares even if such Shares would be disposed of by someone other than the undersigned. Such prohibited hedging or other transactions would include without limitation any short sale or any purchase, sale or grant of any right (including without limitation any put or call option) with respect to any of the Undersigned’s Shares or with respect to any security that includes, relates to, or derives any significant part of its value from such Shares.</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Notwithstanding the foregoing, the undersigned may transfer the Undersigned’s Shares:</w:t>
      </w:r>
    </w:p>
    <w:p>
      <w:pPr>
        <w:spacing w:after="0" w:line="131" w:lineRule="exact"/>
        <w:rPr>
          <w:sz w:val="20"/>
          <w:szCs w:val="20"/>
          <w:color w:val="auto"/>
        </w:rPr>
      </w:pPr>
    </w:p>
    <w:p>
      <w:pPr>
        <w:ind w:left="980" w:hanging="54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as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gift or gifts or charitable contribution;</w:t>
      </w:r>
    </w:p>
    <w:p>
      <w:pPr>
        <w:spacing w:after="0" w:line="130" w:lineRule="exact"/>
        <w:rPr>
          <w:rFonts w:ascii="Arial" w:cs="Arial" w:eastAsia="Arial" w:hAnsi="Arial"/>
          <w:sz w:val="18"/>
          <w:szCs w:val="18"/>
          <w:color w:val="auto"/>
        </w:rPr>
      </w:pPr>
    </w:p>
    <w:p>
      <w:pPr>
        <w:ind w:left="980" w:hanging="544"/>
        <w:spacing w:after="0" w:line="279" w:lineRule="auto"/>
        <w:tabs>
          <w:tab w:leader="none" w:pos="9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to any member of the undersigned’s immediate family or to any trust or other entity controlled or managed, or under common control or management, by the undersigned or the immediate family of the undersigned, for the direct or indirect benefit of the undersigned or the immediate family of the undersigned, or if the undersigned is a trust or other such entity, to a trustor or beneficiary or similar person of the trust or other entity or to the estate of a beneficiary or similar person of such trust or other entity;</w:t>
      </w:r>
    </w:p>
    <w:p>
      <w:pPr>
        <w:spacing w:after="0" w:line="76" w:lineRule="exact"/>
        <w:rPr>
          <w:rFonts w:ascii="Arial" w:cs="Arial" w:eastAsia="Arial" w:hAnsi="Arial"/>
          <w:sz w:val="17"/>
          <w:szCs w:val="17"/>
          <w:color w:val="auto"/>
        </w:rPr>
      </w:pPr>
    </w:p>
    <w:p>
      <w:pPr>
        <w:ind w:left="980" w:hanging="54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upon death or by will, testamentary document or the laws of intestate succession;</w:t>
      </w:r>
    </w:p>
    <w:p>
      <w:pPr>
        <w:spacing w:after="0" w:line="130" w:lineRule="exact"/>
        <w:rPr>
          <w:rFonts w:ascii="Arial" w:cs="Arial" w:eastAsia="Arial" w:hAnsi="Arial"/>
          <w:sz w:val="18"/>
          <w:szCs w:val="18"/>
          <w:color w:val="auto"/>
        </w:rPr>
      </w:pPr>
    </w:p>
    <w:p>
      <w:pPr>
        <w:ind w:left="980" w:right="240" w:hanging="544"/>
        <w:spacing w:after="0" w:line="27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the extent the undersigned’s Shares are acquired (A) from the Underwriters in the Public Offering or (B) in open market transactions after the date set forth on the Prospectus;</w:t>
      </w:r>
    </w:p>
    <w:p>
      <w:pPr>
        <w:spacing w:after="0" w:line="75" w:lineRule="exact"/>
        <w:rPr>
          <w:rFonts w:ascii="Arial" w:cs="Arial" w:eastAsia="Arial" w:hAnsi="Arial"/>
          <w:sz w:val="18"/>
          <w:szCs w:val="18"/>
          <w:color w:val="auto"/>
        </w:rPr>
      </w:pPr>
    </w:p>
    <w:p>
      <w:pPr>
        <w:ind w:left="980" w:right="80" w:hanging="544"/>
        <w:spacing w:after="0" w:line="259"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the undersigned is a corporation, partnership, limited liability company, trust or other business entity, (A) to another corporation, partnership, limited liability company, trust or other business entity that is an affiliate (as defined in Rule 405 promulgated under the Securities Act of 1933, as amended) of the undersigned, or to any investment fund or other entity controlling, controlled by, managing, or managed by or under common control with the undersigned or affiliates of the</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0960"/>
          </w:cols>
          <w:pgMar w:left="440" w:top="490" w:right="499" w:bottom="1440" w:gutter="0" w:footer="0" w:header="0"/>
        </w:sectPr>
      </w:pPr>
    </w:p>
    <w:bookmarkStart w:id="38" w:name="page39"/>
    <w:bookmarkEnd w:id="38"/>
    <w:p>
      <w:pPr>
        <w:ind w:left="544"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undersigned (including, for the avoidance of doubt, where the undersigned is a partnership, to its general partner or a successor partnership or fund, or any other funds managed by such partnership), or (B) as part of a distribution, transfer or disposition without consideration by the undersigned to its stockholders, partners, members or other equity holders;</w:t>
      </w:r>
    </w:p>
    <w:p>
      <w:pPr>
        <w:spacing w:after="0" w:line="89" w:lineRule="exact"/>
        <w:rPr>
          <w:sz w:val="20"/>
          <w:szCs w:val="20"/>
          <w:color w:val="auto"/>
        </w:rPr>
      </w:pPr>
    </w:p>
    <w:p>
      <w:pPr>
        <w:ind w:left="544" w:right="20" w:hanging="544"/>
        <w:spacing w:after="0" w:line="287" w:lineRule="auto"/>
        <w:tabs>
          <w:tab w:leader="none" w:pos="544"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(a) to the Company in connection with the “net” or “cashless” exercise or settlement solely to cover withholding tax obligations in connection with the exercise or settlement of such warrants or stock options, restricted stock units or other equity awards, in each case pursuant to a stock incentive plan, other equity award plan or warrant described or incorporated by reference in the Prospectus (and any transfer to the Company necessary to generate such amount of cash needed for the payment of withholding tax obligations, including estimated taxes, due as a result of such vesting, settlement or exercise by means of a “net settlement”), or (b) through a “sell to cover” transaction for the purpose of satisfying tax withholding obligations upon the exercise or settlement of such warrants or stock options, restricted stock units or other equity awards, in each case pursuant to a stock incentive plan, other equity award plan or warrant described or incorporated by reference in the Prospectus, </w:t>
      </w:r>
      <w:r>
        <w:rPr>
          <w:rFonts w:ascii="Arial" w:cs="Arial" w:eastAsia="Arial" w:hAnsi="Arial"/>
          <w:sz w:val="16"/>
          <w:szCs w:val="16"/>
          <w:u w:val="single" w:color="auto"/>
          <w:color w:val="auto"/>
        </w:rPr>
        <w:t>provided</w:t>
      </w:r>
      <w:r>
        <w:rPr>
          <w:rFonts w:ascii="Arial" w:cs="Arial" w:eastAsia="Arial" w:hAnsi="Arial"/>
          <w:sz w:val="16"/>
          <w:szCs w:val="16"/>
          <w:color w:val="auto"/>
        </w:rPr>
        <w:t>, if the undersigned is required to file a report reporting a reduction in beneficial ownership of shares of Common Stock during the Lock-Up Period, the undersigned shall clearly indicate in the footnotes thereto that the filing relates to the circumstances described in this clause and that the shares of Common Stock received upon exercise of the stock option or warrant or vesting event are subject to this Lock-Up Agreement, and no public filing, report or announcement shall be voluntarily made;</w:t>
      </w:r>
    </w:p>
    <w:p>
      <w:pPr>
        <w:spacing w:after="0" w:line="77" w:lineRule="exact"/>
        <w:rPr>
          <w:rFonts w:ascii="Arial" w:cs="Arial" w:eastAsia="Arial" w:hAnsi="Arial"/>
          <w:sz w:val="16"/>
          <w:szCs w:val="16"/>
          <w:color w:val="auto"/>
        </w:rPr>
      </w:pPr>
    </w:p>
    <w:p>
      <w:pPr>
        <w:ind w:left="544" w:hanging="544"/>
        <w:spacing w:after="0" w:line="296" w:lineRule="auto"/>
        <w:tabs>
          <w:tab w:leader="none" w:pos="544"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to the Company pursuant to any contractual arrangement in effect on the date of this Lock-Up Agreement and disclosed or incorporated by reference in the Prospectus that provides for the repurchase of shares of Common Stock in connection with the termination of the undersigned’s employment with or service to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if the undersigned is required to file a report reporting a reduction in beneficial ownership of shares of Common Stock during the Lock-Up Period, the undersigned shall clearly indicate in the footnotes thereto that the filing relates to the circumstances described in this clause and no public filing, report or announcement shall be voluntarily made;</w:t>
      </w:r>
    </w:p>
    <w:p>
      <w:pPr>
        <w:spacing w:after="0" w:line="66" w:lineRule="exact"/>
        <w:rPr>
          <w:rFonts w:ascii="Arial" w:cs="Arial" w:eastAsia="Arial" w:hAnsi="Arial"/>
          <w:sz w:val="16"/>
          <w:szCs w:val="16"/>
          <w:color w:val="auto"/>
        </w:rPr>
      </w:pPr>
    </w:p>
    <w:p>
      <w:pPr>
        <w:ind w:left="544" w:right="80" w:hanging="544"/>
        <w:spacing w:after="0" w:line="259" w:lineRule="auto"/>
        <w:tabs>
          <w:tab w:leader="none" w:pos="544"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pursuant to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third-party tender offer, merger, consolidation or other similar transaction that is approved by the Board of Directors of the Company and made to all holders of the Company’s capital stock involving a Change of Control (as defined below) of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such tender offer, merger, consolidation or other such transaction is not completed, the undersigned’s Shares shall remain subject to the provisions of this Lock-Up Agreement;</w:t>
      </w:r>
    </w:p>
    <w:p>
      <w:pPr>
        <w:spacing w:after="0" w:line="119" w:lineRule="exact"/>
        <w:rPr>
          <w:sz w:val="20"/>
          <w:szCs w:val="20"/>
          <w:color w:val="auto"/>
        </w:rPr>
      </w:pPr>
    </w:p>
    <w:p>
      <w:pPr>
        <w:jc w:val="center"/>
        <w:ind w:right="436"/>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0584"/>
          </w:cols>
          <w:pgMar w:left="876" w:top="490" w:right="439" w:bottom="1440" w:gutter="0" w:footer="0" w:header="0"/>
        </w:sectPr>
      </w:pPr>
    </w:p>
    <w:bookmarkStart w:id="39" w:name="page40"/>
    <w:bookmarkEnd w:id="39"/>
    <w:p>
      <w:pPr>
        <w:ind w:left="544" w:right="140" w:hanging="544"/>
        <w:spacing w:after="0" w:line="259" w:lineRule="auto"/>
        <w:tabs>
          <w:tab w:leader="none" w:pos="544" w:val="left"/>
        </w:tabs>
        <w:numPr>
          <w:ilvl w:val="0"/>
          <w:numId w:val="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 connection with the conversion or reclassification of the outstanding Common Stock into shares of another class or series of Common Stock (including the conversion of shares of Non-Voting Common Stock into Common Stock) in connection with the Public Offering, provided that in each case any such shares of Common Stock received upon such conversion or reclassification shall be subject to the terms of this Lock-Up Agreement;</w:t>
      </w:r>
    </w:p>
    <w:p>
      <w:pPr>
        <w:spacing w:after="0" w:line="92" w:lineRule="exact"/>
        <w:rPr>
          <w:rFonts w:ascii="Arial" w:cs="Arial" w:eastAsia="Arial" w:hAnsi="Arial"/>
          <w:sz w:val="18"/>
          <w:szCs w:val="18"/>
          <w:color w:val="auto"/>
        </w:rPr>
      </w:pPr>
    </w:p>
    <w:p>
      <w:pPr>
        <w:ind w:left="544" w:right="140" w:hanging="544"/>
        <w:spacing w:after="0" w:line="301" w:lineRule="auto"/>
        <w:tabs>
          <w:tab w:leader="none" w:pos="544" w:val="left"/>
        </w:tabs>
        <w:numPr>
          <w:ilvl w:val="0"/>
          <w:numId w:val="49"/>
        </w:numPr>
        <w:rPr>
          <w:rFonts w:ascii="Arial" w:cs="Arial" w:eastAsia="Arial" w:hAnsi="Arial"/>
          <w:sz w:val="16"/>
          <w:szCs w:val="16"/>
          <w:color w:val="auto"/>
        </w:rPr>
      </w:pPr>
      <w:r>
        <w:rPr>
          <w:rFonts w:ascii="Arial" w:cs="Arial" w:eastAsia="Arial" w:hAnsi="Arial"/>
          <w:sz w:val="16"/>
          <w:szCs w:val="16"/>
          <w:color w:val="auto"/>
        </w:rPr>
        <w:t>pursuant to an order of a court or regulatory agency (for purposes of this Lock-Up Agreement, a “court or regulatory agency” means any domestic or foreign, federal, state or local government, including any political subdivision thereof, any governmental or quasi-governmental authority, department, agency or official, any court or administrative body, and any national securities exchange or similar self-regulatory body or organization, in each case of competent jurisdiction), by operation of law as a result of a divorce;</w:t>
      </w:r>
    </w:p>
    <w:p>
      <w:pPr>
        <w:spacing w:after="0" w:line="62" w:lineRule="exact"/>
        <w:rPr>
          <w:rFonts w:ascii="Arial" w:cs="Arial" w:eastAsia="Arial" w:hAnsi="Arial"/>
          <w:sz w:val="16"/>
          <w:szCs w:val="16"/>
          <w:color w:val="auto"/>
        </w:rPr>
      </w:pPr>
    </w:p>
    <w:p>
      <w:pPr>
        <w:ind w:left="544" w:hanging="544"/>
        <w:spacing w:after="0"/>
        <w:tabs>
          <w:tab w:leader="none" w:pos="544" w:val="left"/>
        </w:tabs>
        <w:numPr>
          <w:ilvl w:val="0"/>
          <w:numId w:val="49"/>
        </w:numPr>
        <w:rPr>
          <w:rFonts w:ascii="Arial" w:cs="Arial" w:eastAsia="Arial" w:hAnsi="Arial"/>
          <w:sz w:val="18"/>
          <w:szCs w:val="18"/>
          <w:color w:val="auto"/>
        </w:rPr>
      </w:pPr>
      <w:r>
        <w:rPr>
          <w:rFonts w:ascii="Arial" w:cs="Arial" w:eastAsia="Arial" w:hAnsi="Arial"/>
          <w:sz w:val="18"/>
          <w:szCs w:val="18"/>
          <w:color w:val="auto"/>
        </w:rPr>
        <w:t>with the prior written consent of Goldman Sachs &amp; Co. LLC on behalf of the Underwriters;</w:t>
      </w:r>
    </w:p>
    <w:p>
      <w:pPr>
        <w:spacing w:after="0" w:line="130" w:lineRule="exact"/>
        <w:rPr>
          <w:rFonts w:ascii="Arial" w:cs="Arial" w:eastAsia="Arial" w:hAnsi="Arial"/>
          <w:sz w:val="18"/>
          <w:szCs w:val="18"/>
          <w:color w:val="auto"/>
        </w:rPr>
      </w:pPr>
    </w:p>
    <w:p>
      <w:pPr>
        <w:ind w:left="544" w:right="20" w:hanging="544"/>
        <w:spacing w:after="0" w:line="274" w:lineRule="auto"/>
        <w:tabs>
          <w:tab w:leader="none" w:pos="544" w:val="left"/>
        </w:tabs>
        <w:numPr>
          <w:ilvl w:val="0"/>
          <w:numId w:val="49"/>
        </w:numPr>
        <w:rPr>
          <w:rFonts w:ascii="Arial" w:cs="Arial" w:eastAsia="Arial" w:hAnsi="Arial"/>
          <w:sz w:val="17"/>
          <w:szCs w:val="17"/>
          <w:color w:val="auto"/>
        </w:rPr>
      </w:pPr>
      <w:r>
        <w:rPr>
          <w:rFonts w:ascii="Arial" w:cs="Arial" w:eastAsia="Arial" w:hAnsi="Arial"/>
          <w:sz w:val="17"/>
          <w:szCs w:val="17"/>
          <w:color w:val="auto"/>
        </w:rPr>
        <w:t>enter into a written plan meeting the requirements of Rule 10b5-1 under the Securities Exchange Act of 1934, as amended (the “Exchange Act”), after the date of this Lock-Up Agreement relating to the sale of the undersigned’s Shares, if then permitted by the</w:t>
      </w:r>
    </w:p>
    <w:p>
      <w:pPr>
        <w:jc w:val="both"/>
        <w:ind w:left="544" w:right="100"/>
        <w:spacing w:after="0" w:line="302" w:lineRule="auto"/>
        <w:rPr>
          <w:rFonts w:ascii="Arial" w:cs="Arial" w:eastAsia="Arial" w:hAnsi="Arial"/>
          <w:sz w:val="17"/>
          <w:szCs w:val="17"/>
          <w:color w:val="auto"/>
        </w:rPr>
      </w:pPr>
      <w:r>
        <w:rPr>
          <w:rFonts w:ascii="Arial" w:cs="Arial" w:eastAsia="Arial" w:hAnsi="Arial"/>
          <w:sz w:val="16"/>
          <w:szCs w:val="16"/>
          <w:color w:val="auto"/>
        </w:rPr>
        <w:t>Company, provided that the securities subject to such plan may not be transferred until after the expiration of the Lock-Up Period and no public announcement or filing under the Exchange Act, or any other public filing or announcement, shall be required or voluntarily made regarding the establishment of such plan during the Lock-Up Period (other than as required under Item 408 of Regulation S-K); or</w:t>
      </w:r>
    </w:p>
    <w:p>
      <w:pPr>
        <w:spacing w:after="0" w:line="60" w:lineRule="exact"/>
        <w:rPr>
          <w:rFonts w:ascii="Arial" w:cs="Arial" w:eastAsia="Arial" w:hAnsi="Arial"/>
          <w:sz w:val="17"/>
          <w:szCs w:val="17"/>
          <w:color w:val="auto"/>
        </w:rPr>
      </w:pPr>
    </w:p>
    <w:p>
      <w:pPr>
        <w:ind w:left="544" w:hanging="544"/>
        <w:spacing w:after="0" w:line="255" w:lineRule="auto"/>
        <w:tabs>
          <w:tab w:leader="none" w:pos="544"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connection with the sale or other transfer of Common Stock made pursuant to a trading plan that complies with Rule 10b5-1 under the Exchange Act that has been entered into by the undersigned prior to the date of this Lock-Up Agreement; provided, that if the undersigned is required to make a filing under Section 16 of the Exchange Act reporting a reduction in the aggregate beneficial ownership of the undersigned’s Shares during the Lock-Up Period, the undersigned shall clearly indicate in the footnotes thereto that the filing relates to the circumstances described in this clause (xiii), and no other public filing or announcement shall be required or shall be made voluntarily in connection with such transfer or other disposition.</w:t>
      </w:r>
    </w:p>
    <w:p>
      <w:pPr>
        <w:spacing w:after="0" w:line="125" w:lineRule="exact"/>
        <w:rPr>
          <w:sz w:val="20"/>
          <w:szCs w:val="20"/>
          <w:color w:val="auto"/>
        </w:rPr>
      </w:pPr>
    </w:p>
    <w:p>
      <w:pPr>
        <w:jc w:val="center"/>
        <w:ind w:right="376"/>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0524"/>
          </w:cols>
          <w:pgMar w:left="876" w:top="490" w:right="499" w:bottom="1440" w:gutter="0" w:footer="0" w:header="0"/>
        </w:sectPr>
      </w:pPr>
    </w:p>
    <w:bookmarkStart w:id="40" w:name="page41"/>
    <w:bookmarkEnd w:id="40"/>
    <w:p>
      <w:pPr>
        <w:ind w:right="40"/>
        <w:spacing w:after="0" w:line="287" w:lineRule="auto"/>
        <w:rPr>
          <w:sz w:val="20"/>
          <w:szCs w:val="20"/>
          <w:color w:val="auto"/>
        </w:rPr>
      </w:pPr>
      <w:r>
        <w:rPr>
          <w:rFonts w:ascii="Arial" w:cs="Arial" w:eastAsia="Arial" w:hAnsi="Arial"/>
          <w:sz w:val="16"/>
          <w:szCs w:val="16"/>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provided</w:t>
      </w:r>
      <w:r>
        <w:rPr>
          <w:rFonts w:ascii="Arial" w:cs="Arial" w:eastAsia="Arial" w:hAnsi="Arial"/>
          <w:sz w:val="16"/>
          <w:szCs w:val="16"/>
          <w:i w:val="1"/>
          <w:iCs w:val="1"/>
          <w:color w:val="auto"/>
        </w:rPr>
        <w:t xml:space="preserve">, that </w:t>
      </w:r>
      <w:r>
        <w:rPr>
          <w:rFonts w:ascii="Arial" w:cs="Arial" w:eastAsia="Arial" w:hAnsi="Arial"/>
          <w:sz w:val="16"/>
          <w:szCs w:val="16"/>
          <w:color w:val="auto"/>
        </w:rPr>
        <w:t>(A) in the case of (i), (ii), (iii), (v) and (x) above, it shall be a condition to the transfer or distribution that the donee, devisee, transferee or</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distributee, as the case may be, agrees in writing to be bound by the restrictions set forth herein, and there shall be no further transfer of such Common Stock except in accordance with this Lock-Up Agreement, (B) in the case of (i), (ii), (iii) and (v) above, such transfer shall not involve a disposition for value, (C) in the case of (i), (ii) and (iii) above, no filing under Section 16 of the Exchange Act, or other public filing, report or announcement reporting a reduction in beneficial ownership of shares of Common Stock shall be required or shall be voluntarily made during the Lock-Up Period (other than any required Form 5 filing, which shall clearly indicate in the footnotes thereto the nature and conditions of such transfer), (D) in the case of (iv) and (v) above, no filing under Section 16 of the Exchange Act, or other public filing, report or announcement shall be required or shall be voluntarily made during the Lock-Up Period in connection with such transfer or distribution, and (E) in the case of (ix), (x) and (xi) above, it shall be a condition to such transfer that if any filing under Section 16(a) of the Exchange Act, or other public filing, report or announcement reporting a reduction in beneficial ownership of shares of Common Stock in connection with such transfer or distribution shall be legally required during the Lock-Up Period, such filing, report or announcement shall clearly indicate in the footnotes thereto the nature and conditions of such transfer.</w:t>
      </w:r>
    </w:p>
    <w:p>
      <w:pPr>
        <w:spacing w:after="0" w:line="172"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The undersigned now has, and, except as contemplated by clauses (i) through (xii) above, for the duration of this Lock-Up Agreement will have, good and marketable title to the Undersigned’s Shares, free and clear of all liens, encumbrances, and claims whatsoever. The undersigned also agrees and consents to the entry of stop transfer instructions with the Company’s transfer agent and registrar against the transfer of the Undersigned’s Shares except in compliance with the foregoing restrictions.</w:t>
      </w:r>
    </w:p>
    <w:p>
      <w:pPr>
        <w:spacing w:after="0" w:line="187" w:lineRule="exact"/>
        <w:rPr>
          <w:sz w:val="20"/>
          <w:szCs w:val="20"/>
          <w:color w:val="auto"/>
        </w:rPr>
      </w:pPr>
    </w:p>
    <w:p>
      <w:pPr>
        <w:ind w:right="500" w:firstLine="991"/>
        <w:spacing w:after="0" w:line="277" w:lineRule="auto"/>
        <w:rPr>
          <w:sz w:val="20"/>
          <w:szCs w:val="20"/>
          <w:color w:val="auto"/>
        </w:rPr>
      </w:pPr>
      <w:r>
        <w:rPr>
          <w:rFonts w:ascii="Arial" w:cs="Arial" w:eastAsia="Arial" w:hAnsi="Arial"/>
          <w:sz w:val="18"/>
          <w:szCs w:val="18"/>
          <w:color w:val="auto"/>
        </w:rPr>
        <w:t>For purposes of this Lock-Up Agreement, “immediate family” shall mean any relationship by blood, marriage or adoption, not more remote than first cousin.</w:t>
      </w:r>
    </w:p>
    <w:p>
      <w:pPr>
        <w:spacing w:after="0" w:line="1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For purposes of this Lock-Up Agreement, “Change of Control” shall mean the transfer (whether by tender offer, merger, consolidation or other similar transaction), in one transaction or a series of related transactions, to a person or group of affiliated persons (other than an Underwriter pursuant to the Public Offering), of the Company’s voting securities if, after such transfer, such person or group of affiliated persons would hold more than 50% of the outstanding voting securities of the Company (or the surviving entity).</w:t>
      </w:r>
    </w:p>
    <w:p>
      <w:pPr>
        <w:spacing w:after="0" w:line="187"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The undersigned hereby consents to receipt of this Lock-Up Agreement in electronic form and understands and agrees that this Lock-Up Agreement may be signed electronically. In the event that any signature is delivered by facsimile transmission, electronic mail, or otherwise by electronic transmission evidencing an intent to sign this Lock-Up Agreement, such facsimile transmission, electronic mail or other electronic transmission shall create a valid and binding obligation of the undersigned with the same force and effect as if such signature were an original. Execution and delivery of this Lock-Up Agreement by facsimile transmission, electronic mail or other electronic transmission is legal, valid and binding for all purposes.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000"/>
          </w:cols>
          <w:pgMar w:left="440" w:top="490" w:right="459" w:bottom="1440" w:gutter="0" w:footer="0" w:header="0"/>
        </w:sectPr>
      </w:pPr>
    </w:p>
    <w:bookmarkStart w:id="41" w:name="page42"/>
    <w:bookmarkEnd w:id="41"/>
    <w:p>
      <w:pPr>
        <w:ind w:firstLine="991"/>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undersigned acknowledges and agrees that the Underwriters have not provided any recommendation or investment advice nor have the Underwriters solicited any action from the undersigned with respect to the Public Offering and the undersigned has consulted their own legal, accounting, financial, regulatory and tax advisors to the extent deemed appropriate. The undersigned further acknowledges and agrees that, although the Underwriters may provide certain Regulation Best Interest and Form CRS disclosures or other related documentation to you in connection with the Public Offering, the Underwriters are not making a recommendation to you to participate in the Public Offering or sell any Shares at the price determined in the Public Offering, and nothing set forth in such disclosures or documentation is intended to suggest that any Underwriter is making such a recommendation.</w:t>
      </w:r>
    </w:p>
    <w:p>
      <w:pPr>
        <w:spacing w:after="0" w:line="195" w:lineRule="exact"/>
        <w:rPr>
          <w:sz w:val="20"/>
          <w:szCs w:val="20"/>
          <w:color w:val="auto"/>
        </w:rPr>
      </w:pPr>
    </w:p>
    <w:p>
      <w:pPr>
        <w:ind w:right="80" w:firstLine="991"/>
        <w:spacing w:after="0" w:line="293" w:lineRule="auto"/>
        <w:rPr>
          <w:sz w:val="20"/>
          <w:szCs w:val="20"/>
          <w:color w:val="auto"/>
        </w:rPr>
      </w:pPr>
      <w:r>
        <w:rPr>
          <w:rFonts w:ascii="Arial" w:cs="Arial" w:eastAsia="Arial" w:hAnsi="Arial"/>
          <w:sz w:val="16"/>
          <w:szCs w:val="16"/>
          <w:color w:val="auto"/>
        </w:rPr>
        <w:t>It is understood that this Lock-Up Agreement shall immediately be terminated and the undersigned shall be released from all obligations under this Lock-Up Agreement if (i) the Company notifies Goldman Sachs &amp; Co. LLC, in writing, prior to the execution of the Underwriting Agreement, that it has determined not to proceed with the Public Offering, (ii) the Underwriting Agreement is executed but is then terminated (other than the provisions thereof which survive termination) prior to payment for and delivery of the Shares to be sold thereunder, or (iv) the Public Offering shall not have been completed by September 8, 2023, in the event the Underwriting Agreement has not been executed by such date; provided, however, that the Company may, by written notice to the undersigned prior to such date, extend such date for a period of up to three additional months.</w:t>
      </w:r>
    </w:p>
    <w:p>
      <w:pPr>
        <w:spacing w:after="0" w:line="164" w:lineRule="exact"/>
        <w:rPr>
          <w:sz w:val="20"/>
          <w:szCs w:val="20"/>
          <w:color w:val="auto"/>
        </w:rPr>
      </w:pPr>
    </w:p>
    <w:p>
      <w:pPr>
        <w:ind w:right="160" w:firstLine="991"/>
        <w:spacing w:after="0" w:line="293" w:lineRule="auto"/>
        <w:rPr>
          <w:sz w:val="20"/>
          <w:szCs w:val="20"/>
          <w:color w:val="auto"/>
        </w:rPr>
      </w:pPr>
      <w:r>
        <w:rPr>
          <w:rFonts w:ascii="Arial" w:cs="Arial" w:eastAsia="Arial" w:hAnsi="Arial"/>
          <w:sz w:val="16"/>
          <w:szCs w:val="16"/>
          <w:color w:val="auto"/>
        </w:rPr>
        <w:t>The undersigned understands that the Company and the Underwriters are relying upon this Lock-Up Agreement in proceeding toward consummation of the offering. The undersigned further understands that this Lock-Up Agreement is irrevocable and shall be binding upon the undersigned’s heirs, legal representatives, successors, and assigns. This Lock-up Agreement may be delivered via facsimile, electronic mail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 The undersigned hereby represents and warrants that the undersigned has full power and authority to enter into this Lock-Up Agreement.</w:t>
      </w:r>
    </w:p>
    <w:p>
      <w:pPr>
        <w:spacing w:after="0" w:line="16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This Lock-Up Agreement shall be governed by, and construed in accordance with, the laws of the State of New York.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0980"/>
          </w:cols>
          <w:pgMar w:left="440" w:top="490" w:right="479" w:bottom="1440" w:gutter="0" w:footer="0" w:header="0"/>
        </w:sectPr>
      </w:pPr>
    </w:p>
    <w:bookmarkStart w:id="42" w:name="page43"/>
    <w:bookmarkEnd w:id="42"/>
    <w:p>
      <w:pPr>
        <w:jc w:val="right"/>
        <w:ind w:right="14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Exact Name of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-130175</wp:posOffset>
            </wp:positionV>
            <wp:extent cx="27946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-130175</wp:posOffset>
            </wp:positionV>
            <wp:extent cx="27946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-130175</wp:posOffset>
            </wp:positionV>
            <wp:extent cx="27946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F-7</w:t>
      </w:r>
    </w:p>
    <w:p>
      <w:pPr>
        <w:sectPr>
          <w:pgSz w:w="11900" w:h="16838" w:orient="portrait"/>
          <w:cols w:equalWidth="0" w:num="1">
            <w:col w:w="9019"/>
          </w:cols>
          <w:pgMar w:left="1440" w:top="719" w:right="1440"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August 9, 2023</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Flywire Corporation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141 Tremont St. #10F</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Boston, MA 02111</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left="4" w:right="60"/>
        <w:spacing w:after="0" w:line="287" w:lineRule="auto"/>
        <w:rPr>
          <w:sz w:val="20"/>
          <w:szCs w:val="20"/>
          <w:color w:val="auto"/>
        </w:rPr>
      </w:pPr>
      <w:r>
        <w:rPr>
          <w:rFonts w:ascii="Arial" w:cs="Arial" w:eastAsia="Arial" w:hAnsi="Arial"/>
          <w:sz w:val="16"/>
          <w:szCs w:val="16"/>
          <w:color w:val="auto"/>
        </w:rPr>
        <w:t>You have requested our opinion with respect to certain matters in connection with the sale and issuance by Flywire Corporation,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of up to an aggregate of 9,200,000 shares of the Company’s voting common stock, par value $0.0001 per share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(including up to an aggregate of 1,200,000 shares that may be sold pursuant to the exercise of an option to purchase additional shares), pursuant to</w:t>
      </w:r>
    </w:p>
    <w:p>
      <w:pPr>
        <w:spacing w:after="0" w:line="2" w:lineRule="exact"/>
        <w:rPr>
          <w:sz w:val="20"/>
          <w:szCs w:val="20"/>
          <w:color w:val="auto"/>
        </w:rPr>
      </w:pPr>
    </w:p>
    <w:p>
      <w:pPr>
        <w:ind w:left="4" w:right="220" w:hanging="4"/>
        <w:spacing w:after="0" w:line="269" w:lineRule="auto"/>
        <w:tabs>
          <w:tab w:leader="none" w:pos="219"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Registration Statement on Form S-3 (File No. 333-273835)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filed with the Securities and Exchange 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under the Securities Act of 1933, as amended (the “</w:t>
      </w:r>
      <w:r>
        <w:rPr>
          <w:rFonts w:ascii="Arial" w:cs="Arial" w:eastAsia="Arial" w:hAnsi="Arial"/>
          <w:sz w:val="17"/>
          <w:szCs w:val="17"/>
          <w:b w:val="1"/>
          <w:bCs w:val="1"/>
          <w:i w:val="1"/>
          <w:iCs w:val="1"/>
          <w:color w:val="auto"/>
        </w:rPr>
        <w:t>Act</w:t>
      </w:r>
      <w:r>
        <w:rPr>
          <w:rFonts w:ascii="Arial" w:cs="Arial" w:eastAsia="Arial" w:hAnsi="Arial"/>
          <w:sz w:val="17"/>
          <w:szCs w:val="17"/>
          <w:color w:val="auto"/>
        </w:rPr>
        <w:t>”), on August 9, 2023 (the “</w:t>
      </w:r>
      <w:r>
        <w:rPr>
          <w:rFonts w:ascii="Arial" w:cs="Arial" w:eastAsia="Arial" w:hAnsi="Arial"/>
          <w:sz w:val="17"/>
          <w:szCs w:val="17"/>
          <w:b w:val="1"/>
          <w:bCs w:val="1"/>
          <w:i w:val="1"/>
          <w:iCs w:val="1"/>
          <w:color w:val="auto"/>
        </w:rPr>
        <w:t>Base Prospectus</w:t>
      </w:r>
      <w:r>
        <w:rPr>
          <w:rFonts w:ascii="Arial" w:cs="Arial" w:eastAsia="Arial" w:hAnsi="Arial"/>
          <w:sz w:val="17"/>
          <w:szCs w:val="17"/>
          <w:color w:val="auto"/>
        </w:rPr>
        <w:t>”), as supplemented by the prospectus supplement dated August 9, 2023, filed with the Commission pursuant to Rule 424(b) under the Act on August 9, 2023 (the “</w:t>
      </w:r>
      <w:r>
        <w:rPr>
          <w:rFonts w:ascii="Arial" w:cs="Arial" w:eastAsia="Arial" w:hAnsi="Arial"/>
          <w:sz w:val="17"/>
          <w:szCs w:val="17"/>
          <w:b w:val="1"/>
          <w:bCs w:val="1"/>
          <w:i w:val="1"/>
          <w:iCs w:val="1"/>
          <w:color w:val="auto"/>
        </w:rPr>
        <w:t>Preliminary</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Prospectus Supplement</w:t>
      </w:r>
      <w:r>
        <w:rPr>
          <w:rFonts w:ascii="Arial" w:cs="Arial" w:eastAsia="Arial" w:hAnsi="Arial"/>
          <w:sz w:val="17"/>
          <w:szCs w:val="17"/>
          <w:color w:val="auto"/>
        </w:rPr>
        <w:t>”), and supplemented by the prospectus supplement dated August 9, 2023, filed with the Commission pursuant to Rule 424(b)</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 the Act on August 11, 2023 (together with the Base Prospectus and the Preliminary Prospectus Supplement, the “</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and (ii) an underwriting agreement (the “</w:t>
      </w:r>
      <w:r>
        <w:rPr>
          <w:rFonts w:ascii="Arial" w:cs="Arial" w:eastAsia="Arial" w:hAnsi="Arial"/>
          <w:sz w:val="17"/>
          <w:szCs w:val="17"/>
          <w:b w:val="1"/>
          <w:bCs w:val="1"/>
          <w:i w:val="1"/>
          <w:iCs w:val="1"/>
          <w:color w:val="auto"/>
        </w:rPr>
        <w:t>Underwriting Agreement</w:t>
      </w:r>
      <w:r>
        <w:rPr>
          <w:rFonts w:ascii="Arial" w:cs="Arial" w:eastAsia="Arial" w:hAnsi="Arial"/>
          <w:sz w:val="17"/>
          <w:szCs w:val="17"/>
          <w:color w:val="auto"/>
        </w:rPr>
        <w:t>”), dated August 9, 2023, among the Company and Goldman Sachs &amp; Co. LLC, as representative of the several underwriters named therein.</w:t>
      </w:r>
    </w:p>
    <w:p>
      <w:pPr>
        <w:spacing w:after="0" w:line="180" w:lineRule="exact"/>
        <w:rPr>
          <w:sz w:val="20"/>
          <w:szCs w:val="20"/>
          <w:color w:val="auto"/>
        </w:rPr>
      </w:pPr>
    </w:p>
    <w:p>
      <w:pPr>
        <w:ind w:left="4" w:right="140"/>
        <w:spacing w:after="0" w:line="272" w:lineRule="auto"/>
        <w:rPr>
          <w:sz w:val="20"/>
          <w:szCs w:val="20"/>
          <w:color w:val="auto"/>
        </w:rPr>
      </w:pPr>
      <w:r>
        <w:rPr>
          <w:rFonts w:ascii="Arial" w:cs="Arial" w:eastAsia="Arial" w:hAnsi="Arial"/>
          <w:sz w:val="17"/>
          <w:szCs w:val="17"/>
          <w:color w:val="auto"/>
        </w:rPr>
        <w:t>In connection with this opinion, we have examined and relied upon the Registration Statement, the Prospectus, the Company’s Amended and Restated Certificate of Incorporation and Amended and Restated Bylaws, as currently in effect, and the originals or copies certified to our satisfaction of such other documents, records, certificates, memoranda and other instruments as in our judgment are necessary or appropriate to enable us to render the opinion expressed below. With your consent, we have relied upon certificates and other assurances of officers of the Company as to factual matters without having independently verified such factual matters. We have assumed the genuineness and authenticity of all documents submitted to us as originals, and the conformity to originals of all documents submitted to us as copies thereof and the due execution and delivery of all documents where due execution and delivery are a prerequisite to the effectiveness thereof.</w:t>
      </w:r>
    </w:p>
    <w:p>
      <w:pPr>
        <w:spacing w:after="0" w:line="177" w:lineRule="exact"/>
        <w:rPr>
          <w:sz w:val="20"/>
          <w:szCs w:val="20"/>
          <w:color w:val="auto"/>
        </w:rPr>
      </w:pPr>
    </w:p>
    <w:p>
      <w:pPr>
        <w:ind w:left="4" w:right="20"/>
        <w:spacing w:after="0" w:line="291" w:lineRule="auto"/>
        <w:rPr>
          <w:sz w:val="20"/>
          <w:szCs w:val="20"/>
          <w:color w:val="auto"/>
        </w:rPr>
      </w:pPr>
      <w:r>
        <w:rPr>
          <w:rFonts w:ascii="Arial" w:cs="Arial" w:eastAsia="Arial" w:hAnsi="Arial"/>
          <w:sz w:val="16"/>
          <w:szCs w:val="16"/>
          <w:color w:val="auto"/>
        </w:rPr>
        <w:t>This opinion is being furnished in connection with the requirements of Item 601(b)(5) of Regulation S-K under the Act, and no opinion is expressed herein as to any matter pertaining to the contents of the Registration Statement or the Prospectus, other than as expressly stated herein with respect to the issue of the Shares. Our opinion is limited to the matters stated herein and no opinion is implied or may be inferred beyond the matters expressly stated. Our opinion herein is expressed solely with respect to the federal laws of the United States and the General Corporation Law of the State of Delaware (the “</w:t>
      </w:r>
      <w:r>
        <w:rPr>
          <w:rFonts w:ascii="Arial" w:cs="Arial" w:eastAsia="Arial" w:hAnsi="Arial"/>
          <w:sz w:val="16"/>
          <w:szCs w:val="16"/>
          <w:b w:val="1"/>
          <w:bCs w:val="1"/>
          <w:i w:val="1"/>
          <w:iCs w:val="1"/>
          <w:color w:val="auto"/>
        </w:rPr>
        <w:t>DGCL</w:t>
      </w:r>
      <w:r>
        <w:rPr>
          <w:rFonts w:ascii="Arial" w:cs="Arial" w:eastAsia="Arial" w:hAnsi="Arial"/>
          <w:sz w:val="16"/>
          <w:szCs w:val="16"/>
          <w:color w:val="auto"/>
        </w:rPr>
        <w:t>”). Our opinion is based on these laws as in effect on the date hereof, and we disclaim any obligation to advise you of facts, circumstances, events or developments which hereafter may be brought to our attention and which may alter, affect or modify the opinion expressed herein. We are not rendering any opinion as to compliance with any federal or state antifraud law, rule or regulation relating to securities, or to the sale or issuance thereof.</w:t>
      </w:r>
    </w:p>
    <w:p>
      <w:pPr>
        <w:spacing w:after="0" w:line="166" w:lineRule="exact"/>
        <w:rPr>
          <w:sz w:val="20"/>
          <w:szCs w:val="20"/>
          <w:color w:val="auto"/>
        </w:rPr>
      </w:pPr>
    </w:p>
    <w:p>
      <w:pPr>
        <w:jc w:val="both"/>
        <w:ind w:left="4" w:right="180"/>
        <w:spacing w:after="0" w:line="259" w:lineRule="auto"/>
        <w:rPr>
          <w:sz w:val="20"/>
          <w:szCs w:val="20"/>
          <w:color w:val="auto"/>
        </w:rPr>
      </w:pPr>
      <w:r>
        <w:rPr>
          <w:rFonts w:ascii="Arial" w:cs="Arial" w:eastAsia="Arial" w:hAnsi="Arial"/>
          <w:sz w:val="18"/>
          <w:szCs w:val="18"/>
          <w:color w:val="auto"/>
        </w:rPr>
        <w:t>Subject to the foregoing and the other matters set forth herein, it is our opinion when the Shares to be issued and sold by the Company are issued and paid for in accordance with the terms of the Underwriting Agreement, the Shares will be validly issued, fully paid and nonassessable. In rendering the foregoing opinion, we have assumed that the Company will comply with all applicable notice requirements regarding uncertificated shares provided in the DGCL.</w:t>
      </w:r>
    </w:p>
    <w:p>
      <w:pPr>
        <w:sectPr>
          <w:pgSz w:w="11900" w:h="16838" w:orient="portrait"/>
          <w:cols w:equalWidth="0" w:num="1">
            <w:col w:w="11024"/>
          </w:cols>
          <w:pgMar w:left="436" w:top="121" w:right="439" w:bottom="1440" w:gutter="0" w:footer="0" w:header="0"/>
        </w:sectPr>
      </w:pPr>
    </w:p>
    <w:bookmarkStart w:id="44" w:name="page45"/>
    <w:bookmarkEnd w:id="44"/>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We consent to the reference to our firm under the caption “Legal Matters” in the Prospectus and to the filing of this opinion as an exhibit to a Current Report on Form 8-K. In giving such consent, we do not thereby admit that we are in the category of persons whose consent is required under Section 7 of the Act or the rules and regulations of the Commission thereunder.</w:t>
      </w:r>
    </w:p>
    <w:p>
      <w:pPr>
        <w:spacing w:after="0" w:line="211"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 Gunderson Dettmer Stough Villeneuve Franklin &amp;</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Hachigian, LLP</w:t>
      </w:r>
    </w:p>
    <w:p>
      <w:pPr>
        <w:spacing w:after="0" w:line="211"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GUNDERSON DETTMER STOUGH</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VILLENEUVE FRANKLIN &amp; HACHIGIAN, LLP</w:t>
      </w:r>
    </w:p>
    <w:p>
      <w:pPr>
        <w:sectPr>
          <w:pgSz w:w="11900" w:h="16838" w:orient="portrait"/>
          <w:cols w:equalWidth="0" w:num="1">
            <w:col w:w="10840"/>
          </w:cols>
          <w:pgMar w:left="440" w:top="490" w:right="61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Flywire Launches Proposed Follow-On Offering</w:t>
      </w:r>
    </w:p>
    <w:p>
      <w:pPr>
        <w:spacing w:after="0" w:line="225"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b w:val="1"/>
          <w:bCs w:val="1"/>
          <w:color w:val="auto"/>
        </w:rPr>
        <w:t xml:space="preserve">Boston, MA – August 9, 2023: </w:t>
      </w:r>
      <w:r>
        <w:rPr>
          <w:rFonts w:ascii="Arial" w:cs="Arial" w:eastAsia="Arial" w:hAnsi="Arial"/>
          <w:sz w:val="16"/>
          <w:szCs w:val="16"/>
          <w:color w:val="auto"/>
        </w:rPr>
        <w:t>Flywire Corporation (Nasdaq: FLYW) (“Flywire” or the “Company”), a global payments enablement and software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today announced the launch of a proposed follow-on public offering of $250,000,000 of shares of its voting common stock (the “Common Stock”). In addition, Flywire expects to grant the underwriters a 30-day option to purchase up to an additional $37,500,000 of shares of Common Stock from Flywire at the public offering price less the underwriting discounts and commissions. The offering is subject to market and other conditions, and there can be no assurance as to whether or when the offering may be completed, or as to the actual size or terms of the offering.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 is acting as lead book-running manager for the offering.</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securities described above are being offered pursuant to an automatically effective shelf registration statement on Form S-3 that was filed with the U.S. Securities and Exchange Commission (the “SEC”) on August 9, 2023. A preliminary prospectus supplement and accompanying prospectus relating to and describing the terms of the proposed offering will be filed with the SEC and may be obtained, when available, by contacting Goldman Sachs &amp; Co. LLC, Attn: Prospectus Department, 200 West Street, New York, NY 10282, or by telephone at (866) 471-2526 or by emailing prospectus-ny@ny.email.gs.com; or by accessing the SEC’s website at www.sec.gov.</w:t>
      </w:r>
    </w:p>
    <w:p>
      <w:pPr>
        <w:spacing w:after="0" w:line="18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This press release shall not constitute an offer to sell or the solicitation of an offer to buy, nor shall there be any sale of these securities in any state or jurisdiction in which such offer, solicitation, or sale would be unlawful prior to registration or qualification under the securities laws of any such state or jurisdiction.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Flywire</w:t>
      </w:r>
    </w:p>
    <w:p>
      <w:pPr>
        <w:spacing w:after="0" w:line="121"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Flywire is a global payments enablement and software company. Flywire combines its proprietary global payments network, next-gen payments platform and vertical-specific software to deliver the most important and complex payments for its clients and their customers.</w:t>
      </w:r>
    </w:p>
    <w:p>
      <w:pPr>
        <w:spacing w:after="0" w:line="146"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Flywire leverages its vertical-specific software and payments technology to deeply embed within the existing A/R workflows for its clients across the education, healthcare and travel vertical markets, as well as in key B2B industries. Flywire also integrates with leading ERP systems, so organizations can optimize the payment experience for their customers while eliminating operational challenges.</w:t>
      </w:r>
    </w:p>
    <w:p>
      <w:pPr>
        <w:spacing w:after="0" w:line="16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Flywire supports more than 3,500 clients with diverse payment methods in more than 140 currencies across 240 countries and territories around the world. Flywire is headquartered in Boston, MA, USA with additional offices around the globe.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Except for historical information, certain statements in this press release, including statements regarding the proposed follow-on public offering and the proposed terms of such offering are “forward-looking statements” within the meaning of the Private Securities Litigation Reform Act of 1995, and are subject to risks, uncertainties and assumptions about Flywire and its business, including, without limitation, risks and uncertainties related to market conditions, the ability to complete the offering, and the satisfaction of the closing conditions related to the follow-on public offering. Such forward-looking statements involve substantial risks and uncertainties that relate to future events and the actual results could differ significantly from those expressed or implied by the forward-looking statements. Any forward-looking</w:t>
      </w:r>
    </w:p>
    <w:p>
      <w:pPr>
        <w:sectPr>
          <w:pgSz w:w="11900" w:h="16838" w:orient="portrait"/>
          <w:cols w:equalWidth="0" w:num="1">
            <w:col w:w="11020"/>
          </w:cols>
          <w:pgMar w:left="440" w:top="121" w:right="439" w:bottom="1440" w:gutter="0" w:footer="0" w:header="0"/>
        </w:sectPr>
      </w:pPr>
    </w:p>
    <w:bookmarkStart w:id="46" w:name="page47"/>
    <w:bookmarkEnd w:id="46"/>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statements are based on Flywire’s current expectations, estimates and assumptions regarding future events and are applicable only as of the dates of such statements. Flywire makes no commitment to revise or update any forward-looking statements in order to reflect events or circumstances that may change, except as required by law. For a further description of the risks and uncertainties that could cause actual results to differ from those expressed in these forward-looking statements, as well as risks relating to Flywire’s business in general, please refer to the “Risk Factors” section</w:t>
      </w:r>
    </w:p>
    <w:p>
      <w:pPr>
        <w:spacing w:after="0" w:line="1"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in Flywire’s automatically effective shelf registration statement on Form S-3 filed with the SEC on August 9, 2023, including the documents incorporated by reference therein, including its Annual Report on Form 10-K filed with the SEC on March 10, 2023 and its Quarterly Report on Form 10-Q filed with the SEC on August 8, 2023.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r>
        <w:rPr>
          <w:rFonts w:ascii="Arial" w:cs="Arial" w:eastAsia="Arial" w:hAnsi="Arial"/>
          <w:sz w:val="18"/>
          <w:szCs w:val="18"/>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Akil Hollis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ir@Flywire.com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r>
        <w:rPr>
          <w:rFonts w:ascii="Arial" w:cs="Arial" w:eastAsia="Arial" w:hAnsi="Arial"/>
          <w:sz w:val="18"/>
          <w:szCs w:val="18"/>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Sarah King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Sarah.King@Flywire.com</w:t>
      </w:r>
    </w:p>
    <w:p>
      <w:pPr>
        <w:sectPr>
          <w:pgSz w:w="11900" w:h="16838" w:orient="portrait"/>
          <w:cols w:equalWidth="0" w:num="1">
            <w:col w:w="11000"/>
          </w:cols>
          <w:pgMar w:left="440" w:top="490" w:right="45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NEWS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Flywire Announces Pricing of Follow-On Offering</w:t>
      </w:r>
    </w:p>
    <w:p>
      <w:pPr>
        <w:spacing w:after="0" w:line="225"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 xml:space="preserve">Boston, MA – August 9, 2023: </w:t>
      </w:r>
      <w:r>
        <w:rPr>
          <w:rFonts w:ascii="Arial" w:cs="Arial" w:eastAsia="Arial" w:hAnsi="Arial"/>
          <w:sz w:val="18"/>
          <w:szCs w:val="18"/>
          <w:color w:val="auto"/>
        </w:rPr>
        <w:t>Flywire Corporation (Nasdaq: FLYW) (“Flywire” or the “Company”), a global payments enablement and software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today announced the pricing of its underwritten public offering of 8,000,000 shares of its voting common stock (the “Common Stock”) at a price to the public of $32.00 per share. Closing of the offering is expected to occur on August 14, 2023, subject to customary closing conditions. In addition, Flywire has granted the underwriters a 30-day option to purchase up to an additional 1,200,000 shares of Common Stock at the public offering price less the underwriting discounts and commissions.</w:t>
      </w:r>
    </w:p>
    <w:p>
      <w:pPr>
        <w:spacing w:after="0" w:line="187"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Goldman Sachs &amp; Co. LLC is acting as lead book-running manager for the offering. J.P. Morgan, Citigroup, BofA Securities, Raymond James, RBC Capital Markets and William Blair are acting as book-running managers for the offering. Wolfe | Nomura Alliance, Stephens Inc. and Telsey Advisory Group are acting as co-managers for the offering.</w:t>
      </w:r>
    </w:p>
    <w:p>
      <w:pPr>
        <w:spacing w:after="0" w:line="184"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securities described above are being offered pursuant to an automatically effective shelf registration statement on Form S-3 that was filed with the U.S. Securities and Exchange Commission (the “SEC”) on August 9, 2023. A preliminary prospectus supplement and accompanying prospectus relating to and describing the terms of the offering was filed with the SEC on August 9, 2023. The final prospectus supplement and accompanying prospectus relating to the offering will be filed with the SEC and may be obtained, when available, by contacting Goldman Sachs &amp; Co. LLC, Attn: Prospectus Department, 200 West Street, New York, NY 10282, or by telephone at (866) 471-2526 or by emailing prospectus-ny@ny.email.gs.com; J.P. Morgan Securities LLC, Attention: Broadridge Financial Solutions, 1155 Long Island Avenue, Edgewood, NY 11717, or by telephone at (866) 803-9204, or by email at prospectus-eq_fi@jpmchase.com; Citigroup Global Markets Inc., c/o Broadridge Financial Solutions, 1155 Long Island Avenue, Edgewood, NY 11717, or by telephone at (800) 831-9146, or by email at prospectus@citi.com; BofA Securities, Attention: Prospectus Department, NC1-022-02-25, 201 North Tryon, Charlotte, North Carolina 28255-0001, or by email at dg.prospectus_requests@bofa.com; Raymond James &amp; Associates, Inc., Attention: Equity Syndicate, 880 Carillon Parkway, St. Petersburg, Florida 33716, by telephone at (800) 248-8863 or by e-mail at prospectus@raymondjames.com; RBC Capital Markets, LLC, Attention: Equity Syndicate, 200 Vesey Street, 8th Floor, New York, NY 10281, telephone: 1-877-822-4089, or email: equityprospectus@rbccm.com; or William Blair &amp; Company, L.L.C., Attention: Prospectus Department, 150 North Riverside Plaza, Chicago, Illinois 60606, by telephone at (800) 621-0687 or by email at prospectus@williamblair.com; or by accessing the SEC’s website at www.sec.gov.</w:t>
      </w:r>
    </w:p>
    <w:p>
      <w:pPr>
        <w:spacing w:after="0" w:line="1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This press release shall not constitute an offer to sell or the solicitation of an offer to buy, nor shall there be any sale of these securities in any state or jurisdiction in which such offer, solicitation, or sale would be unlawful prior to registration or qualification under the securities laws of any such state or jurisdiction.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Flywire</w:t>
      </w:r>
    </w:p>
    <w:p>
      <w:pPr>
        <w:spacing w:after="0" w:line="121"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Flywire is a global payments enablement and software company. Flywire combines its proprietary global payments network, next-gen payments platform and vertical-specific software to deliver the most important and complex payments for its clients and their customers.</w:t>
      </w:r>
    </w:p>
    <w:p>
      <w:pPr>
        <w:sectPr>
          <w:pgSz w:w="11900" w:h="16838" w:orient="portrait"/>
          <w:cols w:equalWidth="0" w:num="1">
            <w:col w:w="11020"/>
          </w:cols>
          <w:pgMar w:left="440" w:top="121" w:right="439" w:bottom="1440" w:gutter="0" w:footer="0" w:header="0"/>
        </w:sectPr>
      </w:pPr>
    </w:p>
    <w:bookmarkStart w:id="48" w:name="page49"/>
    <w:bookmarkEnd w:id="48"/>
    <w:p>
      <w:pPr>
        <w:jc w:val="both"/>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Flywire leverages its vertical-specific software and payments technology to deeply embed within the existing A/R workflows for its clients across the education, healthcare and travel vertical markets, as well as in key B2B industries. Flywire also integrates with leading ERP systems, so organizations can optimize the payment experience for their customers while eliminating operational challenges.</w:t>
      </w:r>
    </w:p>
    <w:p>
      <w:pPr>
        <w:spacing w:after="0" w:line="16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Flywire supports more than 3,500 clients with diverse payment methods in more than 140 currencies across 240 countries and territories around the world. Flywire is headquartered in Boston, MA, USA with additional offices around the globe.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Except for historical information, certain statements in this press release, including statements regarding the closing of the follow-on offering are “forward-looking statements” within the meaning of the Private Securities Litigation Reform Act of 1995, and are subject to risks, uncertainties and assumptions about Flywire and its business, including, without limitation, risks and uncertainties related to satisfaction of the closing conditions related to the follow-on offering. Such forward-looking statements involve substantial risks and uncertainties that relate to future events and the actual results could differ significantly from those expressed or implied by the forward-looking statements. Any forward-looking statements are based on Flywire’s current expectations, estimates and assumptions regarding future events and are applicable only as of the dates of such</w:t>
      </w:r>
    </w:p>
    <w:p>
      <w:pPr>
        <w:spacing w:after="0" w:line="4"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statements. Flywire makes no commitment to revise or update any forward-looking statements in order to reflect events or circumstances that may change, except as required by law. For a further description of the risks and uncertainties that could cause actual results to differ from those expressed in these forward-looking statements, as well as risks relating to Flywire’s business in general, please refer to the “Risk Factors” section</w:t>
      </w:r>
    </w:p>
    <w:p>
      <w:pPr>
        <w:ind w:right="180"/>
        <w:spacing w:after="0" w:line="255" w:lineRule="auto"/>
        <w:rPr>
          <w:sz w:val="20"/>
          <w:szCs w:val="20"/>
          <w:color w:val="auto"/>
        </w:rPr>
      </w:pPr>
      <w:r>
        <w:rPr>
          <w:rFonts w:ascii="Arial" w:cs="Arial" w:eastAsia="Arial" w:hAnsi="Arial"/>
          <w:sz w:val="18"/>
          <w:szCs w:val="18"/>
          <w:color w:val="auto"/>
        </w:rPr>
        <w:t>in Flywire’s automatically effective shelf registration statement on Form S-3 filed with the SEC on August 9, 2023, including the documents incorporated by reference therein, including its Annual Report on Form 10-K filed with the SEC on March 10, 2023 and its Quarterly Report on Form 10-Q filed with the SEC on August 8, 2023.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r>
        <w:rPr>
          <w:rFonts w:ascii="Arial" w:cs="Arial" w:eastAsia="Arial" w:hAnsi="Arial"/>
          <w:sz w:val="18"/>
          <w:szCs w:val="18"/>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Akil Hollis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ir@Flywire.com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r>
        <w:rPr>
          <w:rFonts w:ascii="Arial" w:cs="Arial" w:eastAsia="Arial" w:hAnsi="Arial"/>
          <w:sz w:val="18"/>
          <w:szCs w:val="18"/>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Sarah King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Sarah.King@Flywire.com</w:t>
      </w:r>
    </w:p>
    <w:sectPr>
      <w:pgSz w:w="11900" w:h="16838" w:orient="portrait"/>
      <w:cols w:equalWidth="0" w:num="1">
        <w:col w:w="10960"/>
      </w:cols>
      <w:pgMar w:left="440" w:top="49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1)"/>
      <w:numFmt w:val="lowerLetter"/>
      <w:start w:val="1"/>
    </w:lvl>
  </w:abstractNum>
  <w:abstractNum w:abstractNumId="2">
    <w:nsid w:val="189A769B"/>
    <w:multiLevelType w:val="hybridMultilevel"/>
    <w:lvl w:ilvl="0">
      <w:lvlJc w:val="left"/>
      <w:lvlText w:val="(%1)"/>
      <w:numFmt w:val="lowerLetter"/>
      <w:start w:val="2"/>
    </w:lvl>
  </w:abstractNum>
  <w:abstractNum w:abstractNumId="3">
    <w:nsid w:val="54E49EB4"/>
    <w:multiLevelType w:val="hybridMultilevel"/>
    <w:lvl w:ilvl="0">
      <w:lvlJc w:val="left"/>
      <w:lvlText w:val="(%1)"/>
      <w:numFmt w:val="lowerLetter"/>
      <w:start w:val="4"/>
    </w:lvl>
  </w:abstractNum>
  <w:abstractNum w:abstractNumId="4">
    <w:nsid w:val="71F32454"/>
    <w:multiLevelType w:val="hybridMultilevel"/>
    <w:lvl w:ilvl="0">
      <w:lvlJc w:val="left"/>
      <w:lvlText w:val="(%1)"/>
      <w:numFmt w:val="lowerLetter"/>
      <w:start w:val="7"/>
    </w:lvl>
  </w:abstractNum>
  <w:abstractNum w:abstractNumId="5">
    <w:nsid w:val="2CA88611"/>
    <w:multiLevelType w:val="hybridMultilevel"/>
    <w:lvl w:ilvl="0">
      <w:lvlJc w:val="left"/>
      <w:lvlText w:val="(%1)"/>
      <w:numFmt w:val="lowerLetter"/>
      <w:start w:val="9"/>
    </w:lvl>
  </w:abstractNum>
  <w:abstractNum w:abstractNumId="6">
    <w:nsid w:val="836C40E"/>
    <w:multiLevelType w:val="hybridMultilevel"/>
    <w:lvl w:ilvl="0">
      <w:lvlJc w:val="left"/>
      <w:lvlText w:val="(%1)"/>
      <w:numFmt w:val="lowerLetter"/>
      <w:start w:val="13"/>
    </w:lvl>
  </w:abstractNum>
  <w:abstractNum w:abstractNumId="7">
    <w:nsid w:val="2901D82"/>
    <w:multiLevelType w:val="hybridMultilevel"/>
    <w:lvl w:ilvl="0">
      <w:lvlJc w:val="left"/>
      <w:lvlText w:val="(%1)"/>
      <w:numFmt w:val="lowerLetter"/>
      <w:start w:val="18"/>
    </w:lvl>
  </w:abstractNum>
  <w:abstractNum w:abstractNumId="8">
    <w:nsid w:val="3A95F874"/>
    <w:multiLevelType w:val="hybridMultilevel"/>
    <w:lvl w:ilvl="0">
      <w:lvlJc w:val="left"/>
      <w:lvlText w:val="%1"/>
      <w:numFmt w:val="lowerLetter"/>
      <w:start w:val="1"/>
    </w:lvl>
    <w:lvl w:ilvl="1">
      <w:lvlJc w:val="left"/>
      <w:lvlText w:val="(%2)"/>
      <w:numFmt w:val="lowerLetter"/>
      <w:start w:val="23"/>
    </w:lvl>
  </w:abstractNum>
  <w:abstractNum w:abstractNumId="9">
    <w:nsid w:val="8138641"/>
    <w:multiLevelType w:val="hybridMultilevel"/>
    <w:lvl w:ilvl="0">
      <w:lvlJc w:val="left"/>
      <w:lvlText w:val="(%1)"/>
      <w:numFmt w:val="lowerLetter"/>
      <w:start w:val="35"/>
    </w:lvl>
    <w:lvl w:ilvl="1">
      <w:lvlJc w:val="left"/>
      <w:lvlText w:val="(%2)"/>
      <w:numFmt w:val="lowerLetter"/>
      <w:start w:val="24"/>
    </w:lvl>
  </w:abstractNum>
  <w:abstractNum w:abstractNumId="10">
    <w:nsid w:val="1E7FF521"/>
    <w:multiLevelType w:val="hybridMultilevel"/>
    <w:lvl w:ilvl="0">
      <w:lvlJc w:val="left"/>
      <w:lvlText w:val="(%1)"/>
      <w:numFmt w:val="lowerRoman"/>
      <w:start w:val="7"/>
    </w:lvl>
    <w:lvl w:ilvl="1">
      <w:lvlJc w:val="left"/>
      <w:lvlText w:val="(%2)"/>
      <w:numFmt w:val="lowerLetter"/>
      <w:start w:val="25"/>
    </w:lvl>
  </w:abstractNum>
  <w:abstractNum w:abstractNumId="11">
    <w:nsid w:val="7C3DBD3D"/>
    <w:multiLevelType w:val="hybridMultilevel"/>
    <w:lvl w:ilvl="0">
      <w:lvlJc w:val="left"/>
      <w:lvlText w:val="(%1)"/>
      <w:numFmt w:val="lowerLetter"/>
      <w:start w:val="27"/>
    </w:lvl>
  </w:abstractNum>
  <w:abstractNum w:abstractNumId="12">
    <w:nsid w:val="737B8DDC"/>
    <w:multiLevelType w:val="hybridMultilevel"/>
    <w:lvl w:ilvl="0">
      <w:lvlJc w:val="left"/>
      <w:lvlText w:val="(%1)"/>
      <w:numFmt w:val="lowerLetter"/>
      <w:start w:val="28"/>
    </w:lvl>
  </w:abstractNum>
  <w:abstractNum w:abstractNumId="13">
    <w:nsid w:val="6CEAF087"/>
    <w:multiLevelType w:val="hybridMultilevel"/>
    <w:lvl w:ilvl="0">
      <w:lvlJc w:val="left"/>
      <w:lvlText w:val="(%1)"/>
      <w:numFmt w:val="lowerLetter"/>
      <w:start w:val="31"/>
    </w:lvl>
  </w:abstractNum>
  <w:abstractNum w:abstractNumId="14">
    <w:nsid w:val="22221A70"/>
    <w:multiLevelType w:val="hybridMultilevel"/>
    <w:lvl w:ilvl="0">
      <w:lvlJc w:val="left"/>
      <w:lvlText w:val="(%1)"/>
      <w:numFmt w:val="lowerLetter"/>
      <w:start w:val="36"/>
    </w:lvl>
  </w:abstractNum>
  <w:abstractNum w:abstractNumId="15">
    <w:nsid w:val="4516DDE9"/>
    <w:multiLevelType w:val="hybridMultilevel"/>
    <w:lvl w:ilvl="0">
      <w:lvlJc w:val="left"/>
      <w:lvlText w:val="(%1)"/>
      <w:numFmt w:val="lowerLetter"/>
      <w:start w:val="41"/>
    </w:lvl>
  </w:abstractNum>
  <w:abstractNum w:abstractNumId="16">
    <w:nsid w:val="3006C83E"/>
    <w:multiLevelType w:val="hybridMultilevel"/>
    <w:lvl w:ilvl="0">
      <w:lvlJc w:val="left"/>
      <w:lvlText w:val="%1."/>
      <w:numFmt w:val="decimal"/>
      <w:start w:val="2"/>
    </w:lvl>
  </w:abstractNum>
  <w:abstractNum w:abstractNumId="17">
    <w:nsid w:val="614FD4A1"/>
    <w:multiLevelType w:val="hybridMultilevel"/>
    <w:lvl w:ilvl="0">
      <w:lvlJc w:val="left"/>
      <w:lvlText w:val="%1."/>
      <w:numFmt w:val="decimal"/>
      <w:start w:val="3"/>
    </w:lvl>
  </w:abstractNum>
  <w:abstractNum w:abstractNumId="18">
    <w:nsid w:val="419AC241"/>
    <w:multiLevelType w:val="hybridMultilevel"/>
    <w:lvl w:ilvl="0">
      <w:lvlJc w:val="left"/>
      <w:lvlText w:val="(%1)"/>
      <w:numFmt w:val="lowerLetter"/>
      <w:start w:val="2"/>
    </w:lvl>
  </w:abstractNum>
  <w:abstractNum w:abstractNumId="19">
    <w:nsid w:val="5577F8E1"/>
    <w:multiLevelType w:val="hybridMultilevel"/>
    <w:lvl w:ilvl="0">
      <w:lvlJc w:val="left"/>
      <w:lvlText w:val="(%1)"/>
      <w:numFmt w:val="lowerLetter"/>
      <w:start w:val="1"/>
    </w:lvl>
  </w:abstractNum>
  <w:abstractNum w:abstractNumId="20">
    <w:nsid w:val="440BADFC"/>
    <w:multiLevelType w:val="hybridMultilevel"/>
    <w:lvl w:ilvl="0">
      <w:lvlJc w:val="left"/>
      <w:lvlText w:val="(%1)"/>
      <w:numFmt w:val="lowerLetter"/>
      <w:start w:val="2"/>
    </w:lvl>
  </w:abstractNum>
  <w:abstractNum w:abstractNumId="21">
    <w:nsid w:val="5072367"/>
    <w:multiLevelType w:val="hybridMultilevel"/>
    <w:lvl w:ilvl="0">
      <w:lvlJc w:val="left"/>
      <w:lvlText w:val="(%1)"/>
      <w:numFmt w:val="lowerLetter"/>
      <w:start w:val="6"/>
    </w:lvl>
  </w:abstractNum>
  <w:abstractNum w:abstractNumId="22">
    <w:nsid w:val="3804823E"/>
    <w:multiLevelType w:val="hybridMultilevel"/>
    <w:lvl w:ilvl="0">
      <w:lvlJc w:val="left"/>
      <w:lvlText w:val="%1"/>
      <w:numFmt w:val="lowerLetter"/>
      <w:start w:val="1"/>
    </w:lvl>
    <w:lvl w:ilvl="1">
      <w:lvlJc w:val="left"/>
      <w:lvlText w:val="(%2)"/>
      <w:numFmt w:val="lowerLetter"/>
      <w:start w:val="7"/>
    </w:lvl>
  </w:abstractNum>
  <w:abstractNum w:abstractNumId="23">
    <w:nsid w:val="77465F01"/>
    <w:multiLevelType w:val="hybridMultilevel"/>
    <w:lvl w:ilvl="0">
      <w:lvlJc w:val="left"/>
      <w:lvlText w:val="(%1)"/>
      <w:numFmt w:val="lowerLetter"/>
      <w:start w:val="35"/>
    </w:lvl>
    <w:lvl w:ilvl="1">
      <w:lvlJc w:val="left"/>
      <w:lvlText w:val="(%2)"/>
      <w:numFmt w:val="lowerLetter"/>
      <w:start w:val="10"/>
    </w:lvl>
  </w:abstractNum>
  <w:abstractNum w:abstractNumId="24">
    <w:nsid w:val="7724C67E"/>
    <w:multiLevelType w:val="hybridMultilevel"/>
    <w:lvl w:ilvl="0">
      <w:lvlJc w:val="left"/>
      <w:lvlText w:val="%1."/>
      <w:numFmt w:val="decimal"/>
      <w:start w:val="6"/>
    </w:lvl>
  </w:abstractNum>
  <w:abstractNum w:abstractNumId="25">
    <w:nsid w:val="5C482A97"/>
    <w:multiLevelType w:val="hybridMultilevel"/>
    <w:lvl w:ilvl="0">
      <w:lvlJc w:val="left"/>
      <w:lvlText w:val="(%1)"/>
      <w:numFmt w:val="lowerLetter"/>
      <w:start w:val="2"/>
    </w:lvl>
  </w:abstractNum>
  <w:abstractNum w:abstractNumId="26">
    <w:nsid w:val="2463B9EA"/>
    <w:multiLevelType w:val="hybridMultilevel"/>
    <w:lvl w:ilvl="0">
      <w:lvlJc w:val="left"/>
      <w:lvlText w:val="(%1)"/>
      <w:numFmt w:val="lowerLetter"/>
      <w:start w:val="5"/>
    </w:lvl>
  </w:abstractNum>
  <w:abstractNum w:abstractNumId="27">
    <w:nsid w:val="5E884ADC"/>
    <w:multiLevelType w:val="hybridMultilevel"/>
    <w:lvl w:ilvl="0">
      <w:lvlJc w:val="left"/>
      <w:lvlText w:val="%1."/>
      <w:numFmt w:val="decimal"/>
      <w:start w:val="7"/>
    </w:lvl>
  </w:abstractNum>
  <w:abstractNum w:abstractNumId="28">
    <w:nsid w:val="51EAD36B"/>
    <w:multiLevelType w:val="hybridMultilevel"/>
    <w:lvl w:ilvl="0">
      <w:lvlJc w:val="left"/>
      <w:lvlText w:val="(%1)"/>
      <w:numFmt w:val="lowerLetter"/>
      <w:start w:val="1"/>
    </w:lvl>
  </w:abstractNum>
  <w:abstractNum w:abstractNumId="29">
    <w:nsid w:val="2D517796"/>
    <w:multiLevelType w:val="hybridMultilevel"/>
    <w:lvl w:ilvl="0">
      <w:lvlJc w:val="left"/>
      <w:lvlText w:val="(%1)"/>
      <w:numFmt w:val="lowerLetter"/>
      <w:start w:val="2"/>
    </w:lvl>
  </w:abstractNum>
  <w:abstractNum w:abstractNumId="30">
    <w:nsid w:val="580BD78F"/>
    <w:multiLevelType w:val="hybridMultilevel"/>
    <w:lvl w:ilvl="0">
      <w:lvlJc w:val="left"/>
      <w:lvlText w:val="(%1)"/>
      <w:numFmt w:val="lowerLetter"/>
      <w:start w:val="6"/>
    </w:lvl>
  </w:abstractNum>
  <w:abstractNum w:abstractNumId="31">
    <w:nsid w:val="153EA438"/>
    <w:multiLevelType w:val="hybridMultilevel"/>
    <w:lvl w:ilvl="0">
      <w:lvlJc w:val="left"/>
      <w:lvlText w:val="%1."/>
      <w:numFmt w:val="decimal"/>
      <w:start w:val="9"/>
    </w:lvl>
  </w:abstractNum>
  <w:abstractNum w:abstractNumId="32">
    <w:nsid w:val="3855585C"/>
    <w:multiLevelType w:val="hybridMultilevel"/>
    <w:lvl w:ilvl="0">
      <w:lvlJc w:val="left"/>
      <w:lvlText w:val="(%1)"/>
      <w:numFmt w:val="lowerLetter"/>
      <w:start w:val="2"/>
    </w:lvl>
  </w:abstractNum>
  <w:abstractNum w:abstractNumId="33">
    <w:nsid w:val="70A64E2A"/>
    <w:multiLevelType w:val="hybridMultilevel"/>
    <w:lvl w:ilvl="0">
      <w:lvlJc w:val="left"/>
      <w:lvlText w:val="%1"/>
      <w:numFmt w:val="lowerLetter"/>
      <w:start w:val="1"/>
    </w:lvl>
    <w:lvl w:ilvl="1">
      <w:lvlJc w:val="left"/>
      <w:lvlText w:val="(%2)"/>
      <w:numFmt w:val="lowerLetter"/>
      <w:start w:val="4"/>
    </w:lvl>
  </w:abstractNum>
  <w:abstractNum w:abstractNumId="34">
    <w:nsid w:val="6A2342EC"/>
    <w:multiLevelType w:val="hybridMultilevel"/>
    <w:lvl w:ilvl="0">
      <w:lvlJc w:val="left"/>
      <w:lvlText w:val="(%1)"/>
      <w:numFmt w:val="lowerLetter"/>
      <w:start w:val="1"/>
    </w:lvl>
    <w:lvl w:ilvl="1">
      <w:lvlJc w:val="left"/>
      <w:lvlText w:val="%2"/>
      <w:numFmt w:val="lowerLetter"/>
      <w:start w:val="1"/>
    </w:lvl>
  </w:abstractNum>
  <w:abstractNum w:abstractNumId="35">
    <w:nsid w:val="2A487CB0"/>
    <w:multiLevelType w:val="hybridMultilevel"/>
    <w:lvl w:ilvl="0">
      <w:lvlJc w:val="left"/>
      <w:lvlText w:val="(%1)"/>
      <w:numFmt w:val="lowerLetter"/>
      <w:start w:val="5"/>
    </w:lvl>
  </w:abstractNum>
  <w:abstractNum w:abstractNumId="36">
    <w:nsid w:val="1D4ED43B"/>
    <w:multiLevelType w:val="hybridMultilevel"/>
    <w:lvl w:ilvl="0">
      <w:lvlJc w:val="left"/>
      <w:lvlText w:val="%1."/>
      <w:numFmt w:val="decimal"/>
      <w:start w:val="10"/>
    </w:lvl>
  </w:abstractNum>
  <w:abstractNum w:abstractNumId="37">
    <w:nsid w:val="725A06FB"/>
    <w:multiLevelType w:val="hybridMultilevel"/>
    <w:lvl w:ilvl="0">
      <w:lvlJc w:val="left"/>
      <w:lvlText w:val="%1"/>
      <w:numFmt w:val="lowerLetter"/>
      <w:start w:val="1"/>
    </w:lvl>
    <w:lvl w:ilvl="1">
      <w:lvlJc w:val="left"/>
      <w:lvlText w:val="(%2)"/>
      <w:numFmt w:val="lowerLetter"/>
      <w:start w:val="2"/>
    </w:lvl>
  </w:abstractNum>
  <w:abstractNum w:abstractNumId="38">
    <w:nsid w:val="2CD89A32"/>
    <w:multiLevelType w:val="hybridMultilevel"/>
    <w:lvl w:ilvl="0">
      <w:lvlJc w:val="left"/>
      <w:lvlText w:val="(%1)"/>
      <w:numFmt w:val="lowerLetter"/>
      <w:start w:val="2"/>
    </w:lvl>
    <w:lvl w:ilvl="1">
      <w:lvlJc w:val="left"/>
      <w:lvlText w:val="%2"/>
      <w:numFmt w:val="lowerLetter"/>
      <w:start w:val="1"/>
    </w:lvl>
  </w:abstractNum>
  <w:abstractNum w:abstractNumId="39">
    <w:nsid w:val="57E4CCAF"/>
    <w:multiLevelType w:val="hybridMultilevel"/>
    <w:lvl w:ilvl="0">
      <w:lvlJc w:val="left"/>
      <w:lvlText w:val="%1."/>
      <w:numFmt w:val="decimal"/>
      <w:start w:val="11"/>
    </w:lvl>
  </w:abstractNum>
  <w:abstractNum w:abstractNumId="40">
    <w:nsid w:val="7A6D8D3C"/>
    <w:multiLevelType w:val="hybridMultilevel"/>
    <w:lvl w:ilvl="0">
      <w:lvlJc w:val="left"/>
      <w:lvlText w:val="%1."/>
      <w:numFmt w:val="decimal"/>
      <w:start w:val="13"/>
    </w:lvl>
  </w:abstractNum>
  <w:abstractNum w:abstractNumId="41">
    <w:nsid w:val="4B588F54"/>
    <w:multiLevelType w:val="hybridMultilevel"/>
    <w:lvl w:ilvl="0">
      <w:lvlJc w:val="left"/>
      <w:lvlText w:val="%1."/>
      <w:numFmt w:val="decimal"/>
      <w:start w:val="14"/>
    </w:lvl>
  </w:abstractNum>
  <w:abstractNum w:abstractNumId="42">
    <w:nsid w:val="542289EC"/>
    <w:multiLevelType w:val="hybridMultilevel"/>
    <w:lvl w:ilvl="0">
      <w:lvlJc w:val="left"/>
      <w:lvlText w:val="%1."/>
      <w:numFmt w:val="decimal"/>
      <w:start w:val="17"/>
    </w:lvl>
  </w:abstractNum>
  <w:abstractNum w:abstractNumId="43">
    <w:nsid w:val="6DE91B18"/>
    <w:multiLevelType w:val="hybridMultilevel"/>
    <w:lvl w:ilvl="0">
      <w:lvlJc w:val="left"/>
      <w:lvlText w:val="(%1)"/>
      <w:numFmt w:val="lowerLetter"/>
      <w:start w:val="1"/>
    </w:lvl>
  </w:abstractNum>
  <w:abstractNum w:abstractNumId="44">
    <w:nsid w:val="38437FDB"/>
    <w:multiLevelType w:val="hybridMultilevel"/>
    <w:lvl w:ilvl="0">
      <w:lvlJc w:val="left"/>
      <w:lvlText w:val="(%1)"/>
      <w:numFmt w:val="lowerRoman"/>
      <w:start w:val="1"/>
    </w:lvl>
  </w:abstractNum>
  <w:abstractNum w:abstractNumId="45">
    <w:nsid w:val="7644A45C"/>
    <w:multiLevelType w:val="hybridMultilevel"/>
    <w:lvl w:ilvl="0">
      <w:lvlJc w:val="left"/>
      <w:lvlText w:val="(%1)"/>
      <w:numFmt w:val="lowerLetter"/>
      <w:start w:val="1"/>
    </w:lvl>
  </w:abstractNum>
  <w:abstractNum w:abstractNumId="46">
    <w:nsid w:val="32FFF902"/>
    <w:multiLevelType w:val="hybridMultilevel"/>
    <w:lvl w:ilvl="0">
      <w:lvlJc w:val="left"/>
      <w:lvlText w:val="(%1)"/>
      <w:numFmt w:val="lowerRoman"/>
      <w:start w:val="1"/>
    </w:lvl>
  </w:abstractNum>
  <w:abstractNum w:abstractNumId="47">
    <w:nsid w:val="684A481A"/>
    <w:multiLevelType w:val="hybridMultilevel"/>
    <w:lvl w:ilvl="0">
      <w:lvlJc w:val="left"/>
      <w:lvlText w:val="(%1)"/>
      <w:numFmt w:val="lowerRoman"/>
      <w:start w:val="6"/>
    </w:lvl>
  </w:abstractNum>
  <w:abstractNum w:abstractNumId="48">
    <w:nsid w:val="579478FE"/>
    <w:multiLevelType w:val="hybridMultilevel"/>
    <w:lvl w:ilvl="0">
      <w:lvlJc w:val="left"/>
      <w:lvlText w:val="(%1)"/>
      <w:numFmt w:val="lowerRoman"/>
      <w:start w:val="9"/>
    </w:lvl>
  </w:abstractNum>
  <w:abstractNum w:abstractNumId="49">
    <w:nsid w:val="749ABB4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2023-08-11T05:15:47Z</dcterms:created>
  <dcterms:modified xsi:type="dcterms:W3CDTF">2023-08-11T05:15:47Z</dcterms:modified>
</cp:coreProperties>
</file>