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53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365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Finkelstein Alex</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06/04/2023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2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06/04/2023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2"/>
              </w:rPr>
              <w:t>5,587</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180" w:type="dxa"/>
            <w:vAlign w:val="bottom"/>
            <w:tcBorders>
              <w:bottom w:val="single" w:sz="8" w:color="2C2C2C"/>
            </w:tcBorders>
            <w:gridSpan w:val="2"/>
          </w:tcPr>
          <w:p>
            <w:pPr>
              <w:jc w:val="right"/>
              <w:ind w:right="279"/>
              <w:spacing w:after="0"/>
              <w:rPr>
                <w:sz w:val="20"/>
                <w:szCs w:val="20"/>
                <w:color w:val="auto"/>
              </w:rPr>
            </w:pPr>
            <w:r>
              <w:rPr>
                <w:rFonts w:ascii="Arial" w:cs="Arial" w:eastAsia="Arial" w:hAnsi="Arial"/>
                <w:sz w:val="18"/>
                <w:szCs w:val="18"/>
                <w:color w:val="0000FF"/>
              </w:rPr>
              <w:t>231,817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27,309</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80" w:type="dxa"/>
            <w:vAlign w:val="bottom"/>
            <w:gridSpan w:val="9"/>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restricted stock unit award that vests on the earlier of (a) June 4, 2024,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ind w:left="40" w:right="180" w:firstLine="9"/>
        <w:spacing w:after="0" w:line="269"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Spark Capital Partners, LLC ("SCP"). The Reporting Person is a managing member of SCP and may be deemed to share investment, voting and dispositive power over these shares. The Reporting Person disclaims beneficial ownership of these shares and this report shall not be deemed an admission that he is the beneficial owner of such securities for purposes of Section</w:t>
      </w:r>
    </w:p>
    <w:p>
      <w:pPr>
        <w:ind w:left="220" w:hanging="17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or for any other purpose, except to the extent of his pecuniary interest therein, if any.</w:t>
      </w:r>
    </w:p>
    <w:p>
      <w:pPr>
        <w:spacing w:after="0" w:line="36"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0"/>
              </w:rPr>
              <w:t>/s/ Alex Finkelstein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2023-06-06T15:35:21Z</dcterms:created>
  <dcterms:modified xsi:type="dcterms:W3CDTF">2023-06-06T15:35:21Z</dcterms:modified>
</cp:coreProperties>
</file>