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Hao Yvonne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FLYWIRE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141 TREMONT STREET, SUITE 10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02111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Flywire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FLYW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09/23/2021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Voting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09/23/2021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7,301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7,301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award ("RSU") that vests in three equal annual installments on each anniversary of the date of grant, subject to the Reporting Person's continuous service as a member of the Issuer's board of directors through such date. In addition, the RSU will accelerate and fully vest upon a change in control, or the Reporting Person's earlier death or disability.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/s/Yvonne Hao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09/27/2021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68656" TargetMode="External"/><Relationship Id="rId4" Type="http://schemas.openxmlformats.org/officeDocument/2006/relationships/hyperlink" Target="http://www.sec.gov/cgi-bin/browse-edgar?action=getcompany&amp;CIK=000158056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581</Words>
  <CharactersWithSpaces>3662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