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flyw-20260804.htm"/>
      <w:bookmarkStart w:id="1" w:name="ksflyw20260804"/>
      <w:bookmarkEnd w:id="0"/>
      <w:bookmarkEnd w:id="1"/>
      <w:r>
        <w:rPr/>
        <w:t> </w:t>
      </w:r>
    </w:p>
    <w:p>
      <w:pPr>
        <w:pStyle w:val="TextBody"/>
        <w:bidi w:val="0"/>
        <w:jc w:val="left"/>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40" w:after="283"/>
        <w:jc w:val="center"/>
        <w:rPr>
          <w:rFonts w:ascii="Times New Roman" w:hAnsi="Times New Roman"/>
          <w:sz w:val="20"/>
        </w:rPr>
      </w:pPr>
      <w:r>
        <w:rPr>
          <w:rFonts w:ascii="Arial" w:hAnsi="Arial"/>
          <w:b/>
          <w:color w:val="000000"/>
          <w:sz w:val="34"/>
        </w:rPr>
        <w:t>FORM 8-K</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w:t>
      </w:r>
    </w:p>
    <w:p>
      <w:pPr>
        <w:pStyle w:val="TextBody"/>
        <w:bidi w:val="0"/>
        <w:jc w:val="center"/>
        <w:rPr>
          <w:rFonts w:ascii="Times New Roman" w:hAnsi="Times New Roman"/>
          <w:b/>
          <w:color w:val="000000"/>
          <w:sz w:val="24"/>
        </w:rPr>
      </w:pPr>
      <w:r>
        <w:rPr>
          <w:rFonts w:ascii="Times New Roman" w:hAnsi="Times New Roman"/>
          <w:b/>
          <w:color w:val="000000"/>
          <w:sz w:val="24"/>
        </w:rPr>
        <w:t>of the Securities Exchange Act of 1934</w:t>
      </w:r>
    </w:p>
    <w:p>
      <w:pPr>
        <w:pStyle w:val="TextBody"/>
        <w:bidi w:val="0"/>
        <w:spacing w:before="160" w:after="283"/>
        <w:jc w:val="center"/>
        <w:rPr>
          <w:rFonts w:ascii="Times New Roman" w:hAnsi="Times New Roman"/>
          <w:b/>
          <w:color w:val="000000"/>
          <w:sz w:val="24"/>
        </w:rPr>
      </w:pPr>
      <w:r>
        <w:rPr>
          <w:rFonts w:ascii="Times New Roman" w:hAnsi="Times New Roman"/>
          <w:b/>
          <w:color w:val="000000"/>
          <w:sz w:val="24"/>
        </w:rPr>
        <w:t>Date of Report (Date of earliest event reported): August 4, 2026</w:t>
      </w:r>
    </w:p>
    <w:p>
      <w:pPr>
        <w:pStyle w:val="TextBody"/>
        <w:bidi w:val="0"/>
        <w:spacing w:before="40" w:after="283"/>
        <w:jc w:val="center"/>
        <w:rPr>
          <w:rFonts w:ascii="Times New Roman" w:hAnsi="Times New Roman"/>
          <w:sz w:val="20"/>
        </w:rPr>
      </w:pPr>
      <w:r>
        <w:rPr>
          <w:rFonts w:ascii="Arial" w:hAnsi="Arial"/>
          <w:b/>
          <w:color w:val="000000"/>
          <w:sz w:val="46"/>
        </w:rPr>
        <w:t>FLYWIRE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18"/>
        </w:rPr>
        <w:t>(Exact name of Registrant as specified in its charter)</w:t>
      </w:r>
      <w:r>
        <w:rPr>
          <w:rFonts w:ascii="Times New Roman" w:hAnsi="Times New Roman"/>
          <w:color w:val="000000"/>
          <w:sz w:val="20"/>
        </w:rPr>
        <w:t xml:space="preserve"> </w:t>
      </w:r>
    </w:p>
    <w:tbl>
      <w:tblPr>
        <w:tblW w:w="4593" w:type="dxa"/>
        <w:jc w:val="left"/>
        <w:tblInd w:w="0" w:type="dxa"/>
        <w:tblLayout w:type="fixed"/>
        <w:tblCellMar>
          <w:top w:w="28" w:type="dxa"/>
          <w:left w:w="28" w:type="dxa"/>
          <w:bottom w:w="28" w:type="dxa"/>
          <w:right w:w="28" w:type="dxa"/>
        </w:tblCellMar>
      </w:tblPr>
      <w:tblGrid>
        <w:gridCol w:w="2071"/>
        <w:gridCol w:w="1036"/>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001-40430</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27-0690799</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No.)</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141 Tremont St #10</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Boston, MA</w:t>
            </w:r>
            <w:r>
              <w:rPr>
                <w:rFonts w:ascii="Times New Roman" w:hAnsi="Times New Roman"/>
                <w:color w:val="000000"/>
                <w:sz w:val="20"/>
              </w:rPr>
              <w:t xml:space="preserve"> </w:t>
            </w:r>
            <w:r>
              <w:rPr>
                <w:rFonts w:ascii="Times New Roman" w:hAnsi="Times New Roman"/>
                <w:b/>
                <w:color w:val="000000"/>
                <w:sz w:val="20"/>
              </w:rPr>
              <w:t>02111</w:t>
            </w:r>
          </w:p>
        </w:tc>
      </w:tr>
      <w:tr>
        <w:trPr/>
        <w:tc>
          <w:tcPr>
            <w:tcW w:w="3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 and zip code)</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Registrant’s telephone number, including area code: (617) 329-4524</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28" w:type="dxa"/>
          <w:left w:w="28" w:type="dxa"/>
          <w:bottom w:w="28" w:type="dxa"/>
          <w:right w:w="28" w:type="dxa"/>
        </w:tblCellMar>
      </w:tblPr>
      <w:tblGrid>
        <w:gridCol w:w="331"/>
        <w:gridCol w:w="7411"/>
      </w:tblGrid>
      <w:tr>
        <w:trPr/>
        <w:tc>
          <w:tcPr>
            <w:tcW w:w="331" w:type="dxa"/>
            <w:tcBorders/>
            <w:vAlign w:val="center"/>
          </w:tcPr>
          <w:p>
            <w:pPr>
              <w:pStyle w:val="TableContents"/>
              <w:bidi w:val="0"/>
              <w:spacing w:before="0" w:after="283"/>
              <w:jc w:val="left"/>
              <w:rPr>
                <w:sz w:val="4"/>
                <w:szCs w:val="4"/>
              </w:rPr>
            </w:pPr>
            <w:r>
              <w:rPr>
                <w:sz w:val="4"/>
                <w:szCs w:val="4"/>
              </w:rPr>
            </w:r>
          </w:p>
        </w:tc>
        <w:tc>
          <w:tcPr>
            <w:tcW w:w="741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bl>
    <w:tbl>
      <w:tblPr>
        <w:tblW w:w="7772" w:type="dxa"/>
        <w:jc w:val="left"/>
        <w:tblInd w:w="0" w:type="dxa"/>
        <w:tblLayout w:type="fixed"/>
        <w:tblCellMar>
          <w:top w:w="28" w:type="dxa"/>
          <w:left w:w="28" w:type="dxa"/>
          <w:bottom w:w="28" w:type="dxa"/>
          <w:right w:w="28" w:type="dxa"/>
        </w:tblCellMar>
      </w:tblPr>
      <w:tblGrid>
        <w:gridCol w:w="331"/>
        <w:gridCol w:w="7441"/>
      </w:tblGrid>
      <w:tr>
        <w:trPr/>
        <w:tc>
          <w:tcPr>
            <w:tcW w:w="331"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bl>
    <w:tbl>
      <w:tblPr>
        <w:tblW w:w="9452" w:type="dxa"/>
        <w:jc w:val="left"/>
        <w:tblInd w:w="0" w:type="dxa"/>
        <w:tblLayout w:type="fixed"/>
        <w:tblCellMar>
          <w:top w:w="28" w:type="dxa"/>
          <w:left w:w="28" w:type="dxa"/>
          <w:bottom w:w="28" w:type="dxa"/>
          <w:right w:w="28" w:type="dxa"/>
        </w:tblCellMar>
      </w:tblPr>
      <w:tblGrid>
        <w:gridCol w:w="331"/>
        <w:gridCol w:w="9121"/>
      </w:tblGrid>
      <w:tr>
        <w:trPr/>
        <w:tc>
          <w:tcPr>
            <w:tcW w:w="331" w:type="dxa"/>
            <w:tcBorders/>
            <w:vAlign w:val="center"/>
          </w:tcPr>
          <w:p>
            <w:pPr>
              <w:pStyle w:val="TableContents"/>
              <w:bidi w:val="0"/>
              <w:spacing w:before="0" w:after="283"/>
              <w:jc w:val="left"/>
              <w:rPr>
                <w:sz w:val="4"/>
                <w:szCs w:val="4"/>
              </w:rPr>
            </w:pPr>
            <w:r>
              <w:rPr>
                <w:sz w:val="4"/>
                <w:szCs w:val="4"/>
              </w:rPr>
            </w:r>
          </w:p>
        </w:tc>
        <w:tc>
          <w:tcPr>
            <w:tcW w:w="912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7818" w:type="dxa"/>
        <w:jc w:val="left"/>
        <w:tblInd w:w="0" w:type="dxa"/>
        <w:tblLayout w:type="fixed"/>
        <w:tblCellMar>
          <w:top w:w="28" w:type="dxa"/>
          <w:left w:w="28" w:type="dxa"/>
          <w:bottom w:w="28" w:type="dxa"/>
          <w:right w:w="28" w:type="dxa"/>
        </w:tblCellMar>
      </w:tblPr>
      <w:tblGrid>
        <w:gridCol w:w="4321"/>
        <w:gridCol w:w="826"/>
        <w:gridCol w:w="2671"/>
      </w:tblGrid>
      <w:tr>
        <w:trPr/>
        <w:tc>
          <w:tcPr>
            <w:tcW w:w="43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432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 of each class</w:t>
            </w:r>
          </w:p>
        </w:tc>
        <w:tc>
          <w:tcPr>
            <w:tcW w:w="82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Trading</w:t>
              <w:br/>
              <w:t>Symbol(s)</w:t>
            </w:r>
          </w:p>
        </w:tc>
        <w:tc>
          <w:tcPr>
            <w:tcW w:w="2671" w:type="dxa"/>
            <w:tcBorders>
              <w:bottom w:val="single" w:sz="8"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Name of each exchange</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on which registered</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Voting Common Stock, $0.0001 par value per share</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FLYW</w:t>
            </w:r>
          </w:p>
        </w:tc>
        <w:tc>
          <w:tcPr>
            <w:tcW w:w="267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The Nasdaq Stock Market LLC</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tbl>
      <w:tblPr>
        <w:tblW w:w="5102" w:type="dxa"/>
        <w:jc w:val="left"/>
        <w:tblInd w:w="0" w:type="dxa"/>
        <w:tblLayout w:type="fixed"/>
        <w:tblCellMar>
          <w:top w:w="28" w:type="dxa"/>
          <w:left w:w="28" w:type="dxa"/>
          <w:bottom w:w="28" w:type="dxa"/>
          <w:right w:w="28" w:type="dxa"/>
        </w:tblCellMar>
      </w:tblPr>
      <w:tblGrid>
        <w:gridCol w:w="961"/>
        <w:gridCol w:w="4141"/>
      </w:tblGrid>
      <w:tr>
        <w:trPr/>
        <w:tc>
          <w:tcPr>
            <w:tcW w:w="96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Results of Operations and Financial Condition.</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4, 2026, Flywire Corporation (“Flywire” or the “Company”) issued a press release (the “Press Release”) and is holding a conference call regarding its preliminary and unaudited financial results for the quarter ended June 30, 2026. The Press Release is furnished as Exhibit 99.1 to this Current Report on Form 8-K and is incorporated by reference herein.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 Neutral Revenue Less Ancillary Services growth,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uncertainties associated with the timing and scope of future repurchases by FLYW of its common stock under its repurchase program, which may be discontinued, accelerated, suspended or delayed at any time due to various factors, including market conditions and the level of other investing activities and uses of cash; Flywire’s ability to enter new client verticals, including its relatively new hospitality sector; Flywire’s expectations regarding anticipated technology needs and developments and its ability to address those needs and developments with its solutions; Flywire’s ability to implement its technology and systems transformation program;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the ongoing hostilities in Ukraine and involving Israel, Hamas and Iran; Flywire’s ability to adapt to recommended or implemented U.S. policy changes, in particular those that impact higher education, the desire for foreign students to study in the U.S., immigration and visa policy, and changes to regulatory agencies and depth of enforcement of regulations; Flywire’s ability to adapt to changes in U.S. federal income or other tax laws or the interpretation of tax laws, including the Inflation Reduction Act of 2022 and The One Big Beautiful Bill Act of 2025;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2025 and Quarterly Report on Form 10-Q for the quarter ended March 31, 2026, which are on file with the Securities and Exchange Commission (SEC) and available on the SEC’s website at https://www.sec.gov/. Additional factors may be described in those sections of Flywire’s Quarterly Report on Form 10-Q for the quarter ended June 30, 2026, expected to be filed in the third quarter of 2026. The information conveyed on the conference call is provided only as of the date of the conference call, and Flywire undertakes no obligation to update any forward-looking statements presented during the conference call on account of new information, future events, or otherwise, except as required by law. </w:t>
      </w:r>
    </w:p>
    <w:p>
      <w:pPr>
        <w:pStyle w:val="HorizontalLine"/>
        <w:pBdr>
          <w:bottom w:val="double" w:sz="2" w:space="0" w:color="808080"/>
        </w:pBdr>
        <w:bidi w:val="0"/>
        <w:spacing w:before="0" w:after="283"/>
        <w:jc w:val="left"/>
        <w:rPr/>
      </w:pPr>
      <w:r>
        <w:rPr/>
      </w:r>
    </w:p>
    <w:tbl>
      <w:tblPr>
        <w:tblW w:w="3362" w:type="dxa"/>
        <w:jc w:val="left"/>
        <w:tblInd w:w="0" w:type="dxa"/>
        <w:tblLayout w:type="fixed"/>
        <w:tblCellMar>
          <w:top w:w="28" w:type="dxa"/>
          <w:left w:w="28" w:type="dxa"/>
          <w:bottom w:w="28" w:type="dxa"/>
          <w:right w:w="28" w:type="dxa"/>
        </w:tblCellMar>
      </w:tblPr>
      <w:tblGrid>
        <w:gridCol w:w="961"/>
        <w:gridCol w:w="2401"/>
      </w:tblGrid>
      <w:tr>
        <w:trPr/>
        <w:tc>
          <w:tcPr>
            <w:tcW w:w="96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7.01.</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Regulation FD Disclosure.</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4, 2026,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 </w:t>
      </w:r>
    </w:p>
    <w:tbl>
      <w:tblPr>
        <w:tblW w:w="4082" w:type="dxa"/>
        <w:jc w:val="left"/>
        <w:tblInd w:w="0" w:type="dxa"/>
        <w:tblLayout w:type="fixed"/>
        <w:tblCellMar>
          <w:top w:w="28" w:type="dxa"/>
          <w:left w:w="28" w:type="dxa"/>
          <w:bottom w:w="28" w:type="dxa"/>
          <w:right w:w="28" w:type="dxa"/>
        </w:tblCellMar>
      </w:tblPr>
      <w:tblGrid>
        <w:gridCol w:w="961"/>
        <w:gridCol w:w="3121"/>
      </w:tblGrid>
      <w:tr>
        <w:trPr/>
        <w:tc>
          <w:tcPr>
            <w:tcW w:w="96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1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Financial Statements and Exhibits.</w:t>
            </w:r>
            <w:r>
              <w:rPr>
                <w:rFonts w:ascii="Times New Roman" w:hAnsi="Times New Roman"/>
                <w:color w:val="000000"/>
                <w:sz w:val="20"/>
              </w:rPr>
              <w:t xml:space="preserve">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tbl>
      <w:tblPr>
        <w:tblW w:w="7393" w:type="dxa"/>
        <w:jc w:val="left"/>
        <w:tblInd w:w="0" w:type="dxa"/>
        <w:tblLayout w:type="fixed"/>
        <w:tblCellMar>
          <w:top w:w="28" w:type="dxa"/>
          <w:left w:w="28" w:type="dxa"/>
          <w:bottom w:w="28" w:type="dxa"/>
          <w:right w:w="28" w:type="dxa"/>
        </w:tblCellMar>
      </w:tblPr>
      <w:tblGrid>
        <w:gridCol w:w="646"/>
        <w:gridCol w:w="1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flyw-ex99_1.htm">
              <w:r>
                <w:rPr>
                  <w:rStyle w:val="InternetLink"/>
                  <w:rFonts w:ascii="Times New Roman" w:hAnsi="Times New Roman"/>
                  <w:color w:val="0000FF"/>
                  <w:sz w:val="20"/>
                  <w:u w:val="single"/>
                </w:rPr>
                <w:t>Flywire Corporation Press Release dated August 4, 2026.</w:t>
              </w:r>
            </w:hyperlink>
            <w:hyperlink w:anchor="flyw-ex99_1.htm">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flyw-ex99_2.htm">
              <w:r>
                <w:rPr>
                  <w:rStyle w:val="InternetLink"/>
                  <w:rFonts w:ascii="Times New Roman" w:hAnsi="Times New Roman"/>
                  <w:color w:val="0000FF"/>
                  <w:sz w:val="20"/>
                  <w:u w:val="single"/>
                </w:rPr>
                <w:t>Flywire Corporation Investor Presentation dated August 4, 2026.</w:t>
              </w:r>
            </w:hyperlink>
            <w:hyperlink w:anchor="flyw-ex99_2.htm">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2803" w:type="dxa"/>
        <w:jc w:val="left"/>
        <w:tblInd w:w="0" w:type="dxa"/>
        <w:tblLayout w:type="fixed"/>
        <w:tblCellMar>
          <w:top w:w="28" w:type="dxa"/>
          <w:left w:w="28" w:type="dxa"/>
          <w:bottom w:w="28" w:type="dxa"/>
          <w:right w:w="28" w:type="dxa"/>
        </w:tblCellMar>
      </w:tblPr>
      <w:tblGrid>
        <w:gridCol w:w="646"/>
        <w:gridCol w:w="1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FLYWIRE CORPORATION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Cosmin Pitigoi</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Cosmin Pitigoi</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August 4, 2026</w:t>
      </w:r>
    </w:p>
    <w:p>
      <w:pPr>
        <w:pStyle w:val="HorizontalLine"/>
        <w:pBdr>
          <w:bottom w:val="double" w:sz="2" w:space="0" w:color="808080"/>
        </w:pBdr>
        <w:bidi w:val="0"/>
        <w:spacing w:before="0" w:after="283"/>
        <w:jc w:val="left"/>
        <w:rPr/>
      </w:pPr>
      <w:r>
        <w:rPr/>
      </w:r>
    </w:p>
    <w:p>
      <w:pPr>
        <w:pStyle w:val="TextBody"/>
        <w:bidi w:val="0"/>
        <w:jc w:val="right"/>
        <w:rPr/>
      </w:pPr>
      <w:bookmarkStart w:id="2" w:name="flyw-ex99_1.htm"/>
      <w:bookmarkStart w:id="3" w:name="ksflywex99_1"/>
      <w:bookmarkEnd w:id="2"/>
      <w:bookmarkEnd w:id="3"/>
      <w:r>
        <w:rPr/>
        <w:t> </w:t>
      </w:r>
      <w:r>
        <w:br w:type="page"/>
      </w:r>
    </w:p>
    <w:p>
      <w:pPr>
        <w:pStyle w:val="TextBody"/>
        <w:bidi w:val="0"/>
        <w:jc w:val="right"/>
        <w:rPr>
          <w:rFonts w:ascii="Arial" w:hAnsi="Arial"/>
          <w:b/>
          <w:color w:val="000000"/>
          <w:sz w:val="24"/>
        </w:rPr>
      </w:pPr>
      <w:r>
        <w:rPr>
          <w:rFonts w:ascii="Arial" w:hAnsi="Arial"/>
          <w:b/>
          <w:color w:val="000000"/>
          <w:sz w:val="24"/>
        </w:rPr>
        <w:t>Exhibit 99.1</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4"/>
        </w:rPr>
        <w:t>Flywire Reports Second Quarter 2026 Financial Results</w:t>
      </w:r>
      <w:r>
        <w:rPr>
          <w:rFonts w:ascii="Times New Roman" w:hAnsi="Times New Roman"/>
          <w:color w:val="000000"/>
          <w:sz w:val="20"/>
        </w:rPr>
        <w:t xml:space="preserve"> </w:t>
      </w:r>
    </w:p>
    <w:p>
      <w:pPr>
        <w:pStyle w:val="TextBody"/>
        <w:bidi w:val="0"/>
        <w:jc w:val="center"/>
        <w:rPr>
          <w:rFonts w:ascii="Arial" w:hAnsi="Arial"/>
          <w:i/>
          <w:color w:val="000000"/>
          <w:sz w:val="24"/>
        </w:rPr>
      </w:pPr>
      <w:r>
        <w:rPr>
          <w:rFonts w:ascii="Arial" w:hAnsi="Arial"/>
          <w:i/>
          <w:color w:val="000000"/>
          <w:sz w:val="24"/>
        </w:rPr>
        <w:t>Second Quarter Revenue Increased 27.2% Year-over-Year</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Second Quarter Revenue Less Ancillary Services Increased 28.5% Year-over-Year</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Previous Fiscal Year 2026 FX-Neutral Revenue Less Ancillary Services growth guidance raised by 300 bps at midpoint, Adjusted EBITDA margin growth guidance raised by 25 bps at midpoint</w:t>
      </w:r>
    </w:p>
    <w:p>
      <w:pPr>
        <w:pStyle w:val="TextBody"/>
        <w:bidi w:val="0"/>
        <w:jc w:val="center"/>
        <w:rPr/>
      </w:pPr>
      <w:r>
        <w:rPr/>
        <w:t> </w:t>
      </w:r>
    </w:p>
    <w:p>
      <w:pPr>
        <w:pStyle w:val="TextBody"/>
        <w:bidi w:val="0"/>
        <w:spacing w:before="240" w:after="240"/>
        <w:jc w:val="left"/>
        <w:rPr/>
      </w:pPr>
      <w:r>
        <w:rPr/>
        <w:t> </w:t>
      </w:r>
    </w:p>
    <w:p>
      <w:pPr>
        <w:pStyle w:val="TextBody"/>
        <w:bidi w:val="0"/>
        <w:spacing w:before="0" w:after="240"/>
        <w:jc w:val="left"/>
        <w:rPr>
          <w:rFonts w:ascii="Times New Roman" w:hAnsi="Times New Roman"/>
          <w:sz w:val="20"/>
        </w:rPr>
      </w:pPr>
      <w:r>
        <w:rPr>
          <w:rFonts w:ascii="Arial" w:hAnsi="Arial"/>
          <w:b/>
          <w:color w:val="000000"/>
          <w:sz w:val="24"/>
        </w:rPr>
        <w:t>Boston, MA – August 4, 2026:</w:t>
      </w:r>
      <w:r>
        <w:rPr>
          <w:rFonts w:ascii="Times New Roman" w:hAnsi="Times New Roman"/>
          <w:sz w:val="20"/>
        </w:rPr>
        <w:t xml:space="preserve"> </w:t>
      </w:r>
      <w:r>
        <w:rPr>
          <w:rFonts w:ascii="Arial" w:hAnsi="Arial"/>
          <w:sz w:val="24"/>
        </w:rPr>
        <w:t>Flywire Corporation</w:t>
      </w:r>
      <w:r>
        <w:rPr>
          <w:rFonts w:ascii="Times New Roman" w:hAnsi="Times New Roman"/>
          <w:color w:val="000000"/>
          <w:sz w:val="20"/>
        </w:rPr>
        <w:t xml:space="preserve"> </w:t>
      </w:r>
      <w:r>
        <w:rPr>
          <w:rFonts w:ascii="Arial" w:hAnsi="Arial"/>
          <w:color w:val="000000"/>
          <w:sz w:val="24"/>
        </w:rPr>
        <w:t>(Nasdaq: FLYW) (“Flywire” or the “Company”), a global payments enablement and software company, today reported financial results for its second quarter ended June 30, 2026.</w:t>
      </w:r>
    </w:p>
    <w:p>
      <w:pPr>
        <w:pStyle w:val="TextBody"/>
        <w:bidi w:val="0"/>
        <w:spacing w:before="0" w:after="240"/>
        <w:jc w:val="left"/>
        <w:rPr/>
      </w:pPr>
      <w:r>
        <w:rPr>
          <w:color w:val="000000"/>
        </w:rPr>
        <w:t>“</w:t>
      </w:r>
      <w:r>
        <w:rPr>
          <w:rFonts w:ascii="Arial" w:hAnsi="Arial"/>
          <w:i/>
          <w:color w:val="000000"/>
          <w:sz w:val="24"/>
        </w:rPr>
        <w:t xml:space="preserve">Q2 was another strong quarter for Flywire, with results ahead of expectations and momentum building across all four verticals. We are signing larger accounts, expanding faster within existing ones, unifying our global platforms, and bringing agentic capabilities to market that will meaningfully improve the experience for our clients and their payers. The financial profile reflects it: revenue growth, expanding adjusted EBITDA margins, and growing free cash flow. The complexity we solve is our moat, and everything we are building today is a foundation for our path to $1 billion in revenue and 30% adjusted EBITDA margin," </w:t>
      </w:r>
      <w:r>
        <w:rPr>
          <w:rFonts w:ascii="Arial" w:hAnsi="Arial"/>
          <w:color w:val="000000"/>
          <w:sz w:val="24"/>
        </w:rPr>
        <w:t>said Mike Massaro, Flywire’s CEO.</w:t>
      </w:r>
    </w:p>
    <w:p>
      <w:pPr>
        <w:pStyle w:val="TextBody"/>
        <w:bidi w:val="0"/>
        <w:spacing w:before="0" w:after="240"/>
        <w:jc w:val="left"/>
        <w:rPr>
          <w:rFonts w:ascii="Arial" w:hAnsi="Arial"/>
          <w:b/>
          <w:color w:val="000000"/>
          <w:sz w:val="24"/>
        </w:rPr>
      </w:pPr>
      <w:r>
        <w:rPr>
          <w:rFonts w:ascii="Arial" w:hAnsi="Arial"/>
          <w:b/>
          <w:color w:val="000000"/>
          <w:sz w:val="24"/>
        </w:rPr>
        <w:t>Second Quarter 2026 Financial Highlights:</w:t>
      </w:r>
    </w:p>
    <w:p>
      <w:pPr>
        <w:pStyle w:val="TextBody"/>
        <w:bidi w:val="0"/>
        <w:spacing w:before="0" w:after="240"/>
        <w:jc w:val="left"/>
        <w:rPr>
          <w:rFonts w:ascii="Arial" w:hAnsi="Arial"/>
          <w:color w:val="000000"/>
          <w:sz w:val="24"/>
        </w:rPr>
      </w:pPr>
      <w:r>
        <w:rPr>
          <w:rFonts w:ascii="Arial" w:hAnsi="Arial"/>
          <w:color w:val="000000"/>
          <w:sz w:val="24"/>
        </w:rPr>
        <w:t>GAAP Results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 xml:space="preserve">Revenue increased 27.2% to $167.7 million in the Second quarter of 2026, compared to $131.9 million in the Second quarter of 2025.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 xml:space="preserve">Gross Profit increased to $89.6 million, resulting in Gross Margin of 53.4%, for the Second quarter of 2026, compared to Gross Profit of $75.1 million and Gross Margin of 57.0% in the Second quarter of 2025.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 xml:space="preserve">Net loss was ($8.1) million in the Second quarter of 2026, compared to net loss of ($12.0) million in the Second quarter of 2025.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Key Operating Metrics and</w:t>
      </w:r>
      <w:r>
        <w:rPr>
          <w:rFonts w:ascii="Times New Roman" w:hAnsi="Times New Roman"/>
          <w:color w:val="000000"/>
          <w:sz w:val="20"/>
        </w:rPr>
        <w:t xml:space="preserve"> </w:t>
      </w:r>
      <w:r>
        <w:rPr>
          <w:rFonts w:ascii="Arial" w:hAnsi="Arial"/>
          <w:color w:val="000000"/>
          <w:sz w:val="24"/>
        </w:rPr>
        <w:t>Non-GAAP Results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 xml:space="preserve">Total Payment Volume increased 38.2% to $8.2 billion in the Second quarter of 2026, compared to $5.9 billion in the Second quarter of 2025.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Revenue Less Ancillary Services increased 28.5% to $163.8 million in the Second quarter of 2026, compared to $127.5 million in the Second quarter of 2025. FX-Neutral Revenue Less Ancillary Services increased 26.9% year-over-year.</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 xml:space="preserve">Adjusted Gross Profit increased to $92.7 million, up 19.0% compared to $77.9 million in the Second quarter of 2025. Adjusted Gross Margin was 56.6% in the Second quarter of 2026 compared to 61.1% in the Second quarter of 2025.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Adjusted EBITDA increased 44.5% to $24.0 million in the Second quarter of 2026, compared to $16.6 million in the Second quarter of 2025. Adjusted EBITDA margin increased by approximately 160 bps year-over-year to 14.6% in the Second quarter of 2026.</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Repurchased approximately 3.1 million shares of our common stock for approximately $49 million (excluding commissions), with approximately $123 million remaining in the share repurchase program as of the end of the Second quarter of 2026.</w:t>
      </w:r>
    </w:p>
    <w:p>
      <w:pPr>
        <w:pStyle w:val="TextBody"/>
        <w:bidi w:val="0"/>
        <w:jc w:val="left"/>
        <w:rPr/>
      </w:pPr>
      <w:r>
        <w:rPr/>
        <w:t> </w:t>
      </w:r>
    </w:p>
    <w:p>
      <w:pPr>
        <w:pStyle w:val="TextBody"/>
        <w:bidi w:val="0"/>
        <w:jc w:val="left"/>
        <w:rPr/>
      </w:pPr>
      <w:r>
        <w:rPr/>
        <w:t> </w:t>
      </w:r>
    </w:p>
    <w:p>
      <w:pPr>
        <w:pStyle w:val="TextBody"/>
        <w:bidi w:val="0"/>
        <w:spacing w:before="280" w:after="80"/>
        <w:jc w:val="left"/>
        <w:rPr>
          <w:rFonts w:ascii="Arial" w:hAnsi="Arial"/>
          <w:b/>
          <w:color w:val="000000"/>
          <w:sz w:val="26"/>
        </w:rPr>
      </w:pPr>
      <w:r>
        <w:rPr>
          <w:rFonts w:ascii="Arial" w:hAnsi="Arial"/>
          <w:b/>
          <w:color w:val="000000"/>
          <w:sz w:val="26"/>
        </w:rPr>
        <w:t>Q2 2026 Key Business Performance highlights:</w:t>
      </w:r>
    </w:p>
    <w:p>
      <w:pPr>
        <w:pStyle w:val="TextBody"/>
        <w:bidi w:val="0"/>
        <w:spacing w:before="160" w:after="240"/>
        <w:jc w:val="left"/>
        <w:rPr>
          <w:rFonts w:ascii="Arial" w:hAnsi="Arial"/>
          <w:b/>
          <w:color w:val="000000"/>
          <w:sz w:val="24"/>
        </w:rPr>
      </w:pPr>
      <w:r>
        <w:rPr>
          <w:rFonts w:ascii="Arial" w:hAnsi="Arial"/>
          <w:b/>
          <w:color w:val="000000"/>
          <w:sz w:val="24"/>
        </w:rPr>
        <w:t>Commercial Highlights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pPr>
      <w:r>
        <w:rPr>
          <w:rFonts w:ascii="Arial" w:hAnsi="Arial"/>
          <w:b/>
          <w:color w:val="000000"/>
          <w:sz w:val="24"/>
        </w:rPr>
        <w:t>Significant Enterprise Wins Across Regions:</w:t>
      </w:r>
      <w:r>
        <w:rPr>
          <w:color w:val="000000"/>
        </w:rPr>
        <w:t xml:space="preserve"> </w:t>
      </w:r>
      <w:r>
        <w:rPr>
          <w:rFonts w:ascii="Arial" w:hAnsi="Arial"/>
          <w:color w:val="000000"/>
          <w:sz w:val="24"/>
        </w:rPr>
        <w:t xml:space="preserve">Closed marquee deals including a major EMEA cross-border expansion, landmark UK university platform consolidation, multiple US institutional full-suite implementations, and Canada cross-border expansion. </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pPr>
      <w:r>
        <w:rPr>
          <w:rFonts w:ascii="Arial" w:hAnsi="Arial"/>
          <w:b/>
          <w:color w:val="000000"/>
          <w:sz w:val="24"/>
        </w:rPr>
        <w:t>SFS-Driven Education Expansion:</w:t>
      </w:r>
      <w:r>
        <w:rPr>
          <w:color w:val="000000"/>
        </w:rPr>
        <w:t xml:space="preserve"> </w:t>
      </w:r>
      <w:r>
        <w:rPr>
          <w:rFonts w:ascii="Arial" w:hAnsi="Arial"/>
          <w:color w:val="000000"/>
          <w:sz w:val="24"/>
        </w:rPr>
        <w:t>Student Financial Services expansion in the US and UK continues our shift toward larger, more strategic engagements. We signed three new US SFS deals this quarter at double the ARR of the prior-year quarter, and added the University of Liverpool in the UK to consolidate manual workflows onto a single platform.</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pPr>
      <w:r>
        <w:rPr>
          <w:rFonts w:ascii="Arial" w:hAnsi="Arial"/>
          <w:b/>
          <w:color w:val="000000"/>
          <w:sz w:val="24"/>
        </w:rPr>
        <w:t>Strong Deal Velocity &amp; Geographic Diversification:</w:t>
      </w:r>
      <w:r>
        <w:rPr>
          <w:color w:val="000000"/>
        </w:rPr>
        <w:t xml:space="preserve"> </w:t>
      </w:r>
      <w:r>
        <w:rPr>
          <w:rFonts w:ascii="Arial" w:hAnsi="Arial"/>
          <w:color w:val="000000"/>
          <w:sz w:val="24"/>
        </w:rPr>
        <w:t>We signed 200+ new clients across 45 countries and all verticals — a second straight quarter at this pace. Education revenue outside our "Big Four" markets grew 30%+ YoY, with roughly two of three new education clients coming from outside those core markets.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pPr>
      <w:r>
        <w:rPr>
          <w:rFonts w:ascii="Arial" w:hAnsi="Arial"/>
          <w:b/>
          <w:color w:val="000000"/>
          <w:sz w:val="24"/>
        </w:rPr>
        <w:t>Travel</w:t>
      </w:r>
      <w:r>
        <w:rPr>
          <w:color w:val="000000"/>
        </w:rPr>
        <w:t xml:space="preserve"> </w:t>
      </w:r>
      <w:r>
        <w:rPr>
          <w:rFonts w:ascii="Arial" w:hAnsi="Arial"/>
          <w:b/>
          <w:color w:val="000000"/>
          <w:sz w:val="24"/>
        </w:rPr>
        <w:t>Momentum</w:t>
      </w:r>
      <w:r>
        <w:rPr>
          <w:rFonts w:ascii="Arial" w:hAnsi="Arial"/>
          <w:color w:val="000000"/>
          <w:sz w:val="24"/>
        </w:rPr>
        <w:t>. In Experiential Travel, deal sizes rose as travel clients consolidated vendors onto our rails, and we signed 42 Hospitality software deals across Europe and Asia in the first half of 2026.</w:t>
      </w:r>
    </w:p>
    <w:p>
      <w:pPr>
        <w:pStyle w:val="TextBody"/>
        <w:bidi w:val="0"/>
        <w:spacing w:before="0" w:after="240"/>
        <w:jc w:val="left"/>
        <w:rPr>
          <w:rFonts w:ascii="Arial" w:hAnsi="Arial"/>
          <w:b/>
          <w:color w:val="000000"/>
          <w:sz w:val="24"/>
        </w:rPr>
      </w:pPr>
      <w:r>
        <w:rPr>
          <w:rFonts w:ascii="Arial" w:hAnsi="Arial"/>
          <w:b/>
          <w:color w:val="000000"/>
          <w:sz w:val="24"/>
        </w:rPr>
        <w:t>Client, Product &amp; Partner Highlights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pPr>
      <w:r>
        <w:rPr>
          <w:rFonts w:ascii="Arial" w:hAnsi="Arial"/>
          <w:b/>
          <w:color w:val="000000"/>
          <w:sz w:val="24"/>
        </w:rPr>
        <w:t xml:space="preserve">Workday Integration Advancement (EDU): </w:t>
      </w:r>
      <w:r>
        <w:rPr>
          <w:rFonts w:ascii="Arial" w:hAnsi="Arial"/>
          <w:color w:val="000000"/>
          <w:sz w:val="24"/>
        </w:rPr>
        <w:t xml:space="preserve">Wesleyan University went live as the first SFS school using Flywire's new Workday Student Integration API. As the first existing SFS client to migrate between two integrated ERPs, Wesleyan's implementation established a framework for future ERP transitions.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pPr>
      <w:r>
        <w:rPr>
          <w:rFonts w:ascii="Arial" w:hAnsi="Arial"/>
          <w:b/>
          <w:color w:val="000000"/>
          <w:sz w:val="24"/>
        </w:rPr>
        <w:t xml:space="preserve">Driftwood Hospitality Deployment: </w:t>
      </w:r>
      <w:r>
        <w:rPr>
          <w:rFonts w:ascii="Arial" w:hAnsi="Arial"/>
          <w:color w:val="000000"/>
          <w:sz w:val="24"/>
        </w:rPr>
        <w:t>Expanded Travel Hospitality footprint with deployment across nearly 90 US hotel properties, demonstrating strong traction in the higher-value hospitality segment with integrated payments, digital signatures, and authorization workflows.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b/>
          <w:color w:val="000000"/>
          <w:sz w:val="24"/>
        </w:rPr>
      </w:pPr>
      <w:r>
        <w:rPr>
          <w:rFonts w:ascii="Arial" w:hAnsi="Arial"/>
          <w:b/>
          <w:color w:val="000000"/>
          <w:sz w:val="24"/>
        </w:rPr>
        <w:t>Guidance</w:t>
      </w:r>
    </w:p>
    <w:p>
      <w:pPr>
        <w:pStyle w:val="TextBody"/>
        <w:bidi w:val="0"/>
        <w:spacing w:before="0" w:after="240"/>
        <w:jc w:val="left"/>
        <w:rPr/>
      </w:pPr>
      <w:r>
        <w:rPr>
          <w:color w:val="000000"/>
        </w:rPr>
        <w:t>”</w:t>
      </w:r>
      <w:r>
        <w:rPr>
          <w:rFonts w:ascii="Arial" w:hAnsi="Arial"/>
          <w:i/>
          <w:color w:val="000000"/>
          <w:sz w:val="24"/>
        </w:rPr>
        <w:t xml:space="preserve">Our second-quarter results give us the confidence to raise our full-year guidance for revenue and adjusted EBITDA, even as we remain prudent in our assumptions for the education vertical given the visa policy environment," </w:t>
      </w:r>
      <w:r>
        <w:rPr>
          <w:rFonts w:ascii="Arial" w:hAnsi="Arial"/>
          <w:color w:val="000000"/>
          <w:sz w:val="24"/>
        </w:rPr>
        <w:t>said Flywire's CFO, Cosmin Pitigoi. “</w:t>
      </w:r>
      <w:r>
        <w:rPr>
          <w:rFonts w:ascii="Arial" w:hAnsi="Arial"/>
          <w:i/>
          <w:color w:val="000000"/>
          <w:sz w:val="24"/>
        </w:rPr>
        <w:t>What's equally encouraging is what we see inside the P&amp;L: operating expenses are scaling well below gross profit growth, which gives us conviction in our ability to scale profitably from here and achieve a fourfold increase in GAAP Net Income this year.”</w:t>
      </w:r>
    </w:p>
    <w:p>
      <w:pPr>
        <w:pStyle w:val="TextBody"/>
        <w:bidi w:val="0"/>
        <w:spacing w:before="0" w:after="240"/>
        <w:jc w:val="left"/>
        <w:rPr>
          <w:rFonts w:ascii="Times New Roman" w:hAnsi="Times New Roman"/>
          <w:sz w:val="20"/>
        </w:rPr>
      </w:pPr>
      <w:r>
        <w:rPr>
          <w:rFonts w:ascii="Arial" w:hAnsi="Arial"/>
          <w:color w:val="000000"/>
          <w:sz w:val="24"/>
        </w:rPr>
        <w:t>Based on information available as of August 4, 2026, Flywire anticipates the following results for the third quarter and fiscal year 2026*.</w:t>
      </w:r>
      <w:r>
        <w:rPr>
          <w:rFonts w:ascii="Times New Roman" w:hAnsi="Times New Roman"/>
          <w:color w:val="000000"/>
          <w:sz w:val="20"/>
        </w:rPr>
        <w:t xml:space="preserve"> </w:t>
      </w:r>
    </w:p>
    <w:tbl>
      <w:tblPr>
        <w:tblW w:w="8087" w:type="dxa"/>
        <w:jc w:val="left"/>
        <w:tblInd w:w="0" w:type="dxa"/>
        <w:tblLayout w:type="fixed"/>
        <w:tblCellMar>
          <w:top w:w="28" w:type="dxa"/>
          <w:left w:w="28" w:type="dxa"/>
          <w:bottom w:w="28" w:type="dxa"/>
          <w:right w:w="28" w:type="dxa"/>
        </w:tblCellMar>
      </w:tblPr>
      <w:tblGrid>
        <w:gridCol w:w="5701"/>
        <w:gridCol w:w="2386"/>
      </w:tblGrid>
      <w:tr>
        <w:trPr/>
        <w:tc>
          <w:tcPr>
            <w:tcW w:w="5701"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5701" w:type="dxa"/>
            <w:tcBorders>
              <w:top w:val="single" w:sz="4" w:space="0" w:color="000000"/>
              <w:left w:val="single" w:sz="4" w:space="0" w:color="000000"/>
              <w:bottom w:val="single" w:sz="4" w:space="0" w:color="000000"/>
              <w:right w:val="single" w:sz="4" w:space="0" w:color="000000"/>
            </w:tcBorders>
            <w:tcMar>
              <w:top w:w="99" w:type="dxa"/>
              <w:left w:w="115" w:type="dxa"/>
              <w:bottom w:w="99" w:type="dxa"/>
              <w:right w:w="115" w:type="dxa"/>
            </w:tcMar>
            <w:vAlign w:val="center"/>
          </w:tcPr>
          <w:p>
            <w:pPr>
              <w:pStyle w:val="TableContents"/>
              <w:bidi w:val="0"/>
              <w:spacing w:before="240" w:after="240"/>
              <w:jc w:val="center"/>
              <w:rPr/>
            </w:pPr>
            <w:r>
              <w:rPr/>
              <w:t> </w:t>
            </w:r>
          </w:p>
        </w:tc>
        <w:tc>
          <w:tcPr>
            <w:tcW w:w="2386" w:type="dxa"/>
            <w:tcBorders>
              <w:top w:val="single" w:sz="4" w:space="0" w:color="000000"/>
              <w:bottom w:val="single" w:sz="4" w:space="0" w:color="000000"/>
              <w:right w:val="single" w:sz="4" w:space="0" w:color="000000"/>
            </w:tcBorders>
            <w:tcMar>
              <w:top w:w="99" w:type="dxa"/>
              <w:left w:w="0" w:type="dxa"/>
              <w:bottom w:w="99" w:type="dxa"/>
              <w:right w:w="115" w:type="dxa"/>
            </w:tcMar>
            <w:vAlign w:val="center"/>
          </w:tcPr>
          <w:p>
            <w:pPr>
              <w:pStyle w:val="TableContents"/>
              <w:bidi w:val="0"/>
              <w:spacing w:before="240" w:after="240"/>
              <w:jc w:val="center"/>
              <w:rPr>
                <w:rFonts w:ascii="Arial" w:hAnsi="Arial"/>
                <w:b/>
                <w:color w:val="000000"/>
                <w:sz w:val="24"/>
              </w:rPr>
            </w:pPr>
            <w:r>
              <w:rPr>
                <w:rFonts w:ascii="Arial" w:hAnsi="Arial"/>
                <w:b/>
                <w:color w:val="000000"/>
                <w:sz w:val="24"/>
              </w:rPr>
              <w:t>Fiscal Year 2026</w:t>
            </w:r>
          </w:p>
        </w:tc>
      </w:tr>
      <w:tr>
        <w:trPr/>
        <w:tc>
          <w:tcPr>
            <w:tcW w:w="5701" w:type="dxa"/>
            <w:tcBorders>
              <w:left w:val="single" w:sz="4" w:space="0" w:color="000000"/>
              <w:bottom w:val="single" w:sz="4" w:space="0" w:color="000000"/>
              <w:right w:val="single" w:sz="4" w:space="0" w:color="000000"/>
            </w:tcBorders>
            <w:tcMar>
              <w:top w:w="0" w:type="dxa"/>
              <w:left w:w="115" w:type="dxa"/>
              <w:bottom w:w="99" w:type="dxa"/>
              <w:right w:w="115" w:type="dxa"/>
            </w:tcMar>
            <w:vAlign w:val="center"/>
          </w:tcPr>
          <w:p>
            <w:pPr>
              <w:pStyle w:val="TableContents"/>
              <w:bidi w:val="0"/>
              <w:spacing w:before="240" w:after="240"/>
              <w:jc w:val="left"/>
              <w:rPr>
                <w:rFonts w:ascii="Arial" w:hAnsi="Arial"/>
                <w:color w:val="000000"/>
                <w:sz w:val="24"/>
              </w:rPr>
            </w:pPr>
            <w:r>
              <w:rPr>
                <w:rFonts w:ascii="Arial" w:hAnsi="Arial"/>
                <w:color w:val="000000"/>
                <w:sz w:val="24"/>
              </w:rPr>
              <w:t>FX-Neutral Revenue Less Ancillary Services Growth</w:t>
            </w:r>
          </w:p>
        </w:tc>
        <w:tc>
          <w:tcPr>
            <w:tcW w:w="2386" w:type="dxa"/>
            <w:tcBorders>
              <w:bottom w:val="single" w:sz="4" w:space="0" w:color="000000"/>
              <w:right w:val="single" w:sz="4" w:space="0" w:color="000000"/>
            </w:tcBorders>
            <w:tcMar>
              <w:top w:w="0" w:type="dxa"/>
              <w:left w:w="0" w:type="dxa"/>
              <w:bottom w:w="99" w:type="dxa"/>
              <w:right w:w="115" w:type="dxa"/>
            </w:tcMar>
            <w:vAlign w:val="center"/>
          </w:tcPr>
          <w:p>
            <w:pPr>
              <w:pStyle w:val="TableContents"/>
              <w:bidi w:val="0"/>
              <w:spacing w:before="240" w:after="240"/>
              <w:jc w:val="center"/>
              <w:rPr>
                <w:rFonts w:ascii="Arial" w:hAnsi="Arial"/>
                <w:color w:val="000000"/>
                <w:sz w:val="24"/>
              </w:rPr>
            </w:pPr>
            <w:r>
              <w:rPr>
                <w:rFonts w:ascii="Arial" w:hAnsi="Arial"/>
                <w:color w:val="000000"/>
                <w:sz w:val="24"/>
              </w:rPr>
              <w:t>21-27% YoY</w:t>
            </w:r>
          </w:p>
        </w:tc>
      </w:tr>
      <w:tr>
        <w:trPr/>
        <w:tc>
          <w:tcPr>
            <w:tcW w:w="5701" w:type="dxa"/>
            <w:tcBorders>
              <w:left w:val="single" w:sz="4" w:space="0" w:color="000000"/>
              <w:bottom w:val="single" w:sz="4" w:space="0" w:color="000000"/>
              <w:right w:val="single" w:sz="4" w:space="0" w:color="000000"/>
            </w:tcBorders>
            <w:tcMar>
              <w:top w:w="0" w:type="dxa"/>
              <w:left w:w="115" w:type="dxa"/>
              <w:bottom w:w="99" w:type="dxa"/>
              <w:right w:w="115" w:type="dxa"/>
            </w:tcMar>
            <w:vAlign w:val="center"/>
          </w:tcPr>
          <w:p>
            <w:pPr>
              <w:pStyle w:val="TableContents"/>
              <w:bidi w:val="0"/>
              <w:spacing w:before="240" w:after="240"/>
              <w:jc w:val="left"/>
              <w:rPr>
                <w:rFonts w:ascii="Arial" w:hAnsi="Arial"/>
                <w:color w:val="000000"/>
                <w:sz w:val="24"/>
              </w:rPr>
            </w:pPr>
            <w:r>
              <w:rPr>
                <w:rFonts w:ascii="Arial" w:hAnsi="Arial"/>
                <w:color w:val="000000"/>
                <w:sz w:val="24"/>
              </w:rPr>
              <w:t>Adjusted EBITDA Margin Growth</w:t>
            </w:r>
          </w:p>
        </w:tc>
        <w:tc>
          <w:tcPr>
            <w:tcW w:w="2386" w:type="dxa"/>
            <w:tcBorders>
              <w:bottom w:val="single" w:sz="4" w:space="0" w:color="000000"/>
              <w:right w:val="single" w:sz="4" w:space="0" w:color="000000"/>
            </w:tcBorders>
            <w:tcMar>
              <w:top w:w="0" w:type="dxa"/>
              <w:left w:w="0" w:type="dxa"/>
              <w:bottom w:w="99" w:type="dxa"/>
              <w:right w:w="115" w:type="dxa"/>
            </w:tcMar>
            <w:vAlign w:val="center"/>
          </w:tcPr>
          <w:p>
            <w:pPr>
              <w:pStyle w:val="TableContents"/>
              <w:bidi w:val="0"/>
              <w:spacing w:before="240" w:after="240"/>
              <w:jc w:val="center"/>
              <w:rPr>
                <w:rFonts w:ascii="Arial" w:hAnsi="Arial"/>
                <w:color w:val="000000"/>
                <w:sz w:val="24"/>
              </w:rPr>
            </w:pPr>
            <w:r>
              <w:rPr>
                <w:rFonts w:ascii="Arial" w:hAnsi="Arial"/>
                <w:color w:val="000000"/>
                <w:sz w:val="24"/>
              </w:rPr>
              <w:t>+200 to 400 bps YoY</w:t>
            </w:r>
          </w:p>
        </w:tc>
      </w:tr>
    </w:tbl>
    <w:p>
      <w:pPr>
        <w:pStyle w:val="TextBody"/>
        <w:bidi w:val="0"/>
        <w:spacing w:before="240" w:after="240"/>
        <w:jc w:val="left"/>
        <w:rPr/>
      </w:pPr>
      <w:r>
        <w:rPr/>
        <w:t> </w:t>
      </w:r>
    </w:p>
    <w:tbl>
      <w:tblPr>
        <w:tblW w:w="7967" w:type="dxa"/>
        <w:jc w:val="left"/>
        <w:tblInd w:w="0" w:type="dxa"/>
        <w:tblLayout w:type="fixed"/>
        <w:tblCellMar>
          <w:top w:w="28" w:type="dxa"/>
          <w:left w:w="28" w:type="dxa"/>
          <w:bottom w:w="28" w:type="dxa"/>
          <w:right w:w="28" w:type="dxa"/>
        </w:tblCellMar>
      </w:tblPr>
      <w:tblGrid>
        <w:gridCol w:w="5701"/>
        <w:gridCol w:w="2266"/>
      </w:tblGrid>
      <w:tr>
        <w:trPr/>
        <w:tc>
          <w:tcPr>
            <w:tcW w:w="570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5701" w:type="dxa"/>
            <w:tcBorders>
              <w:top w:val="single" w:sz="4" w:space="0" w:color="000000"/>
              <w:left w:val="single" w:sz="4" w:space="0" w:color="000000"/>
              <w:bottom w:val="single" w:sz="4" w:space="0" w:color="000000"/>
              <w:right w:val="single" w:sz="4" w:space="0" w:color="000000"/>
            </w:tcBorders>
            <w:tcMar>
              <w:top w:w="99" w:type="dxa"/>
              <w:left w:w="115" w:type="dxa"/>
              <w:bottom w:w="99" w:type="dxa"/>
              <w:right w:w="115" w:type="dxa"/>
            </w:tcMar>
            <w:vAlign w:val="center"/>
          </w:tcPr>
          <w:p>
            <w:pPr>
              <w:pStyle w:val="TableContents"/>
              <w:bidi w:val="0"/>
              <w:spacing w:before="240" w:after="240"/>
              <w:jc w:val="center"/>
              <w:rPr/>
            </w:pPr>
            <w:r>
              <w:rPr/>
              <w:t> </w:t>
            </w:r>
          </w:p>
        </w:tc>
        <w:tc>
          <w:tcPr>
            <w:tcW w:w="2266" w:type="dxa"/>
            <w:tcBorders>
              <w:top w:val="single" w:sz="4" w:space="0" w:color="000000"/>
              <w:bottom w:val="single" w:sz="4" w:space="0" w:color="000000"/>
              <w:right w:val="single" w:sz="4" w:space="0" w:color="000000"/>
            </w:tcBorders>
            <w:tcMar>
              <w:top w:w="99" w:type="dxa"/>
              <w:left w:w="0" w:type="dxa"/>
              <w:bottom w:w="99" w:type="dxa"/>
              <w:right w:w="115" w:type="dxa"/>
            </w:tcMar>
            <w:vAlign w:val="center"/>
          </w:tcPr>
          <w:p>
            <w:pPr>
              <w:pStyle w:val="TableContents"/>
              <w:bidi w:val="0"/>
              <w:spacing w:before="240" w:after="240"/>
              <w:jc w:val="center"/>
              <w:rPr>
                <w:rFonts w:ascii="Arial" w:hAnsi="Arial"/>
                <w:b/>
                <w:color w:val="000000"/>
                <w:sz w:val="24"/>
              </w:rPr>
            </w:pPr>
            <w:r>
              <w:rPr>
                <w:rFonts w:ascii="Arial" w:hAnsi="Arial"/>
                <w:b/>
                <w:color w:val="000000"/>
                <w:sz w:val="24"/>
              </w:rPr>
              <w:t>Third Quarter 2026</w:t>
            </w:r>
          </w:p>
        </w:tc>
      </w:tr>
      <w:tr>
        <w:trPr/>
        <w:tc>
          <w:tcPr>
            <w:tcW w:w="5701" w:type="dxa"/>
            <w:tcBorders>
              <w:left w:val="single" w:sz="4" w:space="0" w:color="000000"/>
              <w:bottom w:val="single" w:sz="4" w:space="0" w:color="000000"/>
              <w:right w:val="single" w:sz="4" w:space="0" w:color="000000"/>
            </w:tcBorders>
            <w:tcMar>
              <w:top w:w="0" w:type="dxa"/>
              <w:left w:w="115" w:type="dxa"/>
              <w:bottom w:w="99" w:type="dxa"/>
              <w:right w:w="115" w:type="dxa"/>
            </w:tcMar>
            <w:vAlign w:val="center"/>
          </w:tcPr>
          <w:p>
            <w:pPr>
              <w:pStyle w:val="TableContents"/>
              <w:bidi w:val="0"/>
              <w:spacing w:before="240" w:after="240"/>
              <w:jc w:val="left"/>
              <w:rPr>
                <w:rFonts w:ascii="Arial" w:hAnsi="Arial"/>
                <w:color w:val="000000"/>
                <w:sz w:val="24"/>
              </w:rPr>
            </w:pPr>
            <w:r>
              <w:rPr>
                <w:rFonts w:ascii="Arial" w:hAnsi="Arial"/>
                <w:color w:val="000000"/>
                <w:sz w:val="24"/>
              </w:rPr>
              <w:t>FX-Neutral Revenue Less Ancillary Services Growth</w:t>
            </w:r>
          </w:p>
        </w:tc>
        <w:tc>
          <w:tcPr>
            <w:tcW w:w="2266" w:type="dxa"/>
            <w:tcBorders>
              <w:bottom w:val="single" w:sz="4" w:space="0" w:color="000000"/>
              <w:right w:val="single" w:sz="4" w:space="0" w:color="000000"/>
            </w:tcBorders>
            <w:tcMar>
              <w:top w:w="0" w:type="dxa"/>
              <w:left w:w="0" w:type="dxa"/>
              <w:bottom w:w="99" w:type="dxa"/>
              <w:right w:w="115" w:type="dxa"/>
            </w:tcMar>
            <w:vAlign w:val="center"/>
          </w:tcPr>
          <w:p>
            <w:pPr>
              <w:pStyle w:val="TableContents"/>
              <w:bidi w:val="0"/>
              <w:spacing w:before="240" w:after="240"/>
              <w:jc w:val="center"/>
              <w:rPr>
                <w:rFonts w:ascii="Arial" w:hAnsi="Arial"/>
                <w:color w:val="000000"/>
                <w:sz w:val="24"/>
              </w:rPr>
            </w:pPr>
            <w:r>
              <w:rPr>
                <w:rFonts w:ascii="Arial" w:hAnsi="Arial"/>
                <w:color w:val="000000"/>
                <w:sz w:val="24"/>
              </w:rPr>
              <w:t>16-22% YoY</w:t>
            </w:r>
          </w:p>
        </w:tc>
      </w:tr>
      <w:tr>
        <w:trPr/>
        <w:tc>
          <w:tcPr>
            <w:tcW w:w="5701" w:type="dxa"/>
            <w:tcBorders>
              <w:left w:val="single" w:sz="4" w:space="0" w:color="000000"/>
              <w:bottom w:val="single" w:sz="4" w:space="0" w:color="000000"/>
              <w:right w:val="single" w:sz="4" w:space="0" w:color="000000"/>
            </w:tcBorders>
            <w:tcMar>
              <w:top w:w="0" w:type="dxa"/>
              <w:left w:w="115" w:type="dxa"/>
              <w:bottom w:w="99" w:type="dxa"/>
              <w:right w:w="115" w:type="dxa"/>
            </w:tcMar>
            <w:vAlign w:val="center"/>
          </w:tcPr>
          <w:p>
            <w:pPr>
              <w:pStyle w:val="TableContents"/>
              <w:bidi w:val="0"/>
              <w:spacing w:before="240" w:after="240"/>
              <w:jc w:val="left"/>
              <w:rPr>
                <w:rFonts w:ascii="Arial" w:hAnsi="Arial"/>
                <w:color w:val="000000"/>
                <w:sz w:val="24"/>
              </w:rPr>
            </w:pPr>
            <w:r>
              <w:rPr>
                <w:rFonts w:ascii="Arial" w:hAnsi="Arial"/>
                <w:color w:val="000000"/>
                <w:sz w:val="24"/>
              </w:rPr>
              <w:t>Adjusted EBITDA Margin Growth</w:t>
            </w:r>
          </w:p>
        </w:tc>
        <w:tc>
          <w:tcPr>
            <w:tcW w:w="2266" w:type="dxa"/>
            <w:tcBorders>
              <w:bottom w:val="single" w:sz="4" w:space="0" w:color="000000"/>
              <w:right w:val="single" w:sz="4" w:space="0" w:color="000000"/>
            </w:tcBorders>
            <w:tcMar>
              <w:top w:w="0" w:type="dxa"/>
              <w:left w:w="0" w:type="dxa"/>
              <w:bottom w:w="99" w:type="dxa"/>
              <w:right w:w="115" w:type="dxa"/>
            </w:tcMar>
            <w:vAlign w:val="center"/>
          </w:tcPr>
          <w:p>
            <w:pPr>
              <w:pStyle w:val="TableContents"/>
              <w:bidi w:val="0"/>
              <w:spacing w:before="240" w:after="240"/>
              <w:jc w:val="center"/>
              <w:rPr>
                <w:rFonts w:ascii="Arial" w:hAnsi="Arial"/>
                <w:color w:val="000000"/>
                <w:sz w:val="24"/>
              </w:rPr>
            </w:pPr>
            <w:r>
              <w:rPr>
                <w:rFonts w:ascii="Arial" w:hAnsi="Arial"/>
                <w:color w:val="000000"/>
                <w:sz w:val="24"/>
              </w:rPr>
              <w:t>100-300 bps YoY</w:t>
            </w:r>
          </w:p>
        </w:tc>
      </w:tr>
    </w:tbl>
    <w:p>
      <w:pPr>
        <w:pStyle w:val="TextBody"/>
        <w:bidi w:val="0"/>
        <w:spacing w:before="240" w:after="240"/>
        <w:jc w:val="left"/>
        <w:rPr>
          <w:rFonts w:ascii="Arial" w:hAnsi="Arial"/>
          <w:color w:val="000000"/>
          <w:sz w:val="24"/>
        </w:rPr>
      </w:pPr>
      <w:r>
        <w:rPr>
          <w:rFonts w:ascii="Arial" w:hAnsi="Arial"/>
          <w:color w:val="000000"/>
          <w:sz w:val="24"/>
        </w:rPr>
        <w:t>*Flywire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growth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 and foreign currency exchange rates.</w:t>
      </w:r>
    </w:p>
    <w:p>
      <w:pPr>
        <w:pStyle w:val="TextBody"/>
        <w:bidi w:val="0"/>
        <w:spacing w:before="0" w:after="240"/>
        <w:jc w:val="left"/>
        <w:rPr>
          <w:rFonts w:ascii="Arial" w:hAnsi="Arial"/>
          <w:color w:val="000000"/>
          <w:sz w:val="24"/>
        </w:rPr>
      </w:pPr>
      <w:r>
        <w:rPr>
          <w:rFonts w:ascii="Arial" w:hAnsi="Arial"/>
          <w:color w:val="000000"/>
          <w:sz w:val="24"/>
        </w:rPr>
        <w:t>These statements are forward-looking, and actual results may differ materially. Refer to the “Safe Harbor Statement” below for information on the factors that could cause Flywire’s actual results to differ materially from these forward-looking statements.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left"/>
        <w:rPr>
          <w:rFonts w:ascii="Arial" w:hAnsi="Arial"/>
          <w:b/>
          <w:color w:val="000000"/>
          <w:sz w:val="24"/>
        </w:rPr>
      </w:pPr>
      <w:r>
        <w:rPr>
          <w:rFonts w:ascii="Arial" w:hAnsi="Arial"/>
          <w:b/>
          <w:color w:val="000000"/>
          <w:sz w:val="24"/>
        </w:rPr>
        <w:t>Conference Call</w:t>
      </w:r>
    </w:p>
    <w:p>
      <w:pPr>
        <w:pStyle w:val="TextBody"/>
        <w:bidi w:val="0"/>
        <w:spacing w:before="0" w:after="240"/>
        <w:jc w:val="left"/>
        <w:rPr>
          <w:rFonts w:ascii="Times New Roman" w:hAnsi="Times New Roman"/>
          <w:sz w:val="20"/>
        </w:rPr>
      </w:pPr>
      <w:r>
        <w:rPr>
          <w:rFonts w:ascii="Arial" w:hAnsi="Arial"/>
          <w:color w:val="000000"/>
          <w:sz w:val="24"/>
        </w:rPr>
        <w:t xml:space="preserve">The Company will host a conference call to discuss second quarter financial results today at 5:00 pm ET. Hosting the call will be Mike Massaro, CEO, Rob Orgel, President and COO, and Cosmin Pitigoi, CFO. The conference call can be accessed live via webcast from the Company's investor relations website at </w:t>
      </w:r>
      <w:r>
        <w:rPr>
          <w:rFonts w:ascii="Arial" w:hAnsi="Arial"/>
          <w:sz w:val="24"/>
        </w:rPr>
        <w:t>https://ir.flywire.com/</w:t>
      </w:r>
      <w:r>
        <w:rPr>
          <w:rFonts w:ascii="Arial" w:hAnsi="Arial"/>
          <w:color w:val="000000"/>
          <w:sz w:val="24"/>
        </w:rPr>
        <w:t>. A replay will be available on the investor relations website following the call.</w:t>
      </w:r>
    </w:p>
    <w:p>
      <w:pPr>
        <w:pStyle w:val="TextBody"/>
        <w:bidi w:val="0"/>
        <w:spacing w:before="0" w:after="240"/>
        <w:jc w:val="left"/>
        <w:rPr>
          <w:rFonts w:ascii="Arial" w:hAnsi="Arial"/>
          <w:b/>
          <w:color w:val="000000"/>
          <w:sz w:val="24"/>
        </w:rPr>
      </w:pPr>
      <w:r>
        <w:rPr>
          <w:rFonts w:ascii="Arial" w:hAnsi="Arial"/>
          <w:b/>
          <w:color w:val="000000"/>
          <w:sz w:val="24"/>
        </w:rPr>
        <w:t>Note Regarding Share Repurchase Program</w:t>
      </w:r>
    </w:p>
    <w:p>
      <w:pPr>
        <w:pStyle w:val="TextBody"/>
        <w:bidi w:val="0"/>
        <w:spacing w:before="0" w:after="240"/>
        <w:jc w:val="left"/>
        <w:rPr>
          <w:rFonts w:ascii="Times New Roman" w:hAnsi="Times New Roman"/>
          <w:sz w:val="20"/>
        </w:rPr>
      </w:pPr>
      <w:r>
        <w:rPr>
          <w:rFonts w:ascii="Arial" w:hAnsi="Arial"/>
          <w:color w:val="000000"/>
          <w:sz w:val="24"/>
        </w:rPr>
        <w:t>Repurchases under the Company’s share repurchase program (the Repurchase Program) may be made from time to time through open market purchases, in privately negotiated transactions or by other means, including through accelerated share repurchase transactions or the use of trading plans intended to qualify under Rule 10b5-1 under the Securities Exchange Act of 1934, as amended, in accordance with applicable securities laws and other restrictions, including Rule 10b-18. The timing, value and number of shares repurchased will be determined by the Company in its discretion and will be based on various factors, including an evaluation of current and future capital needs, current and forecasted cash flows, the Company’s capital structure, cost of capital and prevailing stock prices, general market and economic conditions, applicable legal requirements, and compliance with covenants in the Company’s credit facility that may limit share repurchases based on defined leverage ratios. The Repurchase Program does not obligate the Company to purchase a specific number of, or any, shares. The Repurchase Program does not expire and may be modified, suspended, or terminated at any time without notice at the Company’s discretion.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b/>
          <w:color w:val="000000"/>
          <w:sz w:val="24"/>
        </w:rPr>
        <w:t>Key Operating Metrics and Non-GAAP Financial Measures</w:t>
      </w:r>
      <w:r>
        <w:rPr>
          <w:rFonts w:ascii="Times New Roman" w:hAnsi="Times New Roman"/>
          <w:color w:val="000000"/>
          <w:sz w:val="20"/>
        </w:rPr>
        <w:t xml:space="preserve"> </w:t>
      </w:r>
    </w:p>
    <w:p>
      <w:pPr>
        <w:pStyle w:val="TextBody"/>
        <w:bidi w:val="0"/>
        <w:jc w:val="left"/>
        <w:rPr>
          <w:rFonts w:ascii="Arial" w:hAnsi="Arial"/>
          <w:color w:val="000000"/>
          <w:sz w:val="24"/>
        </w:rPr>
      </w:pPr>
      <w:r>
        <w:rPr>
          <w:rFonts w:ascii="Arial" w:hAnsi="Arial"/>
          <w:color w:val="000000"/>
          <w:sz w:val="24"/>
        </w:rPr>
        <w:t>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period-to-period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w:t>
      </w:r>
    </w:p>
    <w:p>
      <w:pPr>
        <w:pStyle w:val="TextBody"/>
        <w:bidi w:val="0"/>
        <w:spacing w:before="200" w:after="283"/>
        <w:jc w:val="left"/>
        <w:rPr>
          <w:rFonts w:ascii="Times New Roman" w:hAnsi="Times New Roman"/>
          <w:sz w:val="20"/>
        </w:rPr>
      </w:pPr>
      <w:r>
        <w:rPr>
          <w:rFonts w:ascii="Arial" w:hAnsi="Arial"/>
          <w:color w:val="000000"/>
          <w:sz w:val="24"/>
        </w:rPr>
        <w:t>Flywire uses supplemental measures of its performance, which are derived from its consolidated financial information, but which are not presented in its consolidated financial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00" w:after="283"/>
        <w:jc w:val="left"/>
        <w:rPr>
          <w:rFonts w:ascii="Arial" w:hAnsi="Arial"/>
          <w:color w:val="000000"/>
          <w:sz w:val="24"/>
        </w:rPr>
      </w:pPr>
      <w:r>
        <w:rPr>
          <w:rFonts w:ascii="Arial" w:hAnsi="Arial"/>
          <w:color w:val="000000"/>
          <w:sz w:val="24"/>
        </w:rPr>
        <w:t>statements prepared in accordance with GAAP. These non-GAAP financial measures include the following:</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Revenue Less Ancillary Services. Revenue Less Ancillary Services represents the Company’s consolidated revenue in accordance with GAAP less (i) pass-through cost for printing and mailing services and (ii) marketing fees. The Company excludes these amounts to arrive at this supplemental non-GAAP financial measure as it views these services as ancillary to the primary services it provides to its clients.</w:t>
      </w:r>
    </w:p>
    <w:p>
      <w:pPr>
        <w:pStyle w:val="TextBody"/>
        <w:bidi w:val="0"/>
        <w:spacing w:before="240" w:after="240"/>
        <w:jc w:val="left"/>
        <w:rPr>
          <w:color w:val="000000"/>
        </w:rPr>
      </w:pPr>
      <w:r>
        <w:rPr>
          <w:color w:val="000000"/>
        </w:rPr>
        <w:t>●</w:t>
      </w:r>
    </w:p>
    <w:p>
      <w:pPr>
        <w:pStyle w:val="TextBody"/>
        <w:bidi w:val="0"/>
        <w:spacing w:before="240" w:after="240"/>
        <w:jc w:val="left"/>
        <w:rPr>
          <w:rFonts w:ascii="Arial" w:hAnsi="Arial"/>
          <w:color w:val="000000"/>
          <w:sz w:val="24"/>
        </w:rPr>
      </w:pPr>
      <w:r>
        <w:rPr>
          <w:rFonts w:ascii="Arial" w:hAnsi="Arial"/>
          <w:color w:val="000000"/>
          <w:sz w:val="24"/>
        </w:rPr>
        <w:t>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Adjusted Gross Margin represents Adjusted Gross Profit divided by Revenue Less Ancillary Services. Management believes this presentation supplements the GAAP presentation of Gross Profit and Gross Margin with a useful measure of the gross profit and gross margin of the Company’s payment processing-related services, which are the primary services it provides to its clients.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Adjusted EBITDA. EBITDA represents our consolidated net income (loss) in accordance with GAAP adjusted to exclude (i) interest expense, (ii) interest income, (iii) (benefit from) provision for income taxes and (iv) depreciation and amortization. Adjusted EBITDA represents EBITDA further adjusted by excluding (a) stock-based compensation expense and related payroll taxes, (b) the impact from the change in fair value measurement for contingent consideration associated with acquisitions,(c) gain (loss) from the remeasurement of foreign currency, (d) indirect taxes related to intercompany activity, (e) acquisition related transaction costs, (f) employee retention costs, such as incentive compensation, associated with acquisition activities, (g) restructuring costs, and (h) gain (loss) from investments. Management believes that the exclusion of these amounts to calculate Adjusted EBITDA provides useful measures for period-to-period comparisons of the Company’s business.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Adjusted EBITDA Margin. Adjusted EBITDA Margin represents Adjusted EBITDA divided by Revenue Less Ancillary Services. Management believes this presentation supplements the GAAP presentation of gross margin with a useful measure of the gross margin of the Company’s payment processing-related services, which are the primary services it provides to its clients.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FX Neutral Revenue Less Ancillary Services. FX Neutral Revenue Less Ancillary Services represents Revenue Less Ancillary Services adjusted to show presentation on a FX Neutral basis. The FX Neutral information presented is calculated by translating current-period results using prior-period weighted average foreign currency exchange rates. Flywire analyzes Revenue Less Ancillary Services on an FX Neutral basis to provide a comparable framework for assessing how the business performed, excluding the effect of foreign currency fluctuations.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4"/>
        </w:rPr>
      </w:pPr>
      <w:r>
        <w:rPr>
          <w:rFonts w:ascii="Arial" w:hAnsi="Arial"/>
          <w:color w:val="000000"/>
          <w:sz w:val="24"/>
        </w:rPr>
        <w:t>Non-GAAP Operating Expenses. Non-GAAP Operating Expenses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(v) the impact from the change in fair value measurement for contingent consideration associated with acquisitions and (vi) restructuring costs.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These non-GAAP financial measures are not meant to be considered as indicators of performance in isolation from or as a substitute for the Company’s revenue, gross profit, gross margin or net income (loss), or operating expenses prepared in accordance with GAAP and should be read only in conjunction with financial information presented on a GAAP basis. Reconciliations of these non-GAAP financial measures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w:t>
      </w:r>
      <w:r>
        <w:rPr>
          <w:rFonts w:ascii="Times New Roman" w:hAnsi="Times New Roman"/>
          <w:color w:val="000000"/>
          <w:sz w:val="20"/>
        </w:rPr>
        <w:t xml:space="preserve"> </w:t>
      </w:r>
    </w:p>
    <w:p>
      <w:pPr>
        <w:pStyle w:val="TextBody"/>
        <w:bidi w:val="0"/>
        <w:spacing w:before="240" w:after="240"/>
        <w:jc w:val="left"/>
        <w:rPr>
          <w:rFonts w:ascii="Arial" w:hAnsi="Arial"/>
          <w:color w:val="000000"/>
          <w:sz w:val="24"/>
        </w:rPr>
      </w:pPr>
      <w:r>
        <w:rPr>
          <w:rFonts w:ascii="Arial" w:hAnsi="Arial"/>
          <w:color w:val="000000"/>
          <w:sz w:val="24"/>
        </w:rPr>
        <w:t>Flywire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growth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 and foreign currency exchange rates. For figures in this press release reported on an "FX-Neutral basis,” Flywire calculates the year-over-year impact of foreign currency movements using prior period weighted average foreign currency exchange rates.</w:t>
      </w:r>
    </w:p>
    <w:p>
      <w:pPr>
        <w:pStyle w:val="TextBody"/>
        <w:bidi w:val="0"/>
        <w:spacing w:before="0" w:after="240"/>
        <w:jc w:val="left"/>
        <w:rPr>
          <w:rFonts w:ascii="Arial" w:hAnsi="Arial"/>
          <w:b/>
          <w:color w:val="000000"/>
          <w:sz w:val="24"/>
        </w:rPr>
      </w:pPr>
      <w:r>
        <w:rPr>
          <w:rFonts w:ascii="Arial" w:hAnsi="Arial"/>
          <w:b/>
          <w:color w:val="000000"/>
          <w:sz w:val="24"/>
        </w:rPr>
        <w:t>About Flywire</w:t>
      </w:r>
    </w:p>
    <w:p>
      <w:pPr>
        <w:pStyle w:val="TextBody"/>
        <w:bidi w:val="0"/>
        <w:spacing w:before="0" w:after="240"/>
        <w:jc w:val="left"/>
        <w:rPr>
          <w:rFonts w:ascii="Arial" w:hAnsi="Arial"/>
          <w:color w:val="0A0A0A"/>
          <w:sz w:val="24"/>
        </w:rPr>
      </w:pPr>
      <w:r>
        <w:rPr>
          <w:rFonts w:ascii="Arial" w:hAnsi="Arial"/>
          <w:color w:val="0A0A0A"/>
          <w:sz w:val="24"/>
        </w:rPr>
        <w:t>Flywire is a global payments enablement and software company. We combine our proprietary global payments network, next-gen payments platform and vertical-specific software to deliver the most important and complex payments for our clients and their customers.</w:t>
      </w:r>
    </w:p>
    <w:p>
      <w:pPr>
        <w:pStyle w:val="TextBody"/>
        <w:bidi w:val="0"/>
        <w:spacing w:before="0" w:after="240"/>
        <w:jc w:val="left"/>
        <w:rPr>
          <w:rFonts w:ascii="Arial" w:hAnsi="Arial"/>
          <w:color w:val="0A0A0A"/>
          <w:sz w:val="24"/>
        </w:rPr>
      </w:pPr>
      <w:r>
        <w:rPr>
          <w:rFonts w:ascii="Arial" w:hAnsi="Arial"/>
          <w:color w:val="0A0A0A"/>
          <w:sz w:val="24"/>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such as NetSuite, so organizations can optimize the payment experience for their customers while eliminating operational challenges.</w:t>
      </w:r>
    </w:p>
    <w:p>
      <w:pPr>
        <w:pStyle w:val="TextBody"/>
        <w:bidi w:val="0"/>
        <w:spacing w:before="0" w:after="240"/>
        <w:jc w:val="left"/>
        <w:rPr>
          <w:rFonts w:ascii="Times New Roman" w:hAnsi="Times New Roman"/>
          <w:sz w:val="20"/>
        </w:rPr>
      </w:pPr>
      <w:r>
        <w:rPr>
          <w:rFonts w:ascii="Arial" w:hAnsi="Arial"/>
          <w:color w:val="0A0A0A"/>
          <w:sz w:val="24"/>
        </w:rPr>
        <w:t xml:space="preserve">Flywire supports approximately 5,300** clients with diverse payment methods in more than 140 currencies across more than 240 countries and territories around the world. Flywire is headquartered in Boston, MA, USA, with global offices. For more information, visit </w:t>
      </w:r>
      <w:r>
        <w:rPr>
          <w:rFonts w:ascii="Arial" w:hAnsi="Arial"/>
          <w:sz w:val="24"/>
        </w:rPr>
        <w:t>www.flywire.com</w:t>
      </w:r>
      <w:r>
        <w:rPr>
          <w:rFonts w:ascii="Arial" w:hAnsi="Arial"/>
          <w:color w:val="0A0A0A"/>
          <w:sz w:val="24"/>
        </w:rPr>
        <w:t xml:space="preserve">. Follow Flywire on </w:t>
      </w:r>
      <w:r>
        <w:rPr>
          <w:rFonts w:ascii="Arial" w:hAnsi="Arial"/>
          <w:sz w:val="24"/>
        </w:rPr>
        <w:t>X</w:t>
      </w:r>
      <w:r>
        <w:rPr>
          <w:rFonts w:ascii="Times New Roman" w:hAnsi="Times New Roman"/>
          <w:color w:val="0A0A0A"/>
          <w:sz w:val="20"/>
        </w:rPr>
        <w:t xml:space="preserve"> </w:t>
      </w:r>
      <w:r>
        <w:rPr>
          <w:rFonts w:ascii="Arial" w:hAnsi="Arial"/>
          <w:color w:val="0A0A0A"/>
          <w:sz w:val="24"/>
        </w:rPr>
        <w:t xml:space="preserve">(formerly known as Twitter), </w:t>
      </w:r>
      <w:r>
        <w:rPr>
          <w:rFonts w:ascii="Arial" w:hAnsi="Arial"/>
          <w:sz w:val="24"/>
        </w:rPr>
        <w:t>LinkedIn</w:t>
      </w:r>
      <w:r>
        <w:rPr>
          <w:rFonts w:ascii="Times New Roman" w:hAnsi="Times New Roman"/>
          <w:color w:val="0A0A0A"/>
          <w:sz w:val="20"/>
        </w:rPr>
        <w:t xml:space="preserve"> </w:t>
      </w:r>
      <w:r>
        <w:rPr>
          <w:rFonts w:ascii="Arial" w:hAnsi="Arial"/>
          <w:color w:val="0A0A0A"/>
          <w:sz w:val="24"/>
        </w:rPr>
        <w:t xml:space="preserve">and </w:t>
      </w:r>
      <w:r>
        <w:rPr>
          <w:rFonts w:ascii="Arial" w:hAnsi="Arial"/>
          <w:sz w:val="24"/>
        </w:rPr>
        <w:t>Facebook</w:t>
      </w:r>
      <w:r>
        <w:rPr>
          <w:rFonts w:ascii="Arial" w:hAnsi="Arial"/>
          <w:color w:val="0A0A0A"/>
          <w:sz w:val="24"/>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Arial" w:hAnsi="Arial"/>
          <w:i/>
          <w:color w:val="0A0A0A"/>
          <w:sz w:val="22"/>
        </w:rPr>
      </w:pPr>
      <w:r>
        <w:rPr>
          <w:rFonts w:ascii="Arial" w:hAnsi="Arial"/>
          <w:i/>
          <w:color w:val="0A0A0A"/>
          <w:sz w:val="22"/>
        </w:rPr>
        <w:t>**Excludes clients from Flywire’s Sertifi and Invoiced acquisitions</w:t>
      </w:r>
    </w:p>
    <w:p>
      <w:pPr>
        <w:pStyle w:val="TextBody"/>
        <w:bidi w:val="0"/>
        <w:spacing w:before="0" w:after="240"/>
        <w:jc w:val="left"/>
        <w:rPr>
          <w:rFonts w:ascii="Arial" w:hAnsi="Arial"/>
          <w:b/>
          <w:i/>
          <w:color w:val="0A0A0A"/>
          <w:sz w:val="24"/>
        </w:rPr>
      </w:pPr>
      <w:r>
        <w:rPr>
          <w:rFonts w:ascii="Arial" w:hAnsi="Arial"/>
          <w:b/>
          <w:i/>
          <w:color w:val="0A0A0A"/>
          <w:sz w:val="24"/>
        </w:rPr>
        <w:t>Safe Harbor Statement</w:t>
      </w:r>
    </w:p>
    <w:p>
      <w:pPr>
        <w:pStyle w:val="TextBody"/>
        <w:bidi w:val="0"/>
        <w:spacing w:before="0" w:after="240"/>
        <w:jc w:val="left"/>
        <w:rPr>
          <w:rFonts w:ascii="Times New Roman" w:hAnsi="Times New Roman"/>
          <w:sz w:val="20"/>
        </w:rPr>
      </w:pPr>
      <w:r>
        <w:rPr>
          <w:rFonts w:ascii="Arial" w:hAnsi="Arial"/>
          <w:color w:val="0A0A0A"/>
          <w:sz w:val="24"/>
        </w:rPr>
        <w:t>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FX Neutral Revenue Less Ancillary Services growth, Adjusted EBITDA margin growth and foreign exchange rates.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recent and future acquisitions or investments in complementary companies, products, services, or technologies; uncertainties associated with the timing and scope of future repurchases by FLYW of its common stock under its repurchase program, which may be discontinued, accelerated, suspended or delayed at any time due to various factors, including market conditions and the level of other investing activities and uses of cash; Flywire’s ability to enter new client verticals, including its relatively new hospitality sector; Flywire’s expectations regarding anticipated technology needs and developments and its ability to address those needs and developments with its solutions;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Flywire’s ability to adapt its business to changes in government policy regarding tariffs and immigration; economic and industry trends, including the risk of a global recession, projected growth, or trend analysis; the effects of global events and geopolitical conflicts, including without limitation the ongoing hostilities in Ukraine and involving Israel, Hamas and Iran; Flywire’s ability to adapt to recommended or implemented U.S. policy changes, in particular those that impact higher education, the desire for foreign students to</w:t>
      </w:r>
      <w:r>
        <w:rPr>
          <w:rFonts w:ascii="Times New Roman" w:hAnsi="Times New Roman"/>
          <w:color w:val="0A0A0A"/>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40"/>
        <w:jc w:val="left"/>
        <w:rPr>
          <w:rFonts w:ascii="Times New Roman" w:hAnsi="Times New Roman"/>
          <w:sz w:val="20"/>
        </w:rPr>
      </w:pPr>
      <w:r>
        <w:rPr>
          <w:rFonts w:ascii="Arial" w:hAnsi="Arial"/>
          <w:color w:val="0A0A0A"/>
          <w:sz w:val="24"/>
        </w:rPr>
        <w:t xml:space="preserve">study in the U.S., immigration and visa policy, and changes to regulatory agencies and depth of enforcement of regulations; Flywire’s ability to adapt to changes in U.S. federal income or other tax laws or the interpretation of tax laws, including the Inflation Reduction Act of 2022 and The One Big Beautiful Bill Act of 2025;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w:t>
      </w:r>
      <w:r>
        <w:rPr>
          <w:rFonts w:ascii="Arial" w:hAnsi="Arial"/>
          <w:color w:val="000000"/>
          <w:sz w:val="24"/>
        </w:rPr>
        <w:t xml:space="preserve">ended December 31, 2025 and </w:t>
      </w:r>
      <w:r>
        <w:rPr>
          <w:rFonts w:ascii="Arial" w:hAnsi="Arial"/>
          <w:color w:val="0A0A0A"/>
          <w:sz w:val="24"/>
        </w:rPr>
        <w:t xml:space="preserve">Quarterly Report on Form 10-Q for the quarter ended March 31, 2026, </w:t>
      </w:r>
      <w:r>
        <w:rPr>
          <w:rFonts w:ascii="Arial" w:hAnsi="Arial"/>
          <w:color w:val="000000"/>
          <w:sz w:val="24"/>
        </w:rPr>
        <w:t>whi</w:t>
      </w:r>
      <w:r>
        <w:rPr>
          <w:rFonts w:ascii="Arial" w:hAnsi="Arial"/>
          <w:color w:val="0A0A0A"/>
          <w:sz w:val="24"/>
        </w:rPr>
        <w:t>ch are on file with the Securities and Exchange Commission (SEC) and available on the SEC's website at</w:t>
      </w:r>
      <w:r>
        <w:rPr>
          <w:rFonts w:ascii="Times New Roman" w:hAnsi="Times New Roman"/>
          <w:sz w:val="20"/>
        </w:rPr>
        <w:t xml:space="preserve"> </w:t>
      </w:r>
      <w:r>
        <w:rPr>
          <w:rFonts w:ascii="Arial" w:hAnsi="Arial"/>
          <w:sz w:val="24"/>
        </w:rPr>
        <w:t>https://www.sec.gov/</w:t>
      </w:r>
      <w:r>
        <w:rPr>
          <w:rFonts w:ascii="Arial" w:hAnsi="Arial"/>
          <w:color w:val="0A0A0A"/>
          <w:sz w:val="24"/>
        </w:rPr>
        <w:t>. Additional factors may be described in those sections of Flywire’s Quarterly Report on Form 10-Q for the quarter ended June 30, 2026, expected to be filed in the third quarter of 2026.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pStyle w:val="TextBody"/>
        <w:bidi w:val="0"/>
        <w:spacing w:before="0" w:after="240"/>
        <w:jc w:val="left"/>
        <w:rPr>
          <w:rFonts w:ascii="Arial" w:hAnsi="Arial"/>
          <w:b/>
          <w:color w:val="000000"/>
          <w:sz w:val="24"/>
        </w:rPr>
      </w:pPr>
      <w:r>
        <w:rPr>
          <w:rFonts w:ascii="Arial" w:hAnsi="Arial"/>
          <w:b/>
          <w:color w:val="000000"/>
          <w:sz w:val="24"/>
        </w:rPr>
        <w:t>Contacts</w:t>
      </w:r>
    </w:p>
    <w:p>
      <w:pPr>
        <w:pStyle w:val="TextBody"/>
        <w:bidi w:val="0"/>
        <w:jc w:val="left"/>
        <w:rPr>
          <w:rFonts w:ascii="Times New Roman" w:hAnsi="Times New Roman"/>
          <w:sz w:val="20"/>
        </w:rPr>
      </w:pPr>
      <w:r>
        <w:rPr>
          <w:rFonts w:ascii="Arial" w:hAnsi="Arial"/>
          <w:b/>
          <w:color w:val="000000"/>
          <w:sz w:val="24"/>
        </w:rPr>
        <w:t>Investor Relations</w:t>
      </w:r>
      <w:r>
        <w:rPr>
          <w:rFonts w:ascii="Arial" w:hAnsi="Arial"/>
          <w:color w:val="000000"/>
          <w:sz w:val="24"/>
        </w:rPr>
        <w:t>:</w:t>
      </w:r>
    </w:p>
    <w:p>
      <w:pPr>
        <w:pStyle w:val="TextBody"/>
        <w:bidi w:val="0"/>
        <w:jc w:val="left"/>
        <w:rPr>
          <w:rFonts w:ascii="Arial" w:hAnsi="Arial"/>
          <w:color w:val="000000"/>
          <w:sz w:val="24"/>
        </w:rPr>
      </w:pPr>
      <w:r>
        <w:rPr>
          <w:rFonts w:ascii="Arial" w:hAnsi="Arial"/>
          <w:color w:val="000000"/>
          <w:sz w:val="24"/>
        </w:rPr>
        <w:t>Masha Kahn</w:t>
      </w:r>
    </w:p>
    <w:p>
      <w:pPr>
        <w:pStyle w:val="TextBody"/>
        <w:bidi w:val="0"/>
        <w:jc w:val="left"/>
        <w:rPr>
          <w:rFonts w:ascii="Times New Roman" w:hAnsi="Times New Roman"/>
          <w:sz w:val="20"/>
        </w:rPr>
      </w:pPr>
      <w:r>
        <w:rPr>
          <w:rFonts w:ascii="Arial" w:hAnsi="Arial"/>
          <w:b/>
          <w:color w:val="1155CC"/>
          <w:sz w:val="24"/>
          <w:u w:val="single"/>
        </w:rPr>
        <w:t>ir@Flywire.com</w:t>
      </w:r>
      <w:r>
        <w:rPr>
          <w:rFonts w:ascii="Times New Roman" w:hAnsi="Times New Roman"/>
          <w:color w:val="48B985"/>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Media</w:t>
      </w:r>
      <w:r>
        <w:rPr>
          <w:rFonts w:ascii="Arial" w:hAnsi="Arial"/>
          <w:color w:val="000000"/>
          <w:sz w:val="24"/>
        </w:rPr>
        <w:t>:</w:t>
      </w:r>
    </w:p>
    <w:p>
      <w:pPr>
        <w:pStyle w:val="TextBody"/>
        <w:bidi w:val="0"/>
        <w:jc w:val="left"/>
        <w:rPr>
          <w:rFonts w:ascii="Arial" w:hAnsi="Arial"/>
          <w:color w:val="000000"/>
          <w:sz w:val="24"/>
        </w:rPr>
      </w:pPr>
      <w:r>
        <w:rPr>
          <w:rFonts w:ascii="Arial" w:hAnsi="Arial"/>
          <w:color w:val="000000"/>
          <w:sz w:val="24"/>
        </w:rPr>
        <w:t>Sarah King</w:t>
      </w:r>
    </w:p>
    <w:p>
      <w:pPr>
        <w:pStyle w:val="TextBody"/>
        <w:bidi w:val="0"/>
        <w:jc w:val="left"/>
        <w:rPr>
          <w:rFonts w:ascii="Times New Roman" w:hAnsi="Times New Roman"/>
          <w:sz w:val="20"/>
        </w:rPr>
      </w:pPr>
      <w:r>
        <w:rPr>
          <w:rFonts w:ascii="Arial" w:hAnsi="Arial"/>
          <w:b/>
          <w:color w:val="1155CC"/>
          <w:sz w:val="24"/>
          <w:u w:val="single"/>
        </w:rPr>
        <w:t>Media@Flywire.com</w:t>
      </w:r>
      <w:r>
        <w:rPr>
          <w:rFonts w:ascii="Times New Roman" w:hAnsi="Times New Roman"/>
          <w:color w:val="48B985"/>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olor w:val="000000"/>
          <w:sz w:val="20"/>
        </w:rPr>
      </w:pPr>
      <w:r>
        <w:rPr>
          <w:rFonts w:ascii="Arial" w:hAnsi="Arial"/>
          <w:b/>
          <w:color w:val="000000"/>
          <w:sz w:val="20"/>
        </w:rPr>
        <w:t>Condensed Consolidated Statements of Operations and Comprehensive (Loss) Income</w:t>
      </w:r>
    </w:p>
    <w:p>
      <w:pPr>
        <w:pStyle w:val="TextBody"/>
        <w:bidi w:val="0"/>
        <w:spacing w:before="0" w:after="200"/>
        <w:jc w:val="center"/>
        <w:rPr>
          <w:rFonts w:ascii="Arial" w:hAnsi="Arial"/>
          <w:b/>
          <w:color w:val="000000"/>
          <w:sz w:val="20"/>
        </w:rPr>
      </w:pPr>
      <w:r>
        <w:rPr>
          <w:rFonts w:ascii="Arial" w:hAnsi="Arial"/>
          <w:b/>
          <w:color w:val="000000"/>
          <w:sz w:val="20"/>
        </w:rPr>
        <w:t>(Unaudited) (Amounts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4168"/>
        <w:gridCol w:w="146"/>
        <w:gridCol w:w="211"/>
        <w:gridCol w:w="1141"/>
        <w:gridCol w:w="146"/>
        <w:gridCol w:w="211"/>
        <w:gridCol w:w="1141"/>
        <w:gridCol w:w="146"/>
        <w:gridCol w:w="211"/>
        <w:gridCol w:w="1141"/>
        <w:gridCol w:w="146"/>
        <w:gridCol w:w="211"/>
        <w:gridCol w:w="1186"/>
      </w:tblGrid>
      <w:tr>
        <w:trPr/>
        <w:tc>
          <w:tcPr>
            <w:tcW w:w="41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355,856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265,343</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 processing services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104,450</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34,017</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74,946</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63,233</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8,690</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140,896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347,845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285,336</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(19,993)</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(1,789)</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4,023</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gain from remeasurement of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7,523</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9,923</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(10,070)</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6,097</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(16,167)</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9,332</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Unrealized losses on available-for-sale debt securities, net of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9,167</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(5,283)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(7,000)</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attributable to common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(16,167)</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per share attributable to common stockholders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(0.13)</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 per share attributable to common stockholders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(0.13)</w:t>
            </w:r>
          </w:p>
        </w:tc>
      </w:tr>
      <w:tr>
        <w:trPr/>
        <w:tc>
          <w:tcPr>
            <w:tcW w:w="41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common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122,404,404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121,852,349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122,290,676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122,539,986</w:t>
            </w:r>
          </w:p>
        </w:tc>
      </w:tr>
      <w:tr>
        <w:trPr/>
        <w:tc>
          <w:tcPr>
            <w:tcW w:w="41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common shares outstanding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122,404,404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121,852,349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128,361,845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122,539,986</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olor w:val="000000"/>
          <w:sz w:val="20"/>
        </w:rPr>
      </w:pPr>
      <w:r>
        <w:rPr>
          <w:rFonts w:ascii="Arial" w:hAnsi="Arial"/>
          <w:b/>
          <w:color w:val="000000"/>
          <w:sz w:val="20"/>
        </w:rPr>
        <w:t>Condensed Consolidated Balance Sheets</w:t>
      </w:r>
    </w:p>
    <w:p>
      <w:pPr>
        <w:pStyle w:val="TextBody"/>
        <w:bidi w:val="0"/>
        <w:spacing w:before="0" w:after="200"/>
        <w:jc w:val="center"/>
        <w:rPr>
          <w:rFonts w:ascii="Arial" w:hAnsi="Arial"/>
          <w:b/>
          <w:color w:val="000000"/>
          <w:sz w:val="20"/>
        </w:rPr>
      </w:pPr>
      <w:r>
        <w:rPr>
          <w:rFonts w:ascii="Arial" w:hAnsi="Arial"/>
          <w:b/>
          <w:color w:val="000000"/>
          <w:sz w:val="20"/>
        </w:rPr>
        <w:t>(Unaudited) (Amounts in thousands, except par value per share and share amounts)</w:t>
      </w:r>
    </w:p>
    <w:tbl>
      <w:tblPr>
        <w:tblW w:w="10205" w:type="dxa"/>
        <w:jc w:val="left"/>
        <w:tblInd w:w="0" w:type="dxa"/>
        <w:tblLayout w:type="fixed"/>
        <w:tblCellMar>
          <w:top w:w="28" w:type="dxa"/>
          <w:left w:w="28" w:type="dxa"/>
          <w:bottom w:w="28" w:type="dxa"/>
          <w:right w:w="28" w:type="dxa"/>
        </w:tblCellMar>
      </w:tblPr>
      <w:tblGrid>
        <w:gridCol w:w="7532"/>
        <w:gridCol w:w="146"/>
        <w:gridCol w:w="211"/>
        <w:gridCol w:w="931"/>
        <w:gridCol w:w="146"/>
        <w:gridCol w:w="220"/>
        <w:gridCol w:w="1019"/>
      </w:tblGrid>
      <w:tr>
        <w:trPr/>
        <w:tc>
          <w:tcPr>
            <w:tcW w:w="7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December 31,</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330,303</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24,692</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38,836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34,776</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Unbilled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20,522</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Funds receivable from payment partners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108,703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155,455</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36,540</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504,472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602,288</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22,125</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189,050</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406,507</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33,343</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1,162,986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1,253,313</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15,298</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Funds payable to clients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235,496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310,799</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55,715</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19,951</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330,917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401,763</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12,900</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3,479</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346,396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418,142</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Preferred stock, $0.0001 par value; 10,000,000 shares authorized, none issued and outstanding as of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Voting common stock, $0.0001 par value; 2,000,000,000 shares authorized, 133,968,610 shares issued and 121,609,147 shares outstanding as of June 30, 2026; 130,335,519 shares issued and 120,086,090 shares outstanding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Non-voting common stock, $0.0001 par value; 10,000,000 shares authorized, none issued and outstanding as of June 30, 2026, and 1,873,320 shares issued and outstanding as of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Treasury voting common stock, at cost; 12,359,463 and 10,249,429 shares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(118,636)</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1,142,573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1,108,679</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2,488</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(153,002)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(157,373)</w:t>
            </w:r>
          </w:p>
        </w:tc>
      </w:tr>
      <w:tr>
        <w:trPr/>
        <w:tc>
          <w:tcPr>
            <w:tcW w:w="75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816,590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835,171</w:t>
            </w:r>
          </w:p>
        </w:tc>
      </w:tr>
      <w:tr>
        <w:trPr/>
        <w:tc>
          <w:tcPr>
            <w:tcW w:w="75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1,162,986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1,253,313</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olor w:val="000000"/>
          <w:sz w:val="20"/>
        </w:rPr>
      </w:pPr>
      <w:r>
        <w:rPr>
          <w:rFonts w:ascii="Arial" w:hAnsi="Arial"/>
          <w:b/>
          <w:color w:val="000000"/>
          <w:sz w:val="20"/>
        </w:rPr>
        <w:t>Condensed Consolidated Statements of Cash Flows</w:t>
      </w:r>
    </w:p>
    <w:p>
      <w:pPr>
        <w:pStyle w:val="TextBody"/>
        <w:bidi w:val="0"/>
        <w:spacing w:before="0" w:after="200"/>
        <w:jc w:val="center"/>
        <w:rPr>
          <w:rFonts w:ascii="Arial" w:hAnsi="Arial"/>
          <w:b/>
          <w:color w:val="000000"/>
          <w:sz w:val="20"/>
        </w:rPr>
      </w:pPr>
      <w:r>
        <w:rPr>
          <w:rFonts w:ascii="Arial" w:hAnsi="Arial"/>
          <w:b/>
          <w:color w:val="000000"/>
          <w:sz w:val="20"/>
        </w:rPr>
        <w:t>(Unaudited) (Amounts in thousands)</w:t>
      </w:r>
    </w:p>
    <w:tbl>
      <w:tblPr>
        <w:tblW w:w="10205" w:type="dxa"/>
        <w:jc w:val="left"/>
        <w:tblInd w:w="0" w:type="dxa"/>
        <w:tblLayout w:type="fixed"/>
        <w:tblCellMar>
          <w:top w:w="28" w:type="dxa"/>
          <w:left w:w="28" w:type="dxa"/>
          <w:bottom w:w="28" w:type="dxa"/>
          <w:right w:w="28" w:type="dxa"/>
        </w:tblCellMar>
      </w:tblPr>
      <w:tblGrid>
        <w:gridCol w:w="7624"/>
        <w:gridCol w:w="146"/>
        <w:gridCol w:w="222"/>
        <w:gridCol w:w="839"/>
        <w:gridCol w:w="153"/>
        <w:gridCol w:w="222"/>
        <w:gridCol w:w="999"/>
      </w:tblGrid>
      <w:tr>
        <w:trPr/>
        <w:tc>
          <w:tcPr>
            <w:tcW w:w="76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(16,167)</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Adjustments to reconcile net income (loss) to 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Unrealized gain from remeasurement of foreign currency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(4,397)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(9,747)</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15,302</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12,270</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34,847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35,740</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Amortization of deferred contract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1,130</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768</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(502)</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tax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(2,387)</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1,003</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in provision for uncollectible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252</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197</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accretion of discounts and amortization of premiums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(595)</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Changes in operating assets and liabilities, net of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(4,709)</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(1,518)</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Funds receivable from payment partners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49,244</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2,090</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Prepaid expenses, other current assets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(16,989)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(16,247)</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Funds payable to clients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(73,365)</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(62,572)</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(2,138)</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(793)</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(622)</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501</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(2,914)</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5,254</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(60,879)</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Acquisitions of businesses, net of cash acquired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(319,835)</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 of short-term and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(14,802)</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the maturity and sale of short-term and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12,707</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142,334</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Capitalization of internally developed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(6,492)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(3,392)</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(412)</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(734)</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5,803</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(196,429)</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issuance of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125,000</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 of 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(65,000)</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Contingent consideration paid for 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(2,710)</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Payments of tax withholdings for net settled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(5,351)</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(2,364)</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repurchased including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(30,523)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(54,304)</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Non-voting common stock repurchased and retired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(29,036)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the issuance of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1,242</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Proceeds from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2,157</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1,753</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cash (used in)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(61,161)</w:t>
            </w:r>
          </w:p>
        </w:tc>
        <w:tc>
          <w:tcPr>
            <w:tcW w:w="1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9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3,617</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 of exchange rates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2,193</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8,135</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(47,911)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(245,556)</w:t>
            </w:r>
          </w:p>
        </w:tc>
      </w:tr>
      <w:tr>
        <w:trPr/>
        <w:tc>
          <w:tcPr>
            <w:tcW w:w="76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330,303</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495,242</w:t>
            </w:r>
          </w:p>
        </w:tc>
      </w:tr>
      <w:tr>
        <w:trPr/>
        <w:tc>
          <w:tcPr>
            <w:tcW w:w="76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282,392</w:t>
            </w:r>
          </w:p>
        </w:tc>
        <w:tc>
          <w:tcPr>
            <w:tcW w:w="1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249,686</w:t>
            </w:r>
          </w:p>
        </w:tc>
      </w:tr>
    </w:tbl>
    <w:p>
      <w:pPr>
        <w:pStyle w:val="TextBody"/>
        <w:bidi w:val="0"/>
        <w:spacing w:before="60" w:after="283"/>
        <w:jc w:val="left"/>
        <w:rPr>
          <w:rFonts w:ascii="Times New Roman" w:hAnsi="Times New Roman"/>
          <w:sz w:val="20"/>
        </w:rPr>
      </w:pPr>
      <w:r>
        <w:rPr>
          <w:rFonts w:ascii="Arial" w:hAnsi="Arial"/>
          <w:color w:val="000000"/>
          <w:sz w:val="18"/>
        </w:rPr>
        <w:t>* We have revised the six months ended June 30, 2025, Condensed Consolidated Statements of Cash Flows to correct</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classification errors identified and previously disclosed in our Form 10-Q during the nine month ended September 30, 2025.</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olor w:val="000000"/>
          <w:sz w:val="20"/>
        </w:rPr>
      </w:pPr>
      <w:r>
        <w:rPr>
          <w:rFonts w:ascii="Arial" w:hAnsi="Arial"/>
          <w:b/>
          <w:color w:val="000000"/>
          <w:sz w:val="20"/>
        </w:rPr>
        <w:t>Reconciliation of Non-GAAP Financial Measures</w:t>
      </w:r>
    </w:p>
    <w:p>
      <w:pPr>
        <w:pStyle w:val="TextBody"/>
        <w:bidi w:val="0"/>
        <w:spacing w:before="0" w:after="200"/>
        <w:jc w:val="center"/>
        <w:rPr>
          <w:rFonts w:ascii="Arial" w:hAnsi="Arial"/>
          <w:b/>
          <w:color w:val="000000"/>
          <w:sz w:val="20"/>
        </w:rPr>
      </w:pPr>
      <w:r>
        <w:rPr>
          <w:rFonts w:ascii="Arial" w:hAnsi="Arial"/>
          <w:b/>
          <w:color w:val="000000"/>
          <w:sz w:val="20"/>
        </w:rPr>
        <w:t>(Unaudited) (Amounts in millions, except percentages)</w:t>
      </w:r>
    </w:p>
    <w:p>
      <w:pPr>
        <w:pStyle w:val="TextBody"/>
        <w:bidi w:val="0"/>
        <w:spacing w:before="0" w:after="200"/>
        <w:jc w:val="left"/>
        <w:rPr>
          <w:rFonts w:ascii="Arial" w:hAnsi="Arial"/>
          <w:color w:val="000000"/>
          <w:sz w:val="20"/>
        </w:rPr>
      </w:pPr>
      <w:r>
        <w:rPr>
          <w:rFonts w:ascii="Arial" w:hAnsi="Arial"/>
          <w:color w:val="000000"/>
          <w:sz w:val="20"/>
        </w:rPr>
        <w:t>All dollar amounts in the tables below are rounded and as a result, certain amounts may not recalculate using the rounded amounts provided.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Revenue Less Ancillary Services, Adjusted Gross Profit, and Adjusted Gross Margin</w:t>
      </w:r>
    </w:p>
    <w:tbl>
      <w:tblPr>
        <w:tblW w:w="10205" w:type="dxa"/>
        <w:jc w:val="left"/>
        <w:tblInd w:w="0" w:type="dxa"/>
        <w:tblLayout w:type="fixed"/>
        <w:tblCellMar>
          <w:top w:w="28" w:type="dxa"/>
          <w:left w:w="28" w:type="dxa"/>
          <w:bottom w:w="28" w:type="dxa"/>
          <w:right w:w="28" w:type="dxa"/>
        </w:tblCellMar>
      </w:tblPr>
      <w:tblGrid>
        <w:gridCol w:w="5213"/>
        <w:gridCol w:w="146"/>
        <w:gridCol w:w="281"/>
        <w:gridCol w:w="828"/>
        <w:gridCol w:w="194"/>
        <w:gridCol w:w="281"/>
        <w:gridCol w:w="828"/>
        <w:gridCol w:w="146"/>
        <w:gridCol w:w="260"/>
        <w:gridCol w:w="765"/>
        <w:gridCol w:w="179"/>
        <w:gridCol w:w="260"/>
        <w:gridCol w:w="824"/>
      </w:tblGrid>
      <w:tr>
        <w:trPr/>
        <w:tc>
          <w:tcPr>
            <w:tcW w:w="52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5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gross up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Pass-through cost for printing and mailing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Marketing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163.8</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347.8</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256.2</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Payment processing services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104.5</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Hosting and amortization costs within technology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78.2</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159.5</w:t>
            </w:r>
          </w:p>
        </w:tc>
        <w:tc>
          <w:tcPr>
            <w:tcW w:w="1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109.8</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Exclude printing and mailing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Offset marketing fees against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Exclude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71.1</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95.8</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155.6</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55.2%</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58.7%</w:t>
            </w:r>
          </w:p>
        </w:tc>
      </w:tr>
      <w:tr>
        <w:trPr/>
        <w:tc>
          <w:tcPr>
            <w:tcW w:w="521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92.7</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203.2</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160.4</w:t>
            </w:r>
          </w:p>
        </w:tc>
      </w:tr>
      <w:tr>
        <w:trPr/>
        <w:tc>
          <w:tcPr>
            <w:tcW w:w="5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Gross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56.6%</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58.4%</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62.6%</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Revenue Less Ancillary Services Disaggregated by Revenue Type</w:t>
      </w:r>
    </w:p>
    <w:tbl>
      <w:tblPr>
        <w:tblW w:w="10205" w:type="dxa"/>
        <w:jc w:val="left"/>
        <w:tblInd w:w="0" w:type="dxa"/>
        <w:tblLayout w:type="fixed"/>
        <w:tblCellMar>
          <w:top w:w="28" w:type="dxa"/>
          <w:left w:w="28" w:type="dxa"/>
          <w:bottom w:w="28" w:type="dxa"/>
          <w:right w:w="28" w:type="dxa"/>
        </w:tblCellMar>
      </w:tblPr>
      <w:tblGrid>
        <w:gridCol w:w="2197"/>
        <w:gridCol w:w="146"/>
        <w:gridCol w:w="303"/>
        <w:gridCol w:w="823"/>
        <w:gridCol w:w="148"/>
        <w:gridCol w:w="454"/>
        <w:gridCol w:w="1040"/>
        <w:gridCol w:w="148"/>
        <w:gridCol w:w="223"/>
        <w:gridCol w:w="694"/>
        <w:gridCol w:w="146"/>
        <w:gridCol w:w="303"/>
        <w:gridCol w:w="823"/>
        <w:gridCol w:w="148"/>
        <w:gridCol w:w="454"/>
        <w:gridCol w:w="1039"/>
        <w:gridCol w:w="148"/>
        <w:gridCol w:w="222"/>
        <w:gridCol w:w="746"/>
      </w:tblGrid>
      <w:tr>
        <w:trPr/>
        <w:tc>
          <w:tcPr>
            <w:tcW w:w="2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2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 2025</w:t>
            </w:r>
          </w:p>
        </w:tc>
      </w:tr>
      <w:tr>
        <w:trPr/>
        <w:tc>
          <w:tcPr>
            <w:tcW w:w="2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Transaction</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Platform and other revenues</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Transaction</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Platform and other revenues</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r>
      <w:tr>
        <w:trPr/>
        <w:tc>
          <w:tcPr>
            <w:tcW w:w="2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100.6</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31.3</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w:t>
            </w:r>
          </w:p>
        </w:tc>
      </w:tr>
      <w:tr>
        <w:trPr/>
        <w:tc>
          <w:tcPr>
            <w:tcW w:w="2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gross up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Pass-through cost for printing and mailing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r>
      <w:tr>
        <w:trPr/>
        <w:tc>
          <w:tcPr>
            <w:tcW w:w="2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Marketing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r>
      <w:tr>
        <w:trPr/>
        <w:tc>
          <w:tcPr>
            <w:tcW w:w="2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135.9</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100.5</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27.1</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127.5</w:t>
            </w:r>
          </w:p>
        </w:tc>
      </w:tr>
      <w:tr>
        <w:trPr/>
        <w:tc>
          <w:tcPr>
            <w:tcW w:w="219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r>
      <w:tr>
        <w:trPr/>
        <w:tc>
          <w:tcPr>
            <w:tcW w:w="2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Percentage of 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82.9%</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78.8%</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20"/>
        <w:gridCol w:w="146"/>
        <w:gridCol w:w="303"/>
        <w:gridCol w:w="823"/>
        <w:gridCol w:w="146"/>
        <w:gridCol w:w="468"/>
        <w:gridCol w:w="1038"/>
        <w:gridCol w:w="146"/>
        <w:gridCol w:w="211"/>
        <w:gridCol w:w="687"/>
        <w:gridCol w:w="146"/>
        <w:gridCol w:w="303"/>
        <w:gridCol w:w="823"/>
        <w:gridCol w:w="146"/>
        <w:gridCol w:w="468"/>
        <w:gridCol w:w="1038"/>
        <w:gridCol w:w="146"/>
        <w:gridCol w:w="211"/>
        <w:gridCol w:w="736"/>
      </w:tblGrid>
      <w:tr>
        <w:trPr/>
        <w:tc>
          <w:tcPr>
            <w:tcW w:w="2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1"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 2025</w:t>
            </w:r>
          </w:p>
        </w:tc>
      </w:tr>
      <w:tr>
        <w:trPr/>
        <w:tc>
          <w:tcPr>
            <w:tcW w:w="2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Transaction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Platform and other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Transaction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Platform and other revenues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Revenue</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to exclude gross up for: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Pass-through cost for printing and mailing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Marketing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256.2</w:t>
            </w:r>
          </w:p>
        </w:tc>
      </w:tr>
      <w:tr>
        <w:trPr/>
        <w:tc>
          <w:tcPr>
            <w:tcW w:w="222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Percentage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r>
      <w:tr>
        <w:trPr/>
        <w:tc>
          <w:tcPr>
            <w:tcW w:w="222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Percentage of 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b/>
          <w:color w:val="000000"/>
          <w:sz w:val="20"/>
        </w:rPr>
      </w:pPr>
      <w:r>
        <w:rPr>
          <w:rFonts w:ascii="Arial" w:hAnsi="Arial"/>
          <w:b/>
          <w:color w:val="000000"/>
          <w:sz w:val="20"/>
        </w:rPr>
        <w:t>FX Neutral Revenue Less Ancillary Services</w:t>
      </w:r>
    </w:p>
    <w:tbl>
      <w:tblPr>
        <w:tblW w:w="10205" w:type="dxa"/>
        <w:jc w:val="left"/>
        <w:tblInd w:w="0" w:type="dxa"/>
        <w:tblLayout w:type="fixed"/>
        <w:tblCellMar>
          <w:top w:w="28" w:type="dxa"/>
          <w:left w:w="28" w:type="dxa"/>
          <w:bottom w:w="28" w:type="dxa"/>
          <w:right w:w="28" w:type="dxa"/>
        </w:tblCellMar>
      </w:tblPr>
      <w:tblGrid>
        <w:gridCol w:w="3281"/>
        <w:gridCol w:w="146"/>
        <w:gridCol w:w="305"/>
        <w:gridCol w:w="825"/>
        <w:gridCol w:w="211"/>
        <w:gridCol w:w="305"/>
        <w:gridCol w:w="825"/>
        <w:gridCol w:w="146"/>
        <w:gridCol w:w="146"/>
        <w:gridCol w:w="621"/>
        <w:gridCol w:w="146"/>
        <w:gridCol w:w="282"/>
        <w:gridCol w:w="763"/>
        <w:gridCol w:w="194"/>
        <w:gridCol w:w="282"/>
        <w:gridCol w:w="763"/>
        <w:gridCol w:w="146"/>
        <w:gridCol w:w="146"/>
        <w:gridCol w:w="672"/>
      </w:tblGrid>
      <w:tr>
        <w:trPr/>
        <w:tc>
          <w:tcPr>
            <w:tcW w:w="3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Growth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Growth</w:t>
            </w:r>
          </w:p>
        </w:tc>
      </w:tr>
      <w:tr>
        <w:trPr/>
        <w:tc>
          <w:tcPr>
            <w:tcW w:w="3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Rate</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355.9</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Ancillary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347.8</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w:t>
            </w:r>
          </w:p>
        </w:tc>
      </w:tr>
      <w:tr>
        <w:trPr/>
        <w:tc>
          <w:tcPr>
            <w:tcW w:w="32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Effects of foreign currency rate fluctuations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FX Neutral Revenue Less Ancillary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338.4</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Reconciliation of GAAP Operating Expenses to Non-GAAP Operating Expenses</w:t>
      </w:r>
    </w:p>
    <w:tbl>
      <w:tblPr>
        <w:tblW w:w="10132" w:type="dxa"/>
        <w:jc w:val="left"/>
        <w:tblInd w:w="0" w:type="dxa"/>
        <w:tblLayout w:type="fixed"/>
        <w:tblCellMar>
          <w:top w:w="28" w:type="dxa"/>
          <w:left w:w="28" w:type="dxa"/>
          <w:bottom w:w="28" w:type="dxa"/>
          <w:right w:w="28" w:type="dxa"/>
        </w:tblCellMar>
      </w:tblPr>
      <w:tblGrid>
        <w:gridCol w:w="4771"/>
        <w:gridCol w:w="146"/>
        <w:gridCol w:w="362"/>
        <w:gridCol w:w="825"/>
        <w:gridCol w:w="250"/>
        <w:gridCol w:w="362"/>
        <w:gridCol w:w="825"/>
        <w:gridCol w:w="146"/>
        <w:gridCol w:w="289"/>
        <w:gridCol w:w="803"/>
        <w:gridCol w:w="200"/>
        <w:gridCol w:w="289"/>
        <w:gridCol w:w="864"/>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4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GAAP Technology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37.8</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34.0</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Stock-based compensation expense and related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Technology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14.2</w:t>
            </w:r>
          </w:p>
        </w:tc>
        <w:tc>
          <w:tcPr>
            <w:tcW w:w="2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2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GAAP Selling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74.9</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Selling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w:t>
            </w:r>
          </w:p>
        </w:tc>
        <w:tc>
          <w:tcPr>
            <w:tcW w:w="25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36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58.6</w:t>
            </w:r>
          </w:p>
        </w:tc>
        <w:tc>
          <w:tcPr>
            <w:tcW w:w="2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58.4</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GAAP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63.2</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Stock-based compensation expense and related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47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 Acquisition related transaction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r>
      <w:tr>
        <w:trPr/>
        <w:tc>
          <w:tcPr>
            <w:tcW w:w="47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Non-GAAP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27.7</w:t>
            </w:r>
          </w:p>
        </w:tc>
        <w:tc>
          <w:tcPr>
            <w:tcW w:w="2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56.0</w:t>
            </w:r>
          </w:p>
        </w:tc>
        <w:tc>
          <w:tcPr>
            <w:tcW w:w="20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8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EBITDA, Adjusted EBITDA, and Adjusted EBITDA Margin</w:t>
      </w:r>
    </w:p>
    <w:tbl>
      <w:tblPr>
        <w:tblW w:w="9905" w:type="dxa"/>
        <w:jc w:val="left"/>
        <w:tblInd w:w="0" w:type="dxa"/>
        <w:tblLayout w:type="fixed"/>
        <w:tblCellMar>
          <w:top w:w="28" w:type="dxa"/>
          <w:left w:w="28" w:type="dxa"/>
          <w:bottom w:w="28" w:type="dxa"/>
          <w:right w:w="28" w:type="dxa"/>
        </w:tblCellMar>
      </w:tblPr>
      <w:tblGrid>
        <w:gridCol w:w="4546"/>
        <w:gridCol w:w="146"/>
        <w:gridCol w:w="302"/>
        <w:gridCol w:w="905"/>
        <w:gridCol w:w="209"/>
        <w:gridCol w:w="302"/>
        <w:gridCol w:w="905"/>
        <w:gridCol w:w="146"/>
        <w:gridCol w:w="275"/>
        <w:gridCol w:w="823"/>
        <w:gridCol w:w="190"/>
        <w:gridCol w:w="275"/>
        <w:gridCol w:w="88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4"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Six Months Ended June 30,</w:t>
            </w:r>
          </w:p>
        </w:tc>
      </w:tr>
      <w:tr>
        <w:trPr/>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(dollars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2026</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2025</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(16.2)</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 expense and related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Loss (gain) from remeasurement of foreign currency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Gain on available-for-sale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Indirect taxes related to intercompany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Acquisition-related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Restructuring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8.7</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20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30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63.3</w:t>
            </w:r>
          </w:p>
        </w:tc>
        <w:tc>
          <w:tcPr>
            <w:tcW w:w="19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38.0</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14.8%</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flyw-ex99_2.htm"/>
      <w:bookmarkStart w:id="5" w:name="ksflywex99_2"/>
      <w:bookmarkEnd w:id="4"/>
      <w:bookmarkEnd w:id="5"/>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Q2 2026 Earnings Supplement?August 4,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Disclosures This presentation includes forward-looking statements within the meaning of the Private Securities Litigation Reform Act of 1995 and Section 21E of the Securities Exchange Act of 1934, as amended.  All statements other than statements of historical facts contained in this presentation, including statements regarding the outcome of the operational and portfolio reviews, the costs, cash outlays, benefits, timing and financial impacts of the actions that may be taken or transactions entered into in connection with the operational and portfolio reviews, Flywire’s ability to successfully implement Flywire’s business plan, future results of operations and financial position, business strategy and plans, market growth and Flywire’s objectives for future operations, are forward -looking statements. The words “believe,” “may,” “will,” “estimate,” “continue,” “anticipate,” “intend,” “expect,” “plans,” “potential,” “seeks,” “projects,” “should,” “could” and “would” and similar expressions are intended to identify forward -looking statements, although not all forward-looking statements contain these identifying words. Flywire has based these forward-looking statements largely on Flywire’s current expectations and projections about future events and financial trends that Flywire believes may affect Flywire’s financial condition, results of operations, business strategy, short-term and long-term business operations and objectives, and financial needs. These forward-looking statements are subject to a number of risks, uncertainties and assumptions that are described in the "Risk Factors" and "Management's Discussion and Analysis of Financial Condition and Results of Operations" sections of Flywire's Annual Report on Form 10-K for the year ended December 31, 2025 and Quarterly Report on Form 10-Q for the end quarter ended March 31, 2026, which are on file with the Securities and Exchange Commission (SEC) and available on the SEC’s website at www.sec.gov. Additional factors may be described in those sections of Flywire’s Quarterly Report on Form 10-Q for the quarter ended June 30, 2026, expected to be filed with the SEC in the third quarter of 2026. In light of these risks, uncertainties and assumptions, the forward -looking events and circumstances discussed in this presentation may not occur and actual results could differ materially and adversely from those anticipated or implied in the forward-looking statements. You should not rely upon forward-looking statements as predictions of future events or performance.??In addition, projections, assumptions and estimates of the future performance of the industries in which Flywire operates and the markets it serves are inherently imprecise and subject to a high degree of uncertainty and risk. All financial projections contained in this presentation are forward -looking statements and are based on Flywire’s management’s assessment of such matters. It is unlikely, however, that the assumptions on which Flywire has based its projections will prove to be fully correct or that the projected figures will be attained. Flywire’s actual future results may differ materially from Flywire’s projections, and it makes no express or implied representation or warranty as to attainability of the results reflected in these projections. Investments in Flywire’s securities involve a high degree of risk and should be regarded as speculative.??The information in this presentation is provided only as of August 4, 2026, and Flywire undertakes no obligation to update any forward-looking statements contained in this presentation on account of new information, future events, or otherwise, except as required by law. This presentation contains certain non-GAAP financial measures as defined by SEC rules. Flywire has provided a reconciliation of those measures to the most directly comparable GAAP measures, which is available in the Appendix. The company has not provided a quantitative reconciliation of forecasted FX-Neutral Revenue Less Ancillary Services Growth to forecasted GAAP Revenue Growth or forecasted Adjusted EBITDA Margin Growth to forecasted GAAP Net Income Margin Growth or to forecasted GAAP net income (loss) before income taxes within this presentation because Flywire is unable, without making unreasonable efforts, to calculate certain reconciling items with confidence. These items include but are not limited to income taxes which are directly impacted by unpredictable fluctuations in the market price of the company's stock and in foreign exchange rates.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Backed by highly localized, verticalized support Clients Look to Flywire to Solve Payments Complexity Client?Delivered in?client’s environment One integration Settled in their currency Posted to system of record Disputes handled end-to-end Around-the-clock team with excellent payment and product knowledge across 25 languages and 16 countries An AI-first strategy that pairs rapid self-service with skilled care for complex cases Flywire Handles?complexity Specialized workflows Compliance &amp; screening FX, banking &amp; settlement ERP integration &amp; reconciliation Global payer support Payer?Selects from available payment methods Bank transfers Cards Local wallets Emerging methods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240+ countries &amp; territories 1,200+ local payment options 140+ currencies?reported Optimized ?intelligent?transaction routing ~6,000 geographic corridors Domestic + ?cross-border?payments Scalable global settlement infrastructure Broad local clearing &amp; local payment methods Our Global?Network Today We’ve built a global, regulatory-grade infrastructure platform that is very hard to replicate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Generic processors go a mile wide. Flywire goes a mile deep. Generic Processor Flywire What Flywire Does Tax &amp; FX compliance Handles country-specific FX controls and regulatory docs before fund outflow Tax obligations vary by market - we manage where required (e.g. WHT in India, Brazil) KYC &amp; regulatory System of Record reconciliation Integrates to each institution’s ERP; Built-in audit trails/reporting End-to-end transaction visibility – verified 'good funds' leads to better cash flow insight Payment Journey Stage Example: Education Tuition Payment Journey Local in, local out – collects in local currency via a large local banking network Local payment methods tailored to payer markets and use cases Many ways to pay Client KYC review; ensures funds reach legitimate destinations for legitimate purposes Rigorous transaction monitoring, regulation compliance, and currency controls Multi-jurisdictional - not a single-country vendor 1 2 3 4 Refunds &amp; disputes Returns funds to original sender, offloading global AML and complexity from the client Manages the chargeback and dispute process end-to-end 5 A generic processor moves money. Flywire manages complexity: moving money globally, compliantly, efficiently and accurately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Capability Point Solutions Generic Processor Flywire What Flywire Does Workflows + Payments connected Contracts, approvals, and payments in a single workflow Full agreement management for Hospitality Travel-specific payment types Partial Flexible scheduling of installments Group and split payments: each payer chooses their method and currency based on one Flywire shared balance. Enterprise-grade security &amp; compliance Partial Standard AML, compliance, and global security built-in Tailored tools and approaches by geography and payment type Global payment support Limited Some Extensive Seamless, localized experience with transparent exchange rates and round-the-clock multilingual support Workflow automation Limited Automated invoicing, payment matching and recon Payables offering for subcontractors/vendors Workflows, agreements and payments triggered in one flow Unified reporting &amp; visibility Partial Real-time visibility across deposits, billing, and recon Single source of truth for booking/reporting Travel-specific integrations Limited Limited Integrates directly with PMS/CRM/accounting software Eliminates manual data entry that others require Generic processors go a mile wide. Flywire goes a mile deep. Example: How Flywire Serves Travel Clients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Spotlight: SFS Delivering Measurable Impact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Due by 05/31/2026 Student Financial Software Billing &amp;?Account Presentment eBill 1098-T Sponsored billing eRefunds The complete platform for every student – from enrollment to collections Payments Domestic International Refunds eStore Payment?Plans Collections Management Flexible plans Real-time rebalancing Pre-collect Past-due Agency management Your Flywire University balance due has qualified for a payment plan. Please go to: https://flywireU.. myflywire.com Your FlywireU balance due has qualified for a payment plan. Please go to: https://flywireU.?myflywire.com Due by 05/31/2026 01/31/2026 01/31/2026 01/31/2026 Due by 05/18/2026 Due by 05/18/2026 01/10/2026 01/10/2026 01/10/2026 Built for ALL Students Deep SIS Integrations Global Payment Network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CASE STUDY Before Flywire SFS?Fall 2024 With Flywire SFS Payment Plan Default Rate Drops from 34% to 2% Initial license of Flywire XB in 2019 &gt; Went live with Flywire SFS in 2025 CASE STUDY The typical default rate on Flywire payment is historically less than 5% 34% ?default rate Less than 2% ?default rate Fall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Replacing a sunset Unit4 module became the catalyst for turning finance into a strategic driver of the?student experience “We couldn’t find anything else on the market that came close to it.” Chris Billington Head of Finance Shared Services Measurable Impact With Flywire SFS Consolidating tuition &amp; accommodation payments onto?Flywire's Student Financial Software, integrated with Unit4 92% payment plan completion up from 60% –?a 50%+ increase 6-Figure merchant fee savings from consolidating global payments and refined payment options with improved client economics Real-Time Transparency Self-service balances via Unit4 integration — balance enquiries virtually eliminated Fewer Escalations Staff resolve?queries at first contact, freeing?time for complex student needs Expanded Payment Choice 140+ local currencies and preferred local payment methods, all in one platform CASE STUDY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Spotlight: Digital Transformation (ADAPT)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Digital Transformation: Project ADAPT Speed Savings Scale Accelerate time to insight and organizational agility Example: Reduce sales quote generation and deal approval timelines Rationalize the tech stack and focus our human capital Example: Deprecate &gt;30 duplicative systems and footprint Build a scalable, AI-ready infrastructure Example: Support growth with optimized targeted hiring Standardization Create a unified set of processes + data models across the org Example: Standardize global People workflows and core Finance workflows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People + ?AI Agents Democratized Certified Data Redesigned ?end-to-end processes Unified &amp; simplified enterprise systems Workflows reimagined from the ground up to eliminate friction, reduce handoffs, and drive outcomes. Consolidated, modern core systems providing a single source of truth and a scalable foundation for growth. Accurate, consistent, and trusted data available to everyone? — people and AI agents — across the organization. Working side by side to get from insight to action — faster. Re-architecting the Operating Model A Multi-year Transformation INSIGHT DECISION ACTION From ?insight ?to action BUSINESS OUTCOMES Faster answers, fewer handoffs &amp; less work ?for Sales &amp; Marketing, R&amp;D/Product, G&amp;A S&amp;M R&amp;D / Product G&amp;A Higher revenue per rep Shorter sales cycles Better client targeting Faster innovation and iteration Better product decisions Agent-ready architecture Greater productivity Scalable operations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AI is already driving operating leverage across the business Scaling throughput across every function without proportional cost increases Rearchitecting data &amp; operating systems so people &amp; AI agents work side-by-side – structurally lowering the cost of scale AGENT-READY?BY DESIGN More ARR per rep with shorter implementation cycles ~45% ?of support inquiries auto-resolved without human intervention Months → weeks ?for complex code?Conversions and migrations Less manual work, more automation Customer Support?&amp; Experience Engineering?&amp; Product Sales &amp; Implementation Finance &amp; Core Operations Self-service rate reached?44.7% in Q2'26 Handling time and?cost per contact down 30%?? Contact volume grew?~19% in 1H26 while team?size declined by 2% AI code writing and automated prototyping are accelerating development timelines → 200+ engineering?hours saved?on just two SFS projects?(80 hrs on an API migration?+ 120 hrs on security improvements) AI-driven CRM automation?matches the right products?to clients with greater precision?→ boosted revenue?per rep AI-assisted implementations?→ faster client?onboarding AI-powered document verification?automates cross-border compliance?→ thousands of hours saved??AI now runs routine analysis?→ saving FTE time for higher-judgment work Manual Reporting down sharply and critical reports now generated in a fraction of time vs days before Step change in productivity gains for finance teams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2026E OPEX can scale efficiently A Multi-year Transformation LOWER?SCALING 34% Sales &amp; Relationship Management?(Education, Healthcare, Travel, B2B) MODERATE?SCALING 29% Marketing?Engineering?Product?Global Payments HIGH?SCALING 37% G&amp;A?Operations IT ?Risk &amp; Security Scaling classification reflects expected cost growth relative to gross profit over the mid-term: High = largely fixed costs Moderate = mix of fixed and variable costs Lower = largely variable, expected to grow with volume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Proven Operating Leverage as the Platform Scales aEBITDA/Headcount (1) (FTE) Adj. Gross Profit/Headcount (1) (FTE) 2022 2023 2024 2025 2022 2023 2024 2025 EBITDA- centric profitability inflected as we scaled Grew aGP/FTE efficiency Note (1): The average approximate number of FlyMates, including full-time employees and contractors, for the trailing four quarters.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$167.7M revenue $(8.1M)* net loss 53.4% gross margin *Q2 2026 includes a $2.9M FX loss compared to a $3.9M FX gain and $1.4M restructuring costs in Q2 2025 GAAP?Financial Highlights??Q2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Key Operating Metrics (Non-GAAP)??Q2 2026 $8.2B total payment?volume??+38.2%1 YoY $92.7M adjusted gross profit??19.0%1 YoY, 56.6%2 $24.0M adjusted EBITDA??44.5%1 YoY, 14.6%2 $163.8M revenue less ancillary services??+28.5%1 YoY 1. Represents Y-o-Y Growth as compared to Q225 2. Represents Margins as % of RLAS (Revenue Less Ancillary Services) See Appendix for reconciliation to GAAP amounts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Q2 Actual Performance vs. Guidance: Strong Beat Across the Board Actual Guide2 Beat Q2 2026 Q2 2026 Total RLAS1 $164 $156 +$8 Y/Y RLAS Spot Growth (%) 28% 23% ~550 bps Y/Y RLAS FxN Growth (%) 27% 21% ~590 bps aEBITDA1 $24 $21 +$2.5 aEBITDA Margin expansion - YoY ~+160 bps +75 bps +85 bps RLAS variance to?Guide Mid-Point: Beat FxN Revenue growth by ~ 590 bps primarily due to higher payment processing revenues, strength in Travel/EDU Reported $ Spot revenue beat by $8M Adjusted EBITDA Variance Mid-Point: Adjusted EBITDA was $2.5M ahead of the guide driven by top line beat and operational cost discipline 1. In US dollars millions 2.Refers to mid-point of guidance ranges, where applicable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Coding with AI Increase feature velocity and engineering productivity shortening development timelines Technical support streamlined with AI...issue triage and preliminary solutions managed via AI tools Data architecture investments to drive insights and predictive/ML/AI capabilities Highly scalable support, compliance and legal functions thanks to automation initiatives Procurement - vendor consolidation of systems, new procurement policy Leaning more into digital marketing for Travel Efficient upsells through customer education tools Faster Relationship Managers (RM) ramp up/ knowledge assistants/chatbots for internal use/competitive intelligence Driving Productivity/Leverage Across All Opex Lines Opportunities to Scale 1. Measures non-GAAP operating expenses as % of revenue less ancillary services (RLAS) Technology &amp; Development 1 General &amp; Admin 1 Sales &amp; Marketing 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Selected Customer Wins: Q2 2026 Strong New Client Wins &amp; Expansion Across Existing Customers SIGNED SFS ACCOUNTS NEW LIVE ACCOUNTS &amp; MAJOR EXPANSIONS Large Florida University Private Liberal Arts?University in Vermont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2026 &amp; Q3 Financial Outlook</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Q3 2026 Outlook 1. Flywire has not provided a quantitative reconciliation of forecasted FX Neutral revenue to GAAP revenue and Adjusted EBITDA margin to forecasted GAAP Net Income margin within this presentation because Flywire is unable, without making unreasonable efforts, to calculate certain reconciling items with confidence. These items include, but are not limited to income taxes which are directly impacted by unpredictable fluctuations in the market price of Flywire's stock and in foreign exchange rates. 2. As of 6/30/2026 exchange rates. As of August 4, 2026 FX changes vs 6/30/2026 rates were relatively immaterial FX-Neutral Revenue Less Ancillary Services Growth Adjusted EBITDA1 Margin Expansion (YoY) Total Flywire 16-22% YoY FXN 100-300 bps Estimated FX Benefit on RLAS: ~0-1%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FY 2026 Outlook 1. Flywire has not provided a quantitative reconciliation of forecasted Adjusted EBITDA margin to forecasted GAAP Net Income margin within this presentation because Flywire is unable, without making unreasonable efforts, to calculate certain reconciling items with confidence. These items include, but are not limited to income taxes which are directly impacted by unpredictable fluctuations in the market price of Flywire's stock and in foreign exchange rates 2. As of 6/30/2026 exchange rates. As of August 4, 2026 FX changes vs 6/30/2026 rates were relatively immaterial FX-Neutral Revenue Less Ancillary Services Growth Adjusted EBITDA1 Margin Expansion (YoY) Total Flywire 21-27% YoY FXN 200-400 bps Estimated FX Benefit on RLAS: ~2%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FY 2026 Guidance Assumptions EDU Macro Assumptions (Unchanged) Revenue Approx. 1.5% inorganic growth from Sertifi. Approx. 3-4% coming from payment processing ramps. Gross Margins Adjusted Gross Profit margin expected to decline ~350 bps in FY2026 due to payment processing ramp. Excl ramp, GM % decline would be ~200 bps for FY26, and exiting into 2027 in the normal ~100-200 bps annual range. aEBITDA (%) Improved productivity &amp; operating leverage, supporting our ability to grow operating expenses more efficiently relative to gross profit. 2026 Guidance Context North America U.S. visas down 30%; CAN visas down 10%. Offset by new client growth &amp; upsells to domestic payments. US education revenue to grow LSD % in 2026. CAN EDU expected to grow &gt; 10% YoY. EMEA Assuming visa approvals moderately down in the UK. Watching Q3-Q4 peak. Continued strong EMEA revenue growth (above company average) from further market share gains. APAC Assuming flat visas in AUS, while still assuming modest LSD revenue growth. Watching tighter visa requirements for Indian students.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UK USA CANADA AUSTRALIA Recent Visa/ Int’l Student Developments in Big 4 Markets Stiffer compliance thresholds causing universities to reduce recruitment in “high-risk” student source countries Significantly higher rejection rates &amp; visa processing delays concentrated in South Asia and Africa Int’l student visas capped at 4 years - need to apply for extension for longer programs Stricter review now decides if green card applicants adjust status in the US or forced to apply abroad $100,000 H-1B visa fee ruled unlawful, blocked by federal court 2026 Visa Cap at 155,000 — a 49% cut from 2025. But exemption for Master's and PhD students at public institutions. Provincial labour focus: eg prioritizing public postsecondary programs aligned with provincial labour market needs. Non-refundable application fee hikes as of July 2026: student visa costs AU$2,500, and Temporary Graduate visa is AU$5,750. Maintained target of 295,000 new int’l students for 2027 despite declining visa trends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Capital Allocation ?&amp; Structure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Capital Allocation Strategy Overview Organic Growth Investments??Geographic expansion GTM enhancement Deeper software integrations Ecosystem expansions with Strategic Payables &amp; International Agent solutions Strategic?Acquisitions??Accelerate within existing industry and / or geographies New product capability for cross-sells &amp; upsells Enter new geographies or regions Share?Buybacks?? Share Repurchase Program enables purchasing when projected return exceeds our cost of equity Prudent approach in maintaining operational liquidity and financial flexibility for organic investments &amp; strategic M&amp;A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Maintained strong total liquidity while returning capital Cash declined $50M from Q1 to Q2 2026, primarily driven by share repurchases, fulfilling our buyback commitment FCF reflects expected seasonal cash flow patterns and one-time transformation-related cash outflows; excluding these items, FCF would have been positive. 2Q26 Cash &amp; Liquidity Walk (US$M) (1) 217 03/31/26 Corporate Cash (1) (4) (49) 167 FCF (1) SBB 06/30/26 Corporate Cash (1) Credit Facility (Unfunded) 300 467 06/30/26 Total Liquidity ~ 3 Other (1) Please see definitions and reconciliations to the comparable GAAP metrics in the 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Share Buyback (SBB): ~$177M since program start Authorized $300M (-) Purchases through 06/30/26 $(177M) Remaining $123M We repurchased 3.1 M shares at an average price of $15.65 in 2Q26 Since program start, 12.1M shares have been repurchased at an average price of $14.68 (US$M) Shares Repurchased 2.3M 5.7M 4.0M 12.1M Average Price1 $18.84 $13.04 $14.62 $14.68 1 Excludes Commissions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rFonts w:ascii="Times New Roman" w:hAnsi="Times New Roman"/>
          <w:color w:val="FFFFFF"/>
          <w:sz w:val="2"/>
        </w:rPr>
        <w:t xml:space="preserve">Revenue Less Ancillary Services and Adjusted Gross Profit Reconciliations $USD in Millions (unaudited) All dollar amounts are rounded and as a result, certain amounts may not recalculate using the rounded amounts provided. </w:t>
      </w:r>
      <w:r>
        <w:rPr>
          <w:rFonts w:cs="Times New Roman"/>
          <w:color w:val="FFFFFF"/>
          <w:szCs w:val="2"/>
        </w:rPr>
        <w: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rFonts w:ascii="Times New Roman" w:hAnsi="Times New Roman"/>
          <w:color w:val="FFFFFF"/>
          <w:sz w:val="2"/>
        </w:rPr>
        <w:t xml:space="preserve">Revenue Less Ancillary Services Disaggregation by Revenue Type $USD in Millions (unaudited) All dollar amounts are rounded and as a result, certain amounts may not recalculate using the rounded amounts provided. </w:t>
      </w:r>
      <w:r>
        <w:rPr>
          <w:rFonts w:cs="Times New Roman"/>
          <w:color w:val="FFFFFF"/>
          <w:szCs w:val="2"/>
        </w:rPr>
        <w: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rFonts w:ascii="Times New Roman" w:hAnsi="Times New Roman"/>
          <w:color w:val="FFFFFF"/>
          <w:sz w:val="2"/>
        </w:rPr>
        <w:t xml:space="preserve">FX Neutral Revenue Less Ancillary Services Reconciliation $USD in Millions (unaudited) All dollar amounts are rounded and as a result, certain amounts may not recalculate using the rounded amounts provided. </w:t>
      </w:r>
      <w:r>
        <w:rPr>
          <w:rFonts w:cs="Times New Roman"/>
          <w:color w:val="FFFFFF"/>
          <w:szCs w:val="2"/>
        </w:rPr>
        <w: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rFonts w:ascii="Times New Roman" w:hAnsi="Times New Roman"/>
          <w:color w:val="FFFFFF"/>
          <w:sz w:val="2"/>
        </w:rPr>
        <w:t xml:space="preserve">Net Loss to Adjusted EBITDA Reconciliation $USD in Millions (unaudited) All dollar amounts are rounded and as a result, certain amounts may not recalculate using the rounded amounts provided. </w:t>
      </w:r>
      <w:r>
        <w:rPr>
          <w:rFonts w:cs="Times New Roman"/>
          <w:color w:val="FFFFFF"/>
          <w:szCs w:val="2"/>
        </w:rPr>
        <w: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rFonts w:ascii="Times New Roman" w:hAnsi="Times New Roman"/>
          <w:color w:val="FFFFFF"/>
          <w:sz w:val="2"/>
        </w:rPr>
        <w:t xml:space="preserve">Non-GAAP Operating Expenses Reconciliation $USD in Millions (unaudited) All dollar amounts are rounded and as a result, certain amounts may not recalculate using the rounded amounts provided. </w:t>
      </w:r>
      <w:r>
        <w:rPr>
          <w:rFonts w:cs="Times New Roman"/>
          <w:color w:val="FFFFFF"/>
          <w:szCs w:val="2"/>
        </w:rPr>
        <w: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rFonts w:ascii="Times New Roman" w:hAnsi="Times New Roman"/>
          <w:color w:val="FFFFFF"/>
          <w:sz w:val="2"/>
        </w:rPr>
        <w:t xml:space="preserve">Net Margin, EBITDA Margin, and Adjusted EBITDA Margin $USD in Millions (unaudited) All dollar amounts are rounded and as a result, certain amounts may not recalculate using the rounded amounts provided. </w:t>
      </w:r>
      <w:r>
        <w:rPr>
          <w:rFonts w:cs="Times New Roman"/>
          <w:color w:val="FFFFFF"/>
          <w:szCs w:val="2"/>
        </w:rPr>
        <w: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rFonts w:ascii="Times New Roman" w:hAnsi="Times New Roman"/>
          <w:color w:val="FFFFFF"/>
          <w:sz w:val="2"/>
        </w:rPr>
        <w:t xml:space="preserve">Free Cash Flow Reconciliation $USD in Millions (unaudited) All dollar amounts are rounded and as a result, certain amounts may not recalculate using the rounded amounts provided. </w:t>
      </w:r>
      <w:r>
        <w:rPr>
          <w:rFonts w:cs="Times New Roman"/>
          <w:color w:val="FFFFFF"/>
          <w:szCs w:val="2"/>
        </w:rPr>
        <w: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rFonts w:ascii="Times New Roman" w:hAnsi="Times New Roman"/>
          <w:color w:val="FFFFFF"/>
          <w:sz w:val="2"/>
        </w:rPr>
        <w:t xml:space="preserve">Corporate Cash Reconciliation $USD in Millions (unaudited) All dollar amounts are rounded and as a result, certain amounts may not recalculate using the rounded amounts provided. </w:t>
      </w:r>
      <w:r>
        <w:rPr>
          <w:rFonts w:cs="Times New Roman"/>
          <w:color w:val="FFFFFF"/>
          <w:szCs w:val="2"/>
        </w:rPr>
        <w: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Non-GAAP Definitions Revenue Less Ancillary Services. Revenue Less Ancillary Services represents the Company’s consolidated revenue in accordance with GAAP less (i) pass-through cost for printing and mailing services and (ii) marketing fees. 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if applicable. Adjusted Gross Margin represents Adjusted Gross Profit divided by Revenue Less Ancillary Services. Adjusted EBITDA. EBITDA represents our consolidated net income (loss) in accordance with GAAP adjusted to exclude (i) interest expense, (ii) interest income, (iii) (benefit from) provision for income taxes and (iv) depreciation and amortization. Adjusted EBITDA represents EBITDA further adjusted by excluding (a) stock-based compensation expense and related payroll taxes, (b) the impact from the change in fair value measurement for contingent consideration associated with acquisitions,(c) gain (loss) from the remeasurement of foreign currency, (d) indirect taxes related to intercompany activity, (e) acquisition related transaction costs, (f) employee retention costs, such as incentive compensation, associated with acquisition activities, (g) restructuring costs, and (h) gain (loss) from investments. Adjusted EBITDA Margin. Adjusted EBITDA Margin represents Adjusted EBITDA divided by Revenue Less Ancillary Services. FX Neutral Revenue Less Ancillary Services. FX Neutral Revenue Less Ancillary Services represents Revenue Less Ancillary Services adjusted to show presentation on a FX Neutral basis. The FX Neutral information presented is calculated by translating current-period results using prior-period weighted average foreign currency exchange rates.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Non-GAAP Definitions Non-GAAP Operating Expenses. Non-GAAP Operating Expenses represents GAAP Operating Expenses adjusted by excluding (i) stock-based compensation expense and related payroll taxes, (ii) depreciation and amortization, (iii) acquisition related transaction costs, if applicable, (iv) employee retention costs, such as incentive compensation, associated with acquisition activities, (v) the impact from the change in fair value measurement for contingent consideration associated with acquisitions and (vi) restructuring costs. Free Cash Flow. Free Cash Flow represents the Company’s net cash provided by (used in) operating activities less (i) purchases of property and equipment and (ii) capitalization of internally developed software and excluding (iii) changes in funds receivable from payment partners and (iv) changes in funds payable to clients, Corporate Cash. Corporate Cash represents the Company’s (i) cash and cash equivalents, (ii) short-term investments, (iii) long-term investments, excluding (iv) funds receivable from payment partners and (v) funds payable to clients.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10053</Words>
  <Characters>59846</Characters>
  <CharactersWithSpaces>70145</CharactersWithSpaces>
  <Paragraphs>2403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