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Massaro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36"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03/13/2025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03/13/2025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9"/>
              </w:rPr>
              <w:t>765,550</w:t>
            </w:r>
            <w:r>
              <w:rPr>
                <w:rFonts w:ascii="Times New Roman" w:cs="Times New Roman" w:eastAsia="Times New Roman" w:hAnsi="Times New Roman"/>
                <w:sz w:val="22"/>
                <w:szCs w:val="22"/>
                <w:color w:val="008000"/>
                <w:w w:val="99"/>
                <w:vertAlign w:val="superscript"/>
              </w:rPr>
              <w:t>(1)</w:t>
            </w:r>
          </w:p>
        </w:tc>
        <w:tc>
          <w:tcPr>
            <w:tcW w:w="3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1,918,414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657,236</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307,548</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center"/>
              <w:ind w:left="43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underlying a time-based restricted stock unit award (RSU). The RSU vests with respect to 25% of the shares on March 1, 2026, with the remainder vesting in equal quarterly installments over the following three years, provided that the Reporting Person has provided continuous service to the Issuer through the applicable vesting date.</w:t>
      </w:r>
    </w:p>
    <w:p>
      <w:pPr>
        <w:spacing w:after="0" w:line="7"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Meredith E. Massaro Revocable Trust dated November 1, 2017,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Massaro</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03/17/2025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130"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2025-03-17T15:36:18Z</dcterms:created>
  <dcterms:modified xsi:type="dcterms:W3CDTF">2025-03-17T15:36:18Z</dcterms:modified>
</cp:coreProperties>
</file>