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897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89724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808"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Massaro Michael</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(Last)</w:t>
            </w:r>
          </w:p>
        </w:tc>
        <w:tc>
          <w:tcPr>
            <w:tcW w:w="1440" w:type="dxa"/>
            <w:vAlign w:val="bottom"/>
          </w:tcPr>
          <w:p>
            <w:pPr>
              <w:ind w:left="260"/>
              <w:spacing w:after="0"/>
              <w:rPr>
                <w:sz w:val="20"/>
                <w:szCs w:val="20"/>
                <w:color w:val="auto"/>
              </w:rPr>
            </w:pPr>
            <w:r>
              <w:rPr>
                <w:rFonts w:ascii="Arial" w:cs="Arial" w:eastAsia="Arial" w:hAnsi="Arial"/>
                <w:sz w:val="14"/>
                <w:szCs w:val="14"/>
                <w:color w:val="auto"/>
              </w:rPr>
              <w:t>(First)</w:t>
            </w:r>
          </w:p>
        </w:tc>
        <w:tc>
          <w:tcPr>
            <w:tcW w:w="1220" w:type="dxa"/>
            <w:vAlign w:val="bottom"/>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0000FF"/>
                <w:w w:val="93"/>
              </w:rPr>
              <w:t>C/O FLYWIRE CORPORATION</w:t>
            </w:r>
          </w:p>
        </w:tc>
        <w:tc>
          <w:tcPr>
            <w:tcW w:w="12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141 TREMONT STREET, SUITE 10</w:t>
            </w:r>
          </w:p>
        </w:tc>
      </w:tr>
      <w:tr>
        <w:trPr>
          <w:trHeight w:val="158"/>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270"/>
        </w:trPr>
        <w:tc>
          <w:tcPr>
            <w:tcW w:w="10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4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8"/>
                <w:szCs w:val="18"/>
                <w:color w:val="0000FF"/>
              </w:rPr>
              <w:t>BOSTON</w:t>
            </w:r>
          </w:p>
        </w:tc>
        <w:tc>
          <w:tcPr>
            <w:tcW w:w="1440" w:type="dxa"/>
            <w:vAlign w:val="bottom"/>
          </w:tcPr>
          <w:p>
            <w:pPr>
              <w:ind w:left="260"/>
              <w:spacing w:after="0"/>
              <w:rPr>
                <w:sz w:val="20"/>
                <w:szCs w:val="20"/>
                <w:color w:val="auto"/>
              </w:rPr>
            </w:pPr>
            <w:r>
              <w:rPr>
                <w:rFonts w:ascii="Arial" w:cs="Arial" w:eastAsia="Arial" w:hAnsi="Arial"/>
                <w:sz w:val="18"/>
                <w:szCs w:val="18"/>
                <w:color w:val="0000FF"/>
              </w:rPr>
              <w:t>MA</w:t>
            </w:r>
          </w:p>
        </w:tc>
        <w:tc>
          <w:tcPr>
            <w:tcW w:w="1220" w:type="dxa"/>
            <w:vAlign w:val="bottom"/>
          </w:tcPr>
          <w:p>
            <w:pPr>
              <w:ind w:left="40"/>
              <w:spacing w:after="0"/>
              <w:rPr>
                <w:sz w:val="20"/>
                <w:szCs w:val="20"/>
                <w:color w:val="auto"/>
              </w:rPr>
            </w:pPr>
            <w:r>
              <w:rPr>
                <w:rFonts w:ascii="Arial" w:cs="Arial" w:eastAsia="Arial" w:hAnsi="Arial"/>
                <w:sz w:val="18"/>
                <w:szCs w:val="18"/>
                <w:color w:val="0000FF"/>
              </w:rPr>
              <w:t>02111</w:t>
            </w:r>
          </w:p>
        </w:tc>
      </w:tr>
      <w:tr>
        <w:trPr>
          <w:trHeight w:val="158"/>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(City)</w:t>
            </w:r>
          </w:p>
        </w:tc>
        <w:tc>
          <w:tcPr>
            <w:tcW w:w="1440" w:type="dxa"/>
            <w:vAlign w:val="bottom"/>
          </w:tcPr>
          <w:p>
            <w:pPr>
              <w:ind w:left="260"/>
              <w:spacing w:after="0"/>
              <w:rPr>
                <w:sz w:val="20"/>
                <w:szCs w:val="20"/>
                <w:color w:val="auto"/>
              </w:rPr>
            </w:pPr>
            <w:r>
              <w:rPr>
                <w:rFonts w:ascii="Arial" w:cs="Arial" w:eastAsia="Arial" w:hAnsi="Arial"/>
                <w:sz w:val="14"/>
                <w:szCs w:val="14"/>
                <w:color w:val="auto"/>
              </w:rPr>
              <w:t>(State)</w:t>
            </w:r>
          </w:p>
        </w:tc>
        <w:tc>
          <w:tcPr>
            <w:tcW w:w="1220" w:type="dxa"/>
            <w:vAlign w:val="bottom"/>
          </w:tcPr>
          <w:p>
            <w:pPr>
              <w:ind w:left="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Flywire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FLYW</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4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restart"/>
          </w:tcPr>
          <w:p>
            <w:pPr>
              <w:ind w:left="2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00" w:type="dxa"/>
            <w:vAlign w:val="bottom"/>
            <w:gridSpan w:val="2"/>
            <w:vMerge w:val="continue"/>
          </w:tcPr>
          <w:p>
            <w:pPr>
              <w:spacing w:after="0"/>
              <w:rPr>
                <w:sz w:val="7"/>
                <w:szCs w:val="7"/>
                <w:color w:val="auto"/>
              </w:rPr>
            </w:pPr>
          </w:p>
        </w:tc>
        <w:tc>
          <w:tcPr>
            <w:tcW w:w="364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9"/>
        </w:trPr>
        <w:tc>
          <w:tcPr>
            <w:tcW w:w="1240" w:type="dxa"/>
            <w:vAlign w:val="bottom"/>
            <w:gridSpan w:val="3"/>
            <w:vMerge w:val="restart"/>
          </w:tcPr>
          <w:p>
            <w:pPr>
              <w:ind w:left="80"/>
              <w:spacing w:after="0"/>
              <w:rPr>
                <w:sz w:val="20"/>
                <w:szCs w:val="20"/>
                <w:color w:val="auto"/>
              </w:rPr>
            </w:pPr>
            <w:r>
              <w:rPr>
                <w:rFonts w:ascii="Arial" w:cs="Arial" w:eastAsia="Arial" w:hAnsi="Arial"/>
                <w:sz w:val="18"/>
                <w:szCs w:val="18"/>
                <w:color w:val="0000FF"/>
              </w:rPr>
              <w:t>05/16/2023</w:t>
            </w:r>
          </w:p>
        </w:tc>
        <w:tc>
          <w:tcPr>
            <w:tcW w:w="2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240" w:type="dxa"/>
            <w:vAlign w:val="bottom"/>
            <w:gridSpan w:val="3"/>
            <w:vMerge w:val="continue"/>
          </w:tcPr>
          <w:p>
            <w:pPr>
              <w:spacing w:after="0"/>
              <w:rPr>
                <w:sz w:val="11"/>
                <w:szCs w:val="11"/>
                <w:color w:val="auto"/>
              </w:rPr>
            </w:pPr>
          </w:p>
        </w:tc>
        <w:tc>
          <w:tcPr>
            <w:tcW w:w="2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8"/>
                <w:szCs w:val="18"/>
                <w:color w:val="0000FF"/>
              </w:rPr>
              <w:t>Chief Executive Officer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260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808"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8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4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4"/>
                <w:szCs w:val="14"/>
                <w:color w:val="auto"/>
              </w:rPr>
            </w:pPr>
          </w:p>
        </w:tc>
        <w:tc>
          <w:tcPr>
            <w:tcW w:w="200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2"/>
          </w:tcPr>
          <w:p>
            <w:pPr>
              <w:ind w:left="200"/>
              <w:spacing w:after="0" w:line="136" w:lineRule="exact"/>
              <w:rPr>
                <w:sz w:val="20"/>
                <w:szCs w:val="20"/>
                <w:color w:val="auto"/>
              </w:rPr>
            </w:pPr>
            <w:r>
              <w:rPr>
                <w:rFonts w:ascii="Arial" w:cs="Arial" w:eastAsia="Arial" w:hAnsi="Arial"/>
                <w:sz w:val="12"/>
                <w:szCs w:val="12"/>
                <w:b w:val="1"/>
                <w:bCs w:val="1"/>
                <w:color w:val="auto"/>
                <w:w w:val="97"/>
              </w:rPr>
              <w:t>(Month/Day/Year)</w:t>
            </w:r>
          </w:p>
        </w:tc>
        <w:tc>
          <w:tcPr>
            <w:tcW w:w="76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920" w:type="dxa"/>
            <w:vAlign w:val="bottom"/>
            <w:gridSpan w:val="4"/>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140"/>
              <w:spacing w:after="0" w:line="136" w:lineRule="exact"/>
              <w:rPr>
                <w:sz w:val="20"/>
                <w:szCs w:val="20"/>
                <w:color w:val="auto"/>
              </w:rPr>
            </w:pPr>
            <w:r>
              <w:rPr>
                <w:rFonts w:ascii="Arial" w:cs="Arial" w:eastAsia="Arial" w:hAnsi="Arial"/>
                <w:sz w:val="12"/>
                <w:szCs w:val="12"/>
                <w:b w:val="1"/>
                <w:bCs w:val="1"/>
                <w:color w:val="auto"/>
              </w:rPr>
              <w:t>(Month/Day/Year)</w:t>
            </w:r>
          </w:p>
        </w:tc>
        <w:tc>
          <w:tcPr>
            <w:tcW w:w="30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vMerge w:val="restart"/>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vMerge w:val="restart"/>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(A)</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Amount</w:t>
            </w:r>
          </w:p>
        </w:tc>
        <w:tc>
          <w:tcPr>
            <w:tcW w:w="56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or</w:t>
            </w:r>
          </w:p>
        </w:tc>
        <w:tc>
          <w:tcPr>
            <w:tcW w:w="7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6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gridSpan w:val="2"/>
          </w:tcPr>
          <w:p>
            <w:pPr>
              <w:ind w:left="120"/>
              <w:spacing w:after="0"/>
              <w:rPr>
                <w:sz w:val="20"/>
                <w:szCs w:val="20"/>
                <w:color w:val="auto"/>
              </w:rPr>
            </w:pPr>
            <w:r>
              <w:rPr>
                <w:rFonts w:ascii="Arial" w:cs="Arial" w:eastAsia="Arial" w:hAnsi="Arial"/>
                <w:sz w:val="12"/>
                <w:szCs w:val="12"/>
                <w:b w:val="1"/>
                <w:bCs w:val="1"/>
                <w:color w:val="auto"/>
              </w:rPr>
              <w:t>(D)</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66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Voting Common Stock</w:t>
            </w:r>
          </w:p>
        </w:tc>
        <w:tc>
          <w:tcPr>
            <w:tcW w:w="11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8"/>
              </w:rPr>
              <w:t>05/16/2023</w:t>
            </w: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ind w:left="1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right"/>
              <w:ind w:right="30"/>
              <w:spacing w:after="0"/>
              <w:rPr>
                <w:sz w:val="20"/>
                <w:szCs w:val="20"/>
                <w:color w:val="auto"/>
              </w:rPr>
            </w:pPr>
            <w:r>
              <w:rPr>
                <w:rFonts w:ascii="Arial" w:cs="Arial" w:eastAsia="Arial" w:hAnsi="Arial"/>
                <w:sz w:val="18"/>
                <w:szCs w:val="18"/>
                <w:color w:val="0000FF"/>
              </w:rPr>
              <w:t>11,457</w:t>
            </w:r>
          </w:p>
        </w:tc>
        <w:tc>
          <w:tcPr>
            <w:tcW w:w="2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30.5381</w:t>
            </w:r>
            <w:r>
              <w:rPr>
                <w:rFonts w:ascii="Arial" w:cs="Arial" w:eastAsia="Arial" w:hAnsi="Arial"/>
                <w:sz w:val="22"/>
                <w:szCs w:val="22"/>
                <w:color w:val="008000"/>
                <w:w w:val="90"/>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1,197,022</w:t>
            </w:r>
            <w:r>
              <w:rPr>
                <w:rFonts w:ascii="Arial" w:cs="Arial" w:eastAsia="Arial" w:hAnsi="Arial"/>
                <w:sz w:val="22"/>
                <w:szCs w:val="22"/>
                <w:color w:val="008000"/>
                <w:w w:val="85"/>
                <w:vertAlign w:val="superscript"/>
              </w:rPr>
              <w:t>(3)</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Voting Common Stock</w:t>
            </w:r>
          </w:p>
        </w:tc>
        <w:tc>
          <w:tcPr>
            <w:tcW w:w="11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8"/>
              </w:rPr>
              <w:t>05/17/2023</w:t>
            </w: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ind w:left="1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right"/>
              <w:ind w:right="30"/>
              <w:spacing w:after="0"/>
              <w:rPr>
                <w:sz w:val="20"/>
                <w:szCs w:val="20"/>
                <w:color w:val="auto"/>
              </w:rPr>
            </w:pPr>
            <w:r>
              <w:rPr>
                <w:rFonts w:ascii="Arial" w:cs="Arial" w:eastAsia="Arial" w:hAnsi="Arial"/>
                <w:sz w:val="18"/>
                <w:szCs w:val="18"/>
                <w:color w:val="0000FF"/>
              </w:rPr>
              <w:t>11,457</w:t>
            </w:r>
          </w:p>
        </w:tc>
        <w:tc>
          <w:tcPr>
            <w:tcW w:w="2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28.8523</w:t>
            </w:r>
            <w:r>
              <w:rPr>
                <w:rFonts w:ascii="Arial" w:cs="Arial" w:eastAsia="Arial" w:hAnsi="Arial"/>
                <w:sz w:val="22"/>
                <w:szCs w:val="22"/>
                <w:color w:val="008000"/>
                <w:w w:val="90"/>
                <w:vertAlign w:val="superscript"/>
              </w:rPr>
              <w:t>(4)</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1,185,565</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60" w:type="dxa"/>
            <w:vAlign w:val="bottom"/>
            <w:gridSpan w:val="3"/>
            <w:vMerge w:val="restart"/>
          </w:tcPr>
          <w:p>
            <w:pPr>
              <w:ind w:left="60"/>
              <w:spacing w:after="0"/>
              <w:rPr>
                <w:sz w:val="20"/>
                <w:szCs w:val="20"/>
                <w:color w:val="auto"/>
              </w:rPr>
            </w:pPr>
            <w:r>
              <w:rPr>
                <w:rFonts w:ascii="Arial" w:cs="Arial" w:eastAsia="Arial" w:hAnsi="Arial"/>
                <w:sz w:val="18"/>
                <w:szCs w:val="18"/>
                <w:color w:val="0000FF"/>
              </w:rPr>
              <w:t>Voting Common Stock</w:t>
            </w: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337,440</w:t>
            </w:r>
            <w:r>
              <w:rPr>
                <w:rFonts w:ascii="Arial" w:cs="Arial" w:eastAsia="Arial" w:hAnsi="Arial"/>
                <w:sz w:val="22"/>
                <w:szCs w:val="22"/>
                <w:color w:val="008000"/>
                <w:w w:val="84"/>
                <w:vertAlign w:val="superscript"/>
              </w:rPr>
              <w:t>(5)</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20" w:type="dxa"/>
            <w:vAlign w:val="bottom"/>
            <w:gridSpan w:val="4"/>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60" w:type="dxa"/>
            <w:vAlign w:val="bottom"/>
            <w:gridSpan w:val="3"/>
            <w:vMerge w:val="continue"/>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6"/>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00" w:type="dxa"/>
            <w:vAlign w:val="bottom"/>
            <w:gridSpan w:val="13"/>
          </w:tcPr>
          <w:p>
            <w:pPr>
              <w:ind w:left="4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3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200" w:type="dxa"/>
            <w:vAlign w:val="bottom"/>
          </w:tcPr>
          <w:p>
            <w:pPr>
              <w:spacing w:after="0"/>
              <w:rPr>
                <w:sz w:val="11"/>
                <w:szCs w:val="11"/>
                <w:color w:val="auto"/>
              </w:rPr>
            </w:pPr>
          </w:p>
        </w:tc>
        <w:tc>
          <w:tcPr>
            <w:tcW w:w="1060" w:type="dxa"/>
            <w:vAlign w:val="bottom"/>
            <w:gridSpan w:val="3"/>
          </w:tcPr>
          <w:p>
            <w:pPr>
              <w:ind w:left="100"/>
              <w:spacing w:after="0" w:line="136"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rPr>
                <w:sz w:val="11"/>
                <w:szCs w:val="11"/>
                <w:color w:val="auto"/>
              </w:rPr>
            </w:pPr>
          </w:p>
        </w:tc>
        <w:tc>
          <w:tcPr>
            <w:tcW w:w="1060" w:type="dxa"/>
            <w:vAlign w:val="bottom"/>
            <w:gridSpan w:val="3"/>
          </w:tcPr>
          <w:p>
            <w:pPr>
              <w:ind w:left="100"/>
              <w:spacing w:after="0" w:line="136"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3"/>
          </w:tcPr>
          <w:p>
            <w:pPr>
              <w:ind w:left="100"/>
              <w:spacing w:after="0" w:line="136"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3"/>
          </w:tcPr>
          <w:p>
            <w:pPr>
              <w:ind w:left="100"/>
              <w:spacing w:after="0" w:line="136"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3"/>
          </w:tcPr>
          <w:p>
            <w:pPr>
              <w:ind w:left="100"/>
              <w:spacing w:after="0" w:line="136"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3"/>
          </w:tcPr>
          <w:p>
            <w:pPr>
              <w:ind w:left="100"/>
              <w:spacing w:after="0" w:line="136"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w w:val="96"/>
              </w:rPr>
              <w:t>and 5)</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2"/>
          </w:tcPr>
          <w:p>
            <w:pPr>
              <w:ind w:left="320"/>
              <w:spacing w:after="0" w:line="136"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7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200" w:type="dxa"/>
            <w:vAlign w:val="bottom"/>
          </w:tcPr>
          <w:p>
            <w:pPr>
              <w:spacing w:after="0"/>
              <w:rPr>
                <w:sz w:val="14"/>
                <w:szCs w:val="14"/>
                <w:color w:val="auto"/>
              </w:rPr>
            </w:pPr>
          </w:p>
        </w:tc>
        <w:tc>
          <w:tcPr>
            <w:tcW w:w="360" w:type="dxa"/>
            <w:vAlign w:val="bottom"/>
          </w:tcPr>
          <w:p>
            <w:pPr>
              <w:ind w:left="100"/>
              <w:spacing w:after="0"/>
              <w:rPr>
                <w:sz w:val="20"/>
                <w:szCs w:val="20"/>
                <w:color w:val="auto"/>
              </w:rPr>
            </w:pPr>
            <w:r>
              <w:rPr>
                <w:rFonts w:ascii="Arial" w:cs="Arial" w:eastAsia="Arial" w:hAnsi="Arial"/>
                <w:sz w:val="12"/>
                <w:szCs w:val="12"/>
                <w:b w:val="1"/>
                <w:bCs w:val="1"/>
                <w:color w:val="auto"/>
                <w:w w:val="97"/>
              </w:rPr>
              <w:t>Title</w:t>
            </w: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reported transactions were effected pursuant to a Rule 10b5-1 trading plan adopted by the Reported Person, entered into prior to the effectiveness of the revised requirements of Rule 10b5-1(c).</w:t>
      </w:r>
    </w:p>
    <w:p>
      <w:pPr>
        <w:spacing w:after="0" w:line="64" w:lineRule="exact"/>
        <w:rPr>
          <w:rFonts w:ascii="Arial" w:cs="Arial" w:eastAsia="Arial" w:hAnsi="Arial"/>
          <w:sz w:val="12"/>
          <w:szCs w:val="12"/>
          <w:color w:val="008000"/>
        </w:rPr>
      </w:pPr>
    </w:p>
    <w:p>
      <w:pPr>
        <w:jc w:val="both"/>
        <w:ind w:left="40" w:right="32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$30.26 to $30.93,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Amount reflects final annuity payment of 45,492 shares from the Michael P. Massaro 2021 Qualified Annuity Trust, of which the Reporting Person is a trustee, to the Reporting Person.</w:t>
      </w:r>
    </w:p>
    <w:p>
      <w:pPr>
        <w:spacing w:after="0" w:line="64" w:lineRule="exact"/>
        <w:rPr>
          <w:rFonts w:ascii="Arial" w:cs="Arial" w:eastAsia="Arial" w:hAnsi="Arial"/>
          <w:sz w:val="12"/>
          <w:szCs w:val="12"/>
          <w:color w:val="008000"/>
        </w:rPr>
      </w:pPr>
    </w:p>
    <w:p>
      <w:pPr>
        <w:jc w:val="both"/>
        <w:ind w:left="40" w:right="32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$28.56 to $29.40,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(4) to this Form 4.</w:t>
      </w:r>
    </w:p>
    <w:p>
      <w:pPr>
        <w:spacing w:after="0" w:line="31" w:lineRule="exact"/>
        <w:rPr>
          <w:rFonts w:ascii="Arial" w:cs="Arial" w:eastAsia="Arial" w:hAnsi="Arial"/>
          <w:sz w:val="14"/>
          <w:szCs w:val="14"/>
          <w:color w:val="008000"/>
        </w:rPr>
      </w:pPr>
    </w:p>
    <w:p>
      <w:pPr>
        <w:ind w:left="40" w:right="560" w:firstLine="9"/>
        <w:spacing w:after="0" w:line="239" w:lineRule="auto"/>
        <w:tabs>
          <w:tab w:leader="none" w:pos="168"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Amount reflects final annuity payment of 37,440 shares from the Michael P. Massaro 2021 Qualified Annuity Trust, of which the Reporting Person is a trustee, to the Michael P. Massaro 2021 Irrevocable Trust.</w:t>
      </w:r>
    </w:p>
    <w:p>
      <w:pPr>
        <w:spacing w:after="0" w:line="30" w:lineRule="exact"/>
        <w:rPr>
          <w:rFonts w:ascii="Arial" w:cs="Arial" w:eastAsia="Arial" w:hAnsi="Arial"/>
          <w:sz w:val="14"/>
          <w:szCs w:val="14"/>
          <w:color w:val="008000"/>
        </w:rPr>
      </w:pPr>
    </w:p>
    <w:p>
      <w:pPr>
        <w:jc w:val="both"/>
        <w:ind w:left="40" w:right="30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8"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44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8"/>
              </w:rPr>
              <w:t>/s/ Michael Massaro</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6"/>
              </w:rPr>
              <w:t>05/18/2023</w:t>
            </w: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80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130"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2023-05-18T15:23:15Z</dcterms:created>
  <dcterms:modified xsi:type="dcterms:W3CDTF">2023-05-18T15:23:15Z</dcterms:modified>
</cp:coreProperties>
</file>