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03/17/2025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1060"/>
        <w:gridCol w:w="437"/>
        <w:gridCol w:w="602"/>
        <w:gridCol w:w="1139"/>
        <w:gridCol w:w="982"/>
        <w:gridCol w:w="11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315,789</w:t>
            </w:r>
            <w:r>
              <w:rPr>
                <w:rFonts w:ascii="Times;serif" w:hAnsi="Times;serif"/>
                <w:color w:val="008000"/>
                <w:position w:val="7"/>
                <w:sz w:val="16"/>
                <w:sz w:val="20"/>
                <w:shd w:fill="FFFFFF" w:val="clear"/>
              </w:rPr>
              <w:t>(1)</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910,226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original Form 4 filed on March 17, 2025 on behalf of the Reporting Person inadvertently understated the number of restricted stock units ("RSUs") reported in Column 4 of Table I due to a scrivener's error. This amendment is being filed to correct the number of RSUs granted to the reporting person as of the original transaction date from 306,220 RSUs to 315,789 RSUs. Represents shares of common stock underlying a time-based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4066</Characters>
  <CharactersWithSpaces>4768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