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60"/>
        <w:spacing w:after="0"/>
        <w:rPr>
          <w:sz w:val="20"/>
          <w:szCs w:val="20"/>
          <w:color w:val="auto"/>
        </w:rPr>
      </w:pPr>
      <w:r>
        <w:rPr>
          <w:rFonts w:ascii="Arial" w:cs="Arial" w:eastAsia="Arial" w:hAnsi="Arial"/>
          <w:sz w:val="31"/>
          <w:szCs w:val="31"/>
          <w:b w:val="1"/>
          <w:bCs w:val="1"/>
          <w:color w:val="auto"/>
        </w:rPr>
        <w:t>SECURITIES AND EXCHANGE COMMISSION</w:t>
      </w:r>
    </w:p>
    <w:p>
      <w:pPr>
        <w:spacing w:after="0" w:line="35"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p>
      <w:pPr>
        <w:jc w:val="center"/>
        <w:ind w:right="6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196215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6"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6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7" w:lineRule="exact"/>
        <w:rPr>
          <w:sz w:val="24"/>
          <w:szCs w:val="24"/>
          <w:color w:val="auto"/>
        </w:rPr>
      </w:pPr>
    </w:p>
    <w:p>
      <w:pPr>
        <w:ind w:left="360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3759835</wp:posOffset>
            </wp:positionH>
            <wp:positionV relativeFrom="paragraph">
              <wp:posOffset>-1905</wp:posOffset>
            </wp:positionV>
            <wp:extent cx="457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001-40430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1" w:lineRule="exact"/>
        <w:rPr>
          <w:sz w:val="24"/>
          <w:szCs w:val="24"/>
          <w:color w:val="auto"/>
        </w:rPr>
      </w:pPr>
    </w:p>
    <w:p>
      <w:pPr>
        <w:jc w:val="center"/>
        <w:ind w:right="100"/>
        <w:spacing w:after="0"/>
        <w:rPr>
          <w:sz w:val="20"/>
          <w:szCs w:val="20"/>
          <w:color w:val="auto"/>
        </w:rPr>
      </w:pPr>
      <w:r>
        <w:rPr>
          <w:rFonts w:ascii="Arial" w:cs="Arial" w:eastAsia="Arial" w:hAnsi="Arial"/>
          <w:sz w:val="41"/>
          <w:szCs w:val="41"/>
          <w:b w:val="1"/>
          <w:bCs w:val="1"/>
          <w:color w:val="auto"/>
        </w:rPr>
        <w:t>FLYWIRE CORPORATION</w:t>
      </w:r>
    </w:p>
    <w:p>
      <w:pPr>
        <w:spacing w:after="0" w:line="7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4480" w:type="dxa"/>
            <w:vAlign w:val="bottom"/>
            <w:gridSpan w:val="3"/>
          </w:tcPr>
          <w:p>
            <w:pPr>
              <w:jc w:val="center"/>
              <w:ind w:left="1043"/>
              <w:spacing w:after="0"/>
              <w:rPr>
                <w:sz w:val="20"/>
                <w:szCs w:val="20"/>
                <w:color w:val="auto"/>
              </w:rPr>
            </w:pPr>
            <w:r>
              <w:rPr>
                <w:rFonts w:ascii="Arial" w:cs="Arial" w:eastAsia="Arial" w:hAnsi="Arial"/>
                <w:sz w:val="16"/>
                <w:szCs w:val="16"/>
                <w:b w:val="1"/>
                <w:bCs w:val="1"/>
                <w:color w:val="auto"/>
              </w:rPr>
              <w:t>Delaware</w:t>
            </w:r>
          </w:p>
        </w:tc>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80" w:type="dxa"/>
            <w:vAlign w:val="bottom"/>
          </w:tcPr>
          <w:p>
            <w:pPr>
              <w:jc w:val="right"/>
              <w:ind w:right="2284"/>
              <w:spacing w:after="0"/>
              <w:rPr>
                <w:sz w:val="20"/>
                <w:szCs w:val="20"/>
                <w:color w:val="auto"/>
              </w:rPr>
            </w:pPr>
            <w:r>
              <w:rPr>
                <w:rFonts w:ascii="Arial" w:cs="Arial" w:eastAsia="Arial" w:hAnsi="Arial"/>
                <w:sz w:val="16"/>
                <w:szCs w:val="16"/>
                <w:b w:val="1"/>
                <w:bCs w:val="1"/>
                <w:color w:val="auto"/>
              </w:rPr>
              <w:t>27-0690799</w:t>
            </w:r>
          </w:p>
        </w:tc>
        <w:tc>
          <w:tcPr>
            <w:tcW w:w="0" w:type="dxa"/>
            <w:vAlign w:val="bottom"/>
          </w:tcPr>
          <w:p>
            <w:pPr>
              <w:spacing w:after="0"/>
              <w:rPr>
                <w:sz w:val="1"/>
                <w:szCs w:val="1"/>
                <w:color w:val="auto"/>
              </w:rPr>
            </w:pPr>
          </w:p>
        </w:tc>
      </w:tr>
      <w:tr>
        <w:trPr>
          <w:trHeight w:val="199"/>
        </w:trPr>
        <w:tc>
          <w:tcPr>
            <w:tcW w:w="4480" w:type="dxa"/>
            <w:vAlign w:val="bottom"/>
            <w:gridSpan w:val="3"/>
          </w:tcPr>
          <w:p>
            <w:pPr>
              <w:jc w:val="center"/>
              <w:ind w:left="1043"/>
              <w:spacing w:after="0"/>
              <w:rPr>
                <w:sz w:val="20"/>
                <w:szCs w:val="20"/>
                <w:color w:val="auto"/>
              </w:rPr>
            </w:pPr>
            <w:r>
              <w:rPr>
                <w:rFonts w:ascii="Arial" w:cs="Arial" w:eastAsia="Arial" w:hAnsi="Arial"/>
                <w:sz w:val="14"/>
                <w:szCs w:val="14"/>
                <w:b w:val="1"/>
                <w:bCs w:val="1"/>
                <w:color w:val="auto"/>
                <w:w w:val="93"/>
              </w:rPr>
              <w:t>(State or other jurisdiction of</w:t>
            </w:r>
          </w:p>
        </w:tc>
        <w:tc>
          <w:tcPr>
            <w:tcW w:w="2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Pr>
          <w:p>
            <w:pPr>
              <w:jc w:val="center"/>
              <w:ind w:right="2104"/>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480" w:type="dxa"/>
            <w:vAlign w:val="bottom"/>
            <w:gridSpan w:val="3"/>
          </w:tcPr>
          <w:p>
            <w:pPr>
              <w:jc w:val="center"/>
              <w:ind w:left="1043"/>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tcPr>
          <w:p>
            <w:pPr>
              <w:jc w:val="center"/>
              <w:ind w:right="2124"/>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444"/>
        </w:trPr>
        <w:tc>
          <w:tcPr>
            <w:tcW w:w="4480" w:type="dxa"/>
            <w:vAlign w:val="bottom"/>
            <w:gridSpan w:val="3"/>
          </w:tcPr>
          <w:p>
            <w:pPr>
              <w:jc w:val="center"/>
              <w:ind w:left="1043"/>
              <w:spacing w:after="0"/>
              <w:rPr>
                <w:sz w:val="20"/>
                <w:szCs w:val="20"/>
                <w:color w:val="auto"/>
              </w:rPr>
            </w:pPr>
            <w:r>
              <w:rPr>
                <w:rFonts w:ascii="Arial" w:cs="Arial" w:eastAsia="Arial" w:hAnsi="Arial"/>
                <w:sz w:val="16"/>
                <w:szCs w:val="16"/>
                <w:b w:val="1"/>
                <w:bCs w:val="1"/>
                <w:color w:val="auto"/>
                <w:w w:val="92"/>
              </w:rPr>
              <w:t>141 Tremont St #10</w:t>
            </w:r>
          </w:p>
        </w:tc>
        <w:tc>
          <w:tcPr>
            <w:tcW w:w="2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80" w:type="dxa"/>
            <w:vAlign w:val="bottom"/>
            <w:gridSpan w:val="3"/>
          </w:tcPr>
          <w:p>
            <w:pPr>
              <w:jc w:val="center"/>
              <w:ind w:left="1043"/>
              <w:spacing w:after="0"/>
              <w:rPr>
                <w:sz w:val="20"/>
                <w:szCs w:val="20"/>
                <w:color w:val="auto"/>
              </w:rPr>
            </w:pPr>
            <w:r>
              <w:rPr>
                <w:rFonts w:ascii="Arial" w:cs="Arial" w:eastAsia="Arial" w:hAnsi="Arial"/>
                <w:sz w:val="16"/>
                <w:szCs w:val="16"/>
                <w:b w:val="1"/>
                <w:bCs w:val="1"/>
                <w:color w:val="auto"/>
                <w:w w:val="94"/>
              </w:rPr>
              <w:t>Boston, MA</w:t>
            </w:r>
          </w:p>
        </w:tc>
        <w:tc>
          <w:tcPr>
            <w:tcW w:w="2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80" w:type="dxa"/>
            <w:vAlign w:val="bottom"/>
          </w:tcPr>
          <w:p>
            <w:pPr>
              <w:jc w:val="right"/>
              <w:ind w:right="2484"/>
              <w:spacing w:after="0"/>
              <w:rPr>
                <w:sz w:val="20"/>
                <w:szCs w:val="20"/>
                <w:color w:val="auto"/>
              </w:rPr>
            </w:pPr>
            <w:r>
              <w:rPr>
                <w:rFonts w:ascii="Arial" w:cs="Arial" w:eastAsia="Arial" w:hAnsi="Arial"/>
                <w:sz w:val="16"/>
                <w:szCs w:val="16"/>
                <w:b w:val="1"/>
                <w:bCs w:val="1"/>
                <w:color w:val="auto"/>
              </w:rPr>
              <w:t>02111</w:t>
            </w:r>
          </w:p>
        </w:tc>
        <w:tc>
          <w:tcPr>
            <w:tcW w:w="0" w:type="dxa"/>
            <w:vAlign w:val="bottom"/>
          </w:tcPr>
          <w:p>
            <w:pPr>
              <w:spacing w:after="0"/>
              <w:rPr>
                <w:sz w:val="1"/>
                <w:szCs w:val="1"/>
                <w:color w:val="auto"/>
              </w:rPr>
            </w:pPr>
          </w:p>
        </w:tc>
      </w:tr>
      <w:tr>
        <w:trPr>
          <w:trHeight w:val="210"/>
        </w:trPr>
        <w:tc>
          <w:tcPr>
            <w:tcW w:w="4480" w:type="dxa"/>
            <w:vAlign w:val="bottom"/>
            <w:gridSpan w:val="3"/>
          </w:tcPr>
          <w:p>
            <w:pPr>
              <w:jc w:val="center"/>
              <w:ind w:left="1043"/>
              <w:spacing w:after="0"/>
              <w:rPr>
                <w:sz w:val="20"/>
                <w:szCs w:val="20"/>
                <w:color w:val="auto"/>
              </w:rPr>
            </w:pPr>
            <w:r>
              <w:rPr>
                <w:rFonts w:ascii="Arial" w:cs="Arial" w:eastAsia="Arial" w:hAnsi="Arial"/>
                <w:sz w:val="14"/>
                <w:szCs w:val="14"/>
                <w:b w:val="1"/>
                <w:bCs w:val="1"/>
                <w:color w:val="auto"/>
              </w:rPr>
              <w:t>(Address of principal executive offices)</w:t>
            </w:r>
          </w:p>
        </w:tc>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80" w:type="dxa"/>
            <w:vAlign w:val="bottom"/>
          </w:tcPr>
          <w:p>
            <w:pPr>
              <w:jc w:val="center"/>
              <w:ind w:right="2124"/>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316"/>
        </w:trPr>
        <w:tc>
          <w:tcPr>
            <w:tcW w:w="11200" w:type="dxa"/>
            <w:vAlign w:val="bottom"/>
            <w:gridSpan w:val="8"/>
          </w:tcPr>
          <w:p>
            <w:pPr>
              <w:jc w:val="center"/>
              <w:spacing w:after="0"/>
              <w:rPr>
                <w:sz w:val="20"/>
                <w:szCs w:val="20"/>
                <w:color w:val="auto"/>
              </w:rPr>
            </w:pPr>
            <w:r>
              <w:rPr>
                <w:rFonts w:ascii="Arial" w:cs="Arial" w:eastAsia="Arial" w:hAnsi="Arial"/>
                <w:sz w:val="16"/>
                <w:szCs w:val="16"/>
                <w:b w:val="1"/>
                <w:bCs w:val="1"/>
                <w:color w:val="auto"/>
              </w:rPr>
              <w:t>Registrant’s telephone number, including area code: (617) 329-4524</w:t>
            </w:r>
          </w:p>
        </w:tc>
        <w:tc>
          <w:tcPr>
            <w:tcW w:w="0" w:type="dxa"/>
            <w:vAlign w:val="bottom"/>
          </w:tcPr>
          <w:p>
            <w:pPr>
              <w:spacing w:after="0"/>
              <w:rPr>
                <w:sz w:val="1"/>
                <w:szCs w:val="1"/>
                <w:color w:val="auto"/>
              </w:rPr>
            </w:pPr>
          </w:p>
        </w:tc>
      </w:tr>
      <w:tr>
        <w:trPr>
          <w:trHeight w:val="141"/>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7820" w:type="dxa"/>
            <w:vAlign w:val="bottom"/>
            <w:gridSpan w:val="7"/>
          </w:tcPr>
          <w:p>
            <w:pPr>
              <w:jc w:val="center"/>
              <w:ind w:left="3263"/>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vMerge w:val="restart"/>
          </w:tcPr>
          <w:p>
            <w:pPr>
              <w:spacing w:after="0"/>
              <w:rPr>
                <w:sz w:val="24"/>
                <w:szCs w:val="24"/>
                <w:color w:val="auto"/>
              </w:rPr>
            </w:pPr>
          </w:p>
        </w:tc>
        <w:tc>
          <w:tcPr>
            <w:tcW w:w="600" w:type="dxa"/>
            <w:vAlign w:val="bottom"/>
            <w:vMerge w:val="restart"/>
          </w:tcPr>
          <w:p>
            <w:pPr>
              <w:spacing w:after="0"/>
              <w:rPr>
                <w:sz w:val="24"/>
                <w:szCs w:val="24"/>
                <w:color w:val="auto"/>
              </w:rPr>
            </w:pPr>
          </w:p>
        </w:tc>
        <w:tc>
          <w:tcPr>
            <w:tcW w:w="334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97"/>
              </w:rPr>
              <w:t>Trading</w:t>
            </w:r>
          </w:p>
        </w:tc>
        <w:tc>
          <w:tcPr>
            <w:tcW w:w="3380" w:type="dxa"/>
            <w:vAlign w:val="bottom"/>
          </w:tcPr>
          <w:p>
            <w:pPr>
              <w:jc w:val="center"/>
              <w:ind w:right="124"/>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205"/>
        </w:trPr>
        <w:tc>
          <w:tcPr>
            <w:tcW w:w="372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298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4"/>
                <w:szCs w:val="14"/>
                <w:b w:val="1"/>
                <w:bCs w:val="1"/>
                <w:color w:val="auto"/>
                <w:w w:val="91"/>
              </w:rPr>
              <w:t>Symbol(s)</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5"/>
        </w:trPr>
        <w:tc>
          <w:tcPr>
            <w:tcW w:w="448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90"/>
              </w:rPr>
              <w:t>Voting common stock, $0.0001 par value per share</w:t>
            </w:r>
          </w:p>
        </w:tc>
        <w:tc>
          <w:tcPr>
            <w:tcW w:w="3340" w:type="dxa"/>
            <w:vAlign w:val="bottom"/>
            <w:gridSpan w:val="4"/>
          </w:tcPr>
          <w:p>
            <w:pPr>
              <w:ind w:left="900"/>
              <w:spacing w:after="0"/>
              <w:rPr>
                <w:sz w:val="20"/>
                <w:szCs w:val="20"/>
                <w:color w:val="auto"/>
              </w:rPr>
            </w:pPr>
            <w:r>
              <w:rPr>
                <w:rFonts w:ascii="Arial" w:cs="Arial" w:eastAsia="Arial" w:hAnsi="Arial"/>
                <w:sz w:val="16"/>
                <w:szCs w:val="16"/>
                <w:b w:val="1"/>
                <w:bCs w:val="1"/>
                <w:color w:val="auto"/>
              </w:rPr>
              <w:t>FLYW</w:t>
            </w:r>
          </w:p>
        </w:tc>
        <w:tc>
          <w:tcPr>
            <w:tcW w:w="3380" w:type="dxa"/>
            <w:vAlign w:val="bottom"/>
          </w:tcPr>
          <w:p>
            <w:pPr>
              <w:ind w:left="360"/>
              <w:spacing w:after="0"/>
              <w:rPr>
                <w:sz w:val="20"/>
                <w:szCs w:val="20"/>
                <w:color w:val="auto"/>
              </w:rPr>
            </w:pPr>
            <w:r>
              <w:rPr>
                <w:rFonts w:ascii="Arial" w:cs="Arial" w:eastAsia="Arial" w:hAnsi="Arial"/>
                <w:sz w:val="16"/>
                <w:szCs w:val="16"/>
                <w:b w:val="1"/>
                <w:bCs w:val="1"/>
                <w:color w:val="auto"/>
              </w:rPr>
              <w:t>The Nasdaq Stock Market LLC</w:t>
            </w: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80" w:type="dxa"/>
            <w:vAlign w:val="bottom"/>
          </w:tcPr>
          <w:p>
            <w:pPr>
              <w:ind w:left="360"/>
              <w:spacing w:after="0"/>
              <w:rPr>
                <w:sz w:val="20"/>
                <w:szCs w:val="20"/>
                <w:color w:val="auto"/>
              </w:rPr>
            </w:pPr>
            <w:r>
              <w:rPr>
                <w:rFonts w:ascii="Arial" w:cs="Arial" w:eastAsia="Arial" w:hAnsi="Arial"/>
                <w:sz w:val="16"/>
                <w:szCs w:val="16"/>
                <w:b w:val="1"/>
                <w:bCs w:val="1"/>
                <w:color w:val="auto"/>
              </w:rPr>
              <w:t>(Nasdaq Global Select Market)</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right="100" w:firstLine="509"/>
        <w:spacing w:after="0" w:line="20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ind w:right="20" w:firstLine="509"/>
        <w:spacing w:after="0" w:line="20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ind w:right="200" w:firstLine="509"/>
        <w:spacing w:after="0" w:line="27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6"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20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29"/>
        </w:trPr>
        <w:tc>
          <w:tcPr>
            <w:tcW w:w="18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20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8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5320" w:type="dxa"/>
            <w:vAlign w:val="bottom"/>
          </w:tcPr>
          <w:p>
            <w:pPr>
              <w:ind w:left="320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71" w:lineRule="exact"/>
        <w:rPr>
          <w:sz w:val="24"/>
          <w:szCs w:val="24"/>
          <w:color w:val="auto"/>
        </w:rPr>
      </w:pPr>
    </w:p>
    <w:p>
      <w:pPr>
        <w:jc w:val="both"/>
        <w:ind w:right="140" w:firstLine="509"/>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20"/>
        <w:spacing w:after="0" w:line="184" w:lineRule="exact"/>
        <w:tabs>
          <w:tab w:leader="none" w:pos="8780" w:val="left"/>
          <w:tab w:leader="none" w:pos="9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8" w:lineRule="exact"/>
        <w:rPr>
          <w:sz w:val="24"/>
          <w:szCs w:val="24"/>
          <w:color w:val="auto"/>
        </w:rPr>
      </w:pPr>
    </w:p>
    <w:p>
      <w:pPr>
        <w:ind w:right="340" w:firstLine="509"/>
        <w:spacing w:after="0" w:line="278" w:lineRule="auto"/>
        <w:rPr>
          <w:sz w:val="20"/>
          <w:szCs w:val="20"/>
          <w:color w:val="auto"/>
        </w:rPr>
      </w:pPr>
      <w:r>
        <w:rPr>
          <w:rFonts w:ascii="Arial" w:cs="Arial" w:eastAsia="Arial" w:hAnsi="Arial"/>
          <w:sz w:val="16"/>
          <w:szCs w:val="16"/>
          <w:color w:val="auto"/>
        </w:rPr>
        <w:t>As of November 8, 2021, the registrant had 98,693,094 shares of voting common stock, $0.0001 par value per share, outstanding and 5,988,378 shares of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512445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9"/>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gridSpan w:val="9"/>
          </w:tcPr>
          <w:p>
            <w:pPr>
              <w:ind w:left="4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70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240" w:type="dxa"/>
            <w:vAlign w:val="bottom"/>
            <w:tcBorders>
              <w:bottom w:val="single" w:sz="8" w:color="0000FF"/>
            </w:tcBorders>
            <w:gridSpan w:val="8"/>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FINANCIAL INFORMATION</w:t>
              </w:r>
            </w:hyperlink>
          </w:p>
        </w:tc>
        <w:tc>
          <w:tcPr>
            <w:tcW w:w="20" w:type="dxa"/>
            <w:vAlign w:val="bottom"/>
            <w:tcBorders>
              <w:bottom w:val="single" w:sz="8" w:color="0000EE"/>
            </w:tcBorders>
          </w:tcPr>
          <w:p>
            <w:pPr>
              <w:spacing w:after="0"/>
              <w:rPr>
                <w:sz w:val="24"/>
                <w:szCs w:val="24"/>
                <w:color w:val="auto"/>
              </w:rPr>
            </w:pPr>
          </w:p>
        </w:tc>
        <w:tc>
          <w:tcPr>
            <w:tcW w:w="69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12"/>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Financial Statements (Unaudited)</w:t>
              </w:r>
            </w:hyperlink>
          </w:p>
        </w:tc>
        <w:tc>
          <w:tcPr>
            <w:tcW w:w="20" w:type="dxa"/>
            <w:vAlign w:val="bottom"/>
            <w:tcBorders>
              <w:bottom w:val="single" w:sz="8" w:color="0000EE"/>
            </w:tcBorders>
          </w:tcPr>
          <w:p>
            <w:pPr>
              <w:spacing w:after="0"/>
              <w:rPr>
                <w:sz w:val="21"/>
                <w:szCs w:val="21"/>
                <w:color w:val="auto"/>
              </w:rPr>
            </w:pPr>
          </w:p>
        </w:tc>
        <w:tc>
          <w:tcPr>
            <w:tcW w:w="652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4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Balance Sheets</w:t>
              </w:r>
            </w:hyperlink>
          </w:p>
        </w:tc>
        <w:tc>
          <w:tcPr>
            <w:tcW w:w="20" w:type="dxa"/>
            <w:vAlign w:val="bottom"/>
            <w:tcBorders>
              <w:bottom w:val="single" w:sz="8" w:color="0000EE"/>
            </w:tcBorders>
          </w:tcPr>
          <w:p>
            <w:pPr>
              <w:spacing w:after="0"/>
              <w:rPr>
                <w:sz w:val="21"/>
                <w:szCs w:val="21"/>
                <w:color w:val="auto"/>
              </w:rPr>
            </w:pPr>
          </w:p>
        </w:tc>
        <w:tc>
          <w:tcPr>
            <w:tcW w:w="586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20" w:type="dxa"/>
            <w:vAlign w:val="bottom"/>
            <w:gridSpan w:val="24"/>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Operations and Comprehensive (Loss)</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20" w:type="dxa"/>
            <w:vAlign w:val="bottom"/>
            <w:tcBorders>
              <w:bottom w:val="single" w:sz="8" w:color="0000FF"/>
            </w:tcBorders>
            <w:gridSpan w:val="24"/>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Convertible Preferred Stock, Redeemable Convertible Preferred Stock and</w:t>
              </w:r>
            </w:hyperlink>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20" w:type="dxa"/>
            <w:vAlign w:val="bottom"/>
            <w:gridSpan w:val="24"/>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Stockholders’ Equity (Deficit)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18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Condensed Consolidated Statements of Cash Flows</w:t>
              </w:r>
            </w:hyperlink>
          </w:p>
        </w:tc>
        <w:tc>
          <w:tcPr>
            <w:tcW w:w="20" w:type="dxa"/>
            <w:vAlign w:val="bottom"/>
            <w:tcBorders>
              <w:bottom w:val="single" w:sz="8" w:color="0000EE"/>
            </w:tcBorders>
          </w:tcPr>
          <w:p>
            <w:pPr>
              <w:spacing w:after="0"/>
              <w:rPr>
                <w:sz w:val="21"/>
                <w:szCs w:val="21"/>
                <w:color w:val="auto"/>
              </w:rPr>
            </w:pPr>
          </w:p>
        </w:tc>
        <w:tc>
          <w:tcPr>
            <w:tcW w:w="502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80" w:type="dxa"/>
            <w:vAlign w:val="bottom"/>
            <w:tcBorders>
              <w:bottom w:val="single" w:sz="8" w:color="0000FF"/>
            </w:tcBorders>
            <w:gridSpan w:val="18"/>
          </w:tcPr>
          <w:p>
            <w:pPr>
              <w:spacing w:after="0"/>
              <w:rPr>
                <w:rFonts w:ascii="Arial" w:cs="Arial" w:eastAsia="Arial" w:hAnsi="Arial"/>
                <w:sz w:val="18"/>
                <w:szCs w:val="18"/>
                <w:color w:val="0000FF"/>
                <w:w w:val="99"/>
              </w:rPr>
            </w:pPr>
            <w:hyperlink w:anchor="page12">
              <w:r>
                <w:rPr>
                  <w:rFonts w:ascii="Arial" w:cs="Arial" w:eastAsia="Arial" w:hAnsi="Arial"/>
                  <w:sz w:val="18"/>
                  <w:szCs w:val="18"/>
                  <w:color w:val="0000FF"/>
                  <w:w w:val="99"/>
                </w:rPr>
                <w:t>Notes to Condensed Consolidated Financial Statements</w:t>
              </w:r>
            </w:hyperlink>
          </w:p>
        </w:tc>
        <w:tc>
          <w:tcPr>
            <w:tcW w:w="20" w:type="dxa"/>
            <w:vAlign w:val="bottom"/>
            <w:tcBorders>
              <w:bottom w:val="single" w:sz="8" w:color="0000EE"/>
            </w:tcBorders>
          </w:tcPr>
          <w:p>
            <w:pPr>
              <w:spacing w:after="0"/>
              <w:rPr>
                <w:sz w:val="21"/>
                <w:szCs w:val="21"/>
                <w:color w:val="auto"/>
              </w:rPr>
            </w:pPr>
          </w:p>
        </w:tc>
        <w:tc>
          <w:tcPr>
            <w:tcW w:w="47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FF"/>
            </w:tcBorders>
            <w:gridSpan w:val="23"/>
          </w:tcPr>
          <w:p>
            <w:pPr>
              <w:spacing w:after="0"/>
              <w:rPr>
                <w:rFonts w:ascii="Arial" w:cs="Arial" w:eastAsia="Arial" w:hAnsi="Arial"/>
                <w:sz w:val="18"/>
                <w:szCs w:val="18"/>
                <w:color w:val="0000FF"/>
                <w:w w:val="99"/>
              </w:rPr>
            </w:pPr>
            <w:hyperlink w:anchor="page30">
              <w:r>
                <w:rPr>
                  <w:rFonts w:ascii="Arial" w:cs="Arial" w:eastAsia="Arial" w:hAnsi="Arial"/>
                  <w:sz w:val="18"/>
                  <w:szCs w:val="18"/>
                  <w:color w:val="0000FF"/>
                  <w:w w:val="99"/>
                </w:rPr>
                <w:t>Management’s Discussion and Analysis of Financial Condition and Results of Operations</w:t>
              </w:r>
            </w:hyperlink>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720" w:type="dxa"/>
            <w:vAlign w:val="bottom"/>
            <w:tcBorders>
              <w:bottom w:val="single" w:sz="8" w:color="0000FF"/>
            </w:tcBorders>
            <w:gridSpan w:val="20"/>
          </w:tcPr>
          <w:p>
            <w:pPr>
              <w:spacing w:after="0"/>
              <w:rPr>
                <w:rFonts w:ascii="Arial" w:cs="Arial" w:eastAsia="Arial" w:hAnsi="Arial"/>
                <w:sz w:val="18"/>
                <w:szCs w:val="18"/>
                <w:color w:val="0000FF"/>
                <w:w w:val="99"/>
              </w:rPr>
            </w:pPr>
            <w:hyperlink w:anchor="page47">
              <w:r>
                <w:rPr>
                  <w:rFonts w:ascii="Arial" w:cs="Arial" w:eastAsia="Arial" w:hAnsi="Arial"/>
                  <w:sz w:val="18"/>
                  <w:szCs w:val="18"/>
                  <w:color w:val="0000FF"/>
                  <w:w w:val="99"/>
                </w:rPr>
                <w:t>Quantitative and Qualitative Disclosures About Market Risk</w:t>
              </w:r>
            </w:hyperlink>
          </w:p>
        </w:tc>
        <w:tc>
          <w:tcPr>
            <w:tcW w:w="450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48">
              <w:r>
                <w:rPr>
                  <w:rFonts w:ascii="Arial" w:cs="Arial" w:eastAsia="Arial" w:hAnsi="Arial"/>
                  <w:sz w:val="18"/>
                  <w:szCs w:val="18"/>
                  <w:color w:val="0000FF"/>
                  <w:w w:val="99"/>
                </w:rPr>
                <w:t>Controls and Procedures</w:t>
              </w:r>
            </w:hyperlink>
          </w:p>
        </w:tc>
        <w:tc>
          <w:tcPr>
            <w:tcW w:w="722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220" w:type="dxa"/>
            <w:vAlign w:val="bottom"/>
            <w:gridSpan w:val="24"/>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OTHER INFORMATION</w:t>
              </w:r>
            </w:hyperlink>
          </w:p>
        </w:tc>
        <w:tc>
          <w:tcPr>
            <w:tcW w:w="0" w:type="dxa"/>
            <w:vAlign w:val="bottom"/>
          </w:tcPr>
          <w:p>
            <w:pPr>
              <w:spacing w:after="0"/>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9"/>
              </w:rPr>
            </w:pPr>
            <w:hyperlink w:anchor="page50">
              <w:r>
                <w:rPr>
                  <w:rFonts w:ascii="Arial" w:cs="Arial" w:eastAsia="Arial" w:hAnsi="Arial"/>
                  <w:sz w:val="18"/>
                  <w:szCs w:val="18"/>
                  <w:color w:val="0000FF"/>
                  <w:w w:val="99"/>
                </w:rPr>
                <w:t>Legal Proceedings</w:t>
              </w:r>
            </w:hyperlink>
          </w:p>
        </w:tc>
        <w:tc>
          <w:tcPr>
            <w:tcW w:w="420" w:type="dxa"/>
            <w:vAlign w:val="bottom"/>
            <w:tcBorders>
              <w:top w:val="single" w:sz="8" w:color="0000FF"/>
            </w:tcBorders>
          </w:tcPr>
          <w:p>
            <w:pPr>
              <w:spacing w:after="0"/>
              <w:rPr>
                <w:sz w:val="21"/>
                <w:szCs w:val="21"/>
                <w:color w:val="auto"/>
              </w:rPr>
            </w:pPr>
          </w:p>
        </w:tc>
        <w:tc>
          <w:tcPr>
            <w:tcW w:w="730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20" w:type="dxa"/>
            <w:vAlign w:val="bottom"/>
            <w:gridSpan w:val="24"/>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Risk Factors</w:t>
              </w:r>
            </w:hyperlink>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spacing w:after="0"/>
              <w:rPr>
                <w:sz w:val="20"/>
                <w:szCs w:val="20"/>
                <w:color w:val="auto"/>
              </w:rPr>
            </w:pPr>
            <w:r>
              <w:rPr>
                <w:rFonts w:ascii="Arial" w:cs="Arial" w:eastAsia="Arial" w:hAnsi="Arial"/>
                <w:sz w:val="18"/>
                <w:szCs w:val="18"/>
                <w:color w:val="auto"/>
              </w:rPr>
              <w:t>Item 2.</w:t>
            </w: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300" w:type="dxa"/>
            <w:vAlign w:val="bottom"/>
            <w:gridSpan w:val="10"/>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vMerge w:val="continue"/>
          </w:tcPr>
          <w:p>
            <w:pPr>
              <w:spacing w:after="0"/>
              <w:rPr>
                <w:sz w:val="21"/>
                <w:szCs w:val="21"/>
                <w:color w:val="auto"/>
              </w:rPr>
            </w:pPr>
          </w:p>
        </w:tc>
        <w:tc>
          <w:tcPr>
            <w:tcW w:w="4860" w:type="dxa"/>
            <w:vAlign w:val="bottom"/>
            <w:tcBorders>
              <w:bottom w:val="single" w:sz="8" w:color="0000FF"/>
            </w:tcBorders>
            <w:gridSpan w:val="21"/>
          </w:tcPr>
          <w:p>
            <w:pPr>
              <w:spacing w:after="0"/>
              <w:rPr>
                <w:rFonts w:ascii="Arial" w:cs="Arial" w:eastAsia="Arial" w:hAnsi="Arial"/>
                <w:sz w:val="18"/>
                <w:szCs w:val="18"/>
                <w:color w:val="0000FF"/>
                <w:w w:val="99"/>
              </w:rPr>
            </w:pPr>
            <w:hyperlink w:anchor="page89">
              <w:r>
                <w:rPr>
                  <w:rFonts w:ascii="Arial" w:cs="Arial" w:eastAsia="Arial" w:hAnsi="Arial"/>
                  <w:sz w:val="18"/>
                  <w:szCs w:val="18"/>
                  <w:color w:val="0000FF"/>
                  <w:w w:val="99"/>
                </w:rPr>
                <w:t>Unregistered Sales of Equity Securities and Use of Proceeds</w:t>
              </w:r>
            </w:hyperlink>
          </w:p>
        </w:tc>
        <w:tc>
          <w:tcPr>
            <w:tcW w:w="43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89">
              <w:r>
                <w:rPr>
                  <w:rFonts w:ascii="Arial" w:cs="Arial" w:eastAsia="Arial" w:hAnsi="Arial"/>
                  <w:sz w:val="18"/>
                  <w:szCs w:val="18"/>
                  <w:color w:val="0000FF"/>
                  <w:w w:val="99"/>
                </w:rPr>
                <w:t>Defaults Upon Senior Securities</w:t>
              </w:r>
            </w:hyperlink>
          </w:p>
        </w:tc>
        <w:tc>
          <w:tcPr>
            <w:tcW w:w="666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89">
              <w:r>
                <w:rPr>
                  <w:rFonts w:ascii="Arial" w:cs="Arial" w:eastAsia="Arial" w:hAnsi="Arial"/>
                  <w:sz w:val="18"/>
                  <w:szCs w:val="18"/>
                  <w:color w:val="0000FF"/>
                  <w:w w:val="99"/>
                </w:rPr>
                <w:t>Mine Safety Disclosures</w:t>
              </w:r>
            </w:hyperlink>
          </w:p>
        </w:tc>
        <w:tc>
          <w:tcPr>
            <w:tcW w:w="728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220" w:type="dxa"/>
            <w:vAlign w:val="bottom"/>
            <w:gridSpan w:val="24"/>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Other Information</w:t>
              </w:r>
            </w:hyperlink>
          </w:p>
        </w:tc>
        <w:tc>
          <w:tcPr>
            <w:tcW w:w="0" w:type="dxa"/>
            <w:vAlign w:val="bottom"/>
          </w:tcPr>
          <w:p>
            <w:pPr>
              <w:spacing w:after="0"/>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3"/>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Exhibits</w:t>
              </w:r>
            </w:hyperlink>
          </w:p>
        </w:tc>
        <w:tc>
          <w:tcPr>
            <w:tcW w:w="7820" w:type="dxa"/>
            <w:vAlign w:val="bottom"/>
            <w:gridSpan w:val="21"/>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040" w:type="dxa"/>
            <w:vAlign w:val="bottom"/>
            <w:gridSpan w:val="2"/>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Signatures</w:t>
              </w:r>
            </w:hyperlink>
          </w:p>
        </w:tc>
        <w:tc>
          <w:tcPr>
            <w:tcW w:w="64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34925</wp:posOffset>
            </wp:positionV>
            <wp:extent cx="4114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ectPr>
          <w:pgSz w:w="11900" w:h="16838" w:orient="portrait"/>
          <w:cols w:equalWidth="0" w:num="2">
            <w:col w:w="10260" w:space="500"/>
            <w:col w:w="440"/>
          </w:cols>
          <w:pgMar w:left="340" w:top="589" w:right="3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61" w:lineRule="exact"/>
        <w:rPr>
          <w:sz w:val="20"/>
          <w:szCs w:val="20"/>
          <w:color w:val="auto"/>
        </w:rPr>
      </w:pPr>
    </w:p>
    <w:p>
      <w:pPr>
        <w:ind w:firstLine="1146"/>
        <w:spacing w:after="0" w:line="267" w:lineRule="auto"/>
        <w:rPr>
          <w:sz w:val="20"/>
          <w:szCs w:val="20"/>
          <w:color w:val="auto"/>
        </w:rPr>
      </w:pPr>
      <w:r>
        <w:rPr>
          <w:rFonts w:ascii="Arial" w:cs="Arial" w:eastAsia="Arial" w:hAnsi="Arial"/>
          <w:sz w:val="18"/>
          <w:szCs w:val="18"/>
          <w:color w:val="auto"/>
        </w:rPr>
        <w:t>This Quarterly Report on Form 10-Q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p>
    <w:p>
      <w:pPr>
        <w:spacing w:after="0" w:line="102" w:lineRule="exact"/>
        <w:rPr>
          <w:sz w:val="20"/>
          <w:szCs w:val="20"/>
          <w:color w:val="auto"/>
        </w:rPr>
      </w:pPr>
    </w:p>
    <w:p>
      <w:pPr>
        <w:ind w:left="960" w:right="520"/>
        <w:spacing w:after="0" w:line="271" w:lineRule="auto"/>
        <w:rPr>
          <w:sz w:val="20"/>
          <w:szCs w:val="20"/>
          <w:color w:val="auto"/>
        </w:rPr>
      </w:pPr>
      <w:r>
        <w:rPr>
          <w:rFonts w:ascii="Arial" w:cs="Arial" w:eastAsia="Arial" w:hAnsi="Arial"/>
          <w:sz w:val="18"/>
          <w:szCs w:val="18"/>
          <w:color w:val="auto"/>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spacing w:after="0" w:line="9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business plan and our ability to effectively manage our growth;</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cross-border expansion plans and ability to expand internationally;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anticipated trends, growth rates, and challenges in our business and in the markets in which we operate;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sufficiency of our cash and cash equivalents to meet our liquidity needs;</w:t>
      </w:r>
    </w:p>
    <w:p>
      <w:pPr>
        <w:spacing w:after="0" w:line="131" w:lineRule="exact"/>
        <w:rPr>
          <w:sz w:val="20"/>
          <w:szCs w:val="20"/>
          <w:color w:val="auto"/>
        </w:rPr>
      </w:pPr>
    </w:p>
    <w:p>
      <w:pPr>
        <w:ind w:left="960" w:right="60"/>
        <w:spacing w:after="0" w:line="277" w:lineRule="auto"/>
        <w:rPr>
          <w:sz w:val="20"/>
          <w:szCs w:val="20"/>
          <w:color w:val="auto"/>
        </w:rPr>
      </w:pPr>
      <w:r>
        <w:rPr>
          <w:rFonts w:ascii="Arial" w:cs="Arial" w:eastAsia="Arial" w:hAnsi="Arial"/>
          <w:sz w:val="18"/>
          <w:szCs w:val="18"/>
          <w:color w:val="auto"/>
        </w:rPr>
        <w:t>political, economic, legal, social and health risks, including the COVID-19 pandemic and subsequent public health measures that may affect our business or the global economy;</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beliefs and objectives for future operations;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develop and protect our brand;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maintain and grow the payment volume that we process;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further attract, retain, and expand our client base;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develop new solutions and services and bring them to market in a timely manner;</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expectations concerning relationships with third parties, including strategic partners;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effects of increased competition in our markets and our ability to compete effectively;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future acquisitions or investments in complementary companies, products, services, or technologies;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enter new client verticals, including our relatively new B2B sector;</w:t>
      </w:r>
    </w:p>
    <w:p>
      <w:pPr>
        <w:spacing w:after="0" w:line="131" w:lineRule="exact"/>
        <w:rPr>
          <w:sz w:val="20"/>
          <w:szCs w:val="20"/>
          <w:color w:val="auto"/>
        </w:rPr>
      </w:pPr>
    </w:p>
    <w:p>
      <w:pPr>
        <w:ind w:left="960" w:right="800"/>
        <w:spacing w:after="0" w:line="277" w:lineRule="auto"/>
        <w:rPr>
          <w:sz w:val="20"/>
          <w:szCs w:val="20"/>
          <w:color w:val="auto"/>
        </w:rPr>
      </w:pPr>
      <w:r>
        <w:rPr>
          <w:rFonts w:ascii="Arial" w:cs="Arial" w:eastAsia="Arial" w:hAnsi="Arial"/>
          <w:sz w:val="18"/>
          <w:szCs w:val="18"/>
          <w:color w:val="auto"/>
        </w:rPr>
        <w:t>our expectations regarding anticipated technology needs and developments and our ability to address those needs and developments with our solutions;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expectations regarding litigation and legal and regulatory matters;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expectations regarding our ability to meet existing performance obligations and maintain the operability of our solutions;</w:t>
      </w:r>
    </w:p>
    <w:p>
      <w:pPr>
        <w:spacing w:after="0" w:line="131" w:lineRule="exact"/>
        <w:rPr>
          <w:sz w:val="20"/>
          <w:szCs w:val="20"/>
          <w:color w:val="auto"/>
        </w:rPr>
      </w:pPr>
    </w:p>
    <w:p>
      <w:pPr>
        <w:ind w:left="960" w:right="260"/>
        <w:spacing w:after="0" w:line="277" w:lineRule="auto"/>
        <w:rPr>
          <w:sz w:val="20"/>
          <w:szCs w:val="20"/>
          <w:color w:val="auto"/>
        </w:rPr>
      </w:pPr>
      <w:r>
        <w:rPr>
          <w:rFonts w:ascii="Arial" w:cs="Arial" w:eastAsia="Arial" w:hAnsi="Arial"/>
          <w:sz w:val="18"/>
          <w:szCs w:val="18"/>
          <w:color w:val="auto"/>
        </w:rPr>
        <w:t>our expectations regarding the effects of existing and developing laws and regulations, including with respect to payments and financial services, taxation, privacy and data protection;</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economic and industry trends, projected growth, or trend analysis;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attract and retain qualified employees;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maintain, protect, and enhance our intellectual property;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maintain the security and availability of our solutions;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increased expenses associated with being a public company;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future market price of our common stock.</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3" w:name="page4"/>
    <w:bookmarkEnd w:id="3"/>
    <w:p>
      <w:pPr>
        <w:ind w:right="60" w:firstLine="1146"/>
        <w:spacing w:after="0" w:line="268" w:lineRule="auto"/>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Form 10-Q. Other sections of this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205" w:lineRule="exact"/>
        <w:rPr>
          <w:sz w:val="20"/>
          <w:szCs w:val="20"/>
          <w:color w:val="auto"/>
        </w:rPr>
      </w:pPr>
    </w:p>
    <w:p>
      <w:pPr>
        <w:ind w:firstLine="1146"/>
        <w:spacing w:after="0" w:line="268"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5" w:lineRule="exact"/>
        <w:rPr>
          <w:sz w:val="20"/>
          <w:szCs w:val="20"/>
          <w:color w:val="auto"/>
        </w:rPr>
      </w:pPr>
    </w:p>
    <w:p>
      <w:pPr>
        <w:ind w:firstLine="1146"/>
        <w:spacing w:after="0" w:line="26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8" w:lineRule="exact"/>
        <w:rPr>
          <w:sz w:val="20"/>
          <w:szCs w:val="20"/>
          <w:color w:val="auto"/>
        </w:rPr>
      </w:pPr>
    </w:p>
    <w:p>
      <w:pPr>
        <w:ind w:right="100" w:firstLine="1146"/>
        <w:spacing w:after="0" w:line="268" w:lineRule="auto"/>
        <w:rPr>
          <w:sz w:val="20"/>
          <w:szCs w:val="20"/>
          <w:color w:val="auto"/>
        </w:rPr>
      </w:pPr>
      <w:r>
        <w:rPr>
          <w:rFonts w:ascii="Arial" w:cs="Arial" w:eastAsia="Arial" w:hAnsi="Arial"/>
          <w:sz w:val="18"/>
          <w:szCs w:val="18"/>
          <w:color w:val="auto"/>
        </w:rPr>
        <w:t>Investors, the media, and others should note that we intend to announce material information to the public through filings with the SEC, the investor relations page on our website, blog posts on our website (www.flywire.com), press releases, public conference calls, webcasts, and our Twitter feed (@flywire).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our website are not incorporated into this filing. We have included our investor relations website address only as an inactive textual reference and do not intend it to be an active link to our website.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PART I—FINANCIAL INFORMATION</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w:t>
        <w:tab/>
        <w:t>Financial Statements.</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(Amounts in thousands, except share and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4"/>
                <w:szCs w:val="14"/>
                <w:color w:val="auto"/>
              </w:rPr>
            </w:pPr>
          </w:p>
        </w:tc>
        <w:tc>
          <w:tcPr>
            <w:tcW w:w="1440" w:type="dxa"/>
            <w:vAlign w:val="bottom"/>
          </w:tcPr>
          <w:p>
            <w:pPr>
              <w:jc w:val="right"/>
              <w:ind w:right="397"/>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7"/>
        </w:trPr>
        <w:tc>
          <w:tcPr>
            <w:tcW w:w="57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77"/>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Assets</w:t>
            </w:r>
          </w:p>
        </w:tc>
        <w:tc>
          <w:tcPr>
            <w:tcW w:w="1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tcBorders>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70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and cash equivalents</w:t>
            </w:r>
          </w:p>
        </w:tc>
        <w:tc>
          <w:tcPr>
            <w:tcW w:w="222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449,130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144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104,052</w:t>
            </w:r>
          </w:p>
        </w:tc>
        <w:tc>
          <w:tcPr>
            <w:tcW w:w="0" w:type="dxa"/>
            <w:vAlign w:val="bottom"/>
          </w:tcPr>
          <w:p>
            <w:pPr>
              <w:spacing w:after="0"/>
              <w:rPr>
                <w:sz w:val="1"/>
                <w:szCs w:val="1"/>
                <w:color w:val="auto"/>
              </w:rPr>
            </w:pPr>
          </w:p>
        </w:tc>
      </w:tr>
      <w:tr>
        <w:trPr>
          <w:trHeight w:val="181"/>
        </w:trPr>
        <w:tc>
          <w:tcPr>
            <w:tcW w:w="5700" w:type="dxa"/>
            <w:vAlign w:val="bottom"/>
          </w:tcPr>
          <w:p>
            <w:pPr>
              <w:ind w:left="200"/>
              <w:spacing w:after="0"/>
              <w:rPr>
                <w:sz w:val="20"/>
                <w:szCs w:val="20"/>
                <w:color w:val="auto"/>
              </w:rPr>
            </w:pPr>
            <w:r>
              <w:rPr>
                <w:rFonts w:ascii="Arial" w:cs="Arial" w:eastAsia="Arial" w:hAnsi="Arial"/>
                <w:sz w:val="13"/>
                <w:szCs w:val="13"/>
                <w:color w:val="auto"/>
              </w:rPr>
              <w:t>Restricted cash</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4,000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5,000</w:t>
            </w:r>
          </w:p>
        </w:tc>
        <w:tc>
          <w:tcPr>
            <w:tcW w:w="0" w:type="dxa"/>
            <w:vAlign w:val="bottom"/>
          </w:tcPr>
          <w:p>
            <w:pPr>
              <w:spacing w:after="0"/>
              <w:rPr>
                <w:sz w:val="1"/>
                <w:szCs w:val="1"/>
                <w:color w:val="auto"/>
              </w:rPr>
            </w:pPr>
          </w:p>
        </w:tc>
      </w:tr>
      <w:tr>
        <w:trPr>
          <w:trHeight w:val="197"/>
        </w:trPr>
        <w:tc>
          <w:tcPr>
            <w:tcW w:w="5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Accounts receivable, net of allowance for doubtful accounts of $26 and $481, respectively</w:t>
            </w:r>
          </w:p>
        </w:tc>
        <w:tc>
          <w:tcPr>
            <w:tcW w:w="1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12,949</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11,573</w:t>
            </w:r>
          </w:p>
        </w:tc>
        <w:tc>
          <w:tcPr>
            <w:tcW w:w="0" w:type="dxa"/>
            <w:vAlign w:val="bottom"/>
          </w:tcPr>
          <w:p>
            <w:pPr>
              <w:spacing w:after="0"/>
              <w:rPr>
                <w:sz w:val="1"/>
                <w:szCs w:val="1"/>
                <w:color w:val="auto"/>
              </w:rPr>
            </w:pPr>
          </w:p>
        </w:tc>
      </w:tr>
      <w:tr>
        <w:trPr>
          <w:trHeight w:val="181"/>
        </w:trPr>
        <w:tc>
          <w:tcPr>
            <w:tcW w:w="5700" w:type="dxa"/>
            <w:vAlign w:val="bottom"/>
          </w:tcPr>
          <w:p>
            <w:pPr>
              <w:ind w:left="200"/>
              <w:spacing w:after="0"/>
              <w:rPr>
                <w:sz w:val="20"/>
                <w:szCs w:val="20"/>
                <w:color w:val="auto"/>
              </w:rPr>
            </w:pPr>
            <w:r>
              <w:rPr>
                <w:rFonts w:ascii="Arial" w:cs="Arial" w:eastAsia="Arial" w:hAnsi="Arial"/>
                <w:sz w:val="13"/>
                <w:szCs w:val="13"/>
                <w:color w:val="auto"/>
              </w:rPr>
              <w:t>Unbilled receivables</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1,760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1,698</w:t>
            </w:r>
          </w:p>
        </w:tc>
        <w:tc>
          <w:tcPr>
            <w:tcW w:w="0" w:type="dxa"/>
            <w:vAlign w:val="bottom"/>
          </w:tcPr>
          <w:p>
            <w:pPr>
              <w:spacing w:after="0"/>
              <w:rPr>
                <w:sz w:val="1"/>
                <w:szCs w:val="1"/>
                <w:color w:val="auto"/>
              </w:rPr>
            </w:pPr>
          </w:p>
        </w:tc>
      </w:tr>
      <w:tr>
        <w:trPr>
          <w:trHeight w:val="197"/>
        </w:trPr>
        <w:tc>
          <w:tcPr>
            <w:tcW w:w="5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Funds receivable from payment partners</w:t>
            </w:r>
          </w:p>
        </w:tc>
        <w:tc>
          <w:tcPr>
            <w:tcW w:w="1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21,896</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22,481</w:t>
            </w:r>
          </w:p>
        </w:tc>
        <w:tc>
          <w:tcPr>
            <w:tcW w:w="0" w:type="dxa"/>
            <w:vAlign w:val="bottom"/>
          </w:tcPr>
          <w:p>
            <w:pPr>
              <w:spacing w:after="0"/>
              <w:rPr>
                <w:sz w:val="1"/>
                <w:szCs w:val="1"/>
                <w:color w:val="auto"/>
              </w:rPr>
            </w:pPr>
          </w:p>
        </w:tc>
      </w:tr>
      <w:tr>
        <w:trPr>
          <w:trHeight w:val="183"/>
        </w:trPr>
        <w:tc>
          <w:tcPr>
            <w:tcW w:w="5700" w:type="dxa"/>
            <w:vAlign w:val="bottom"/>
          </w:tcPr>
          <w:p>
            <w:pPr>
              <w:ind w:left="200"/>
              <w:spacing w:after="0"/>
              <w:rPr>
                <w:sz w:val="20"/>
                <w:szCs w:val="20"/>
                <w:color w:val="auto"/>
              </w:rPr>
            </w:pPr>
            <w:r>
              <w:rPr>
                <w:rFonts w:ascii="Arial" w:cs="Arial" w:eastAsia="Arial" w:hAnsi="Arial"/>
                <w:sz w:val="13"/>
                <w:szCs w:val="13"/>
                <w:color w:val="auto"/>
              </w:rPr>
              <w:t>Prepaid expenses and other current assets</w:t>
            </w:r>
          </w:p>
        </w:tc>
        <w:tc>
          <w:tcPr>
            <w:tcW w:w="1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10,208</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3,754</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Total current assets</w:t>
            </w:r>
          </w:p>
        </w:tc>
        <w:tc>
          <w:tcPr>
            <w:tcW w:w="1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499,943</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148,558</w:t>
            </w:r>
          </w:p>
        </w:tc>
        <w:tc>
          <w:tcPr>
            <w:tcW w:w="0" w:type="dxa"/>
            <w:vAlign w:val="bottom"/>
          </w:tcPr>
          <w:p>
            <w:pPr>
              <w:spacing w:after="0"/>
              <w:rPr>
                <w:sz w:val="1"/>
                <w:szCs w:val="1"/>
                <w:color w:val="auto"/>
              </w:rPr>
            </w:pPr>
          </w:p>
        </w:tc>
      </w:tr>
      <w:tr>
        <w:trPr>
          <w:trHeight w:val="181"/>
        </w:trPr>
        <w:tc>
          <w:tcPr>
            <w:tcW w:w="5700" w:type="dxa"/>
            <w:vAlign w:val="bottom"/>
          </w:tcPr>
          <w:p>
            <w:pPr>
              <w:ind w:left="20"/>
              <w:spacing w:after="0"/>
              <w:rPr>
                <w:sz w:val="20"/>
                <w:szCs w:val="20"/>
                <w:color w:val="auto"/>
              </w:rPr>
            </w:pPr>
            <w:r>
              <w:rPr>
                <w:rFonts w:ascii="Arial" w:cs="Arial" w:eastAsia="Arial" w:hAnsi="Arial"/>
                <w:sz w:val="13"/>
                <w:szCs w:val="13"/>
                <w:color w:val="auto"/>
              </w:rPr>
              <w:t>Property and equipment, net</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8,690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5,101</w:t>
            </w:r>
          </w:p>
        </w:tc>
        <w:tc>
          <w:tcPr>
            <w:tcW w:w="0" w:type="dxa"/>
            <w:vAlign w:val="bottom"/>
          </w:tcPr>
          <w:p>
            <w:pPr>
              <w:spacing w:after="0"/>
              <w:rPr>
                <w:sz w:val="1"/>
                <w:szCs w:val="1"/>
                <w:color w:val="auto"/>
              </w:rPr>
            </w:pPr>
          </w:p>
        </w:tc>
      </w:tr>
      <w:tr>
        <w:trPr>
          <w:trHeight w:val="197"/>
        </w:trPr>
        <w:tc>
          <w:tcPr>
            <w:tcW w:w="5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Intangible assets, net</w:t>
            </w:r>
          </w:p>
        </w:tc>
        <w:tc>
          <w:tcPr>
            <w:tcW w:w="1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63,379</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68,211</w:t>
            </w:r>
          </w:p>
        </w:tc>
        <w:tc>
          <w:tcPr>
            <w:tcW w:w="0" w:type="dxa"/>
            <w:vAlign w:val="bottom"/>
          </w:tcPr>
          <w:p>
            <w:pPr>
              <w:spacing w:after="0"/>
              <w:rPr>
                <w:sz w:val="1"/>
                <w:szCs w:val="1"/>
                <w:color w:val="auto"/>
              </w:rPr>
            </w:pPr>
          </w:p>
        </w:tc>
      </w:tr>
      <w:tr>
        <w:trPr>
          <w:trHeight w:val="181"/>
        </w:trPr>
        <w:tc>
          <w:tcPr>
            <w:tcW w:w="5700" w:type="dxa"/>
            <w:vAlign w:val="bottom"/>
          </w:tcPr>
          <w:p>
            <w:pPr>
              <w:ind w:left="20"/>
              <w:spacing w:after="0"/>
              <w:rPr>
                <w:sz w:val="20"/>
                <w:szCs w:val="20"/>
                <w:color w:val="auto"/>
              </w:rPr>
            </w:pPr>
            <w:r>
              <w:rPr>
                <w:rFonts w:ascii="Arial" w:cs="Arial" w:eastAsia="Arial" w:hAnsi="Arial"/>
                <w:sz w:val="13"/>
                <w:szCs w:val="13"/>
                <w:color w:val="auto"/>
              </w:rPr>
              <w:t>Goodwill</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44,632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44,650</w:t>
            </w:r>
          </w:p>
        </w:tc>
        <w:tc>
          <w:tcPr>
            <w:tcW w:w="0" w:type="dxa"/>
            <w:vAlign w:val="bottom"/>
          </w:tcPr>
          <w:p>
            <w:pPr>
              <w:spacing w:after="0"/>
              <w:rPr>
                <w:sz w:val="1"/>
                <w:szCs w:val="1"/>
                <w:color w:val="auto"/>
              </w:rPr>
            </w:pPr>
          </w:p>
        </w:tc>
      </w:tr>
      <w:tr>
        <w:trPr>
          <w:trHeight w:val="190"/>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Other assets</w:t>
            </w:r>
          </w:p>
        </w:tc>
        <w:tc>
          <w:tcPr>
            <w:tcW w:w="19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6,340</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4,922</w:t>
            </w:r>
          </w:p>
        </w:tc>
        <w:tc>
          <w:tcPr>
            <w:tcW w:w="0" w:type="dxa"/>
            <w:vAlign w:val="bottom"/>
          </w:tcPr>
          <w:p>
            <w:pPr>
              <w:spacing w:after="0"/>
              <w:rPr>
                <w:sz w:val="1"/>
                <w:szCs w:val="1"/>
                <w:color w:val="auto"/>
              </w:rPr>
            </w:pPr>
          </w:p>
        </w:tc>
      </w:tr>
      <w:tr>
        <w:trPr>
          <w:trHeight w:val="183"/>
        </w:trPr>
        <w:tc>
          <w:tcPr>
            <w:tcW w:w="5700" w:type="dxa"/>
            <w:vAlign w:val="bottom"/>
          </w:tcPr>
          <w:p>
            <w:pPr>
              <w:ind w:left="560"/>
              <w:spacing w:after="0"/>
              <w:rPr>
                <w:sz w:val="20"/>
                <w:szCs w:val="20"/>
                <w:color w:val="auto"/>
              </w:rPr>
            </w:pPr>
            <w:r>
              <w:rPr>
                <w:rFonts w:ascii="Arial" w:cs="Arial" w:eastAsia="Arial" w:hAnsi="Arial"/>
                <w:sz w:val="13"/>
                <w:szCs w:val="13"/>
                <w:color w:val="auto"/>
              </w:rPr>
              <w:t>Total assets</w:t>
            </w:r>
          </w:p>
        </w:tc>
        <w:tc>
          <w:tcPr>
            <w:tcW w:w="1980" w:type="dxa"/>
            <w:vAlign w:val="bottom"/>
          </w:tcPr>
          <w:p>
            <w:pPr>
              <w:spacing w:after="0"/>
              <w:rPr>
                <w:sz w:val="15"/>
                <w:szCs w:val="15"/>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622,984</w:t>
            </w:r>
          </w:p>
        </w:tc>
        <w:tc>
          <w:tcPr>
            <w:tcW w:w="24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271,442</w:t>
            </w:r>
          </w:p>
        </w:tc>
        <w:tc>
          <w:tcPr>
            <w:tcW w:w="0" w:type="dxa"/>
            <w:vAlign w:val="bottom"/>
          </w:tcPr>
          <w:p>
            <w:pPr>
              <w:spacing w:after="0"/>
              <w:rPr>
                <w:sz w:val="1"/>
                <w:szCs w:val="1"/>
                <w:color w:val="auto"/>
              </w:rPr>
            </w:pPr>
          </w:p>
        </w:tc>
      </w:tr>
      <w:tr>
        <w:trPr>
          <w:trHeight w:val="20"/>
        </w:trPr>
        <w:tc>
          <w:tcPr>
            <w:tcW w:w="76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92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Liabilities, Convertible Preferred Stock, Redeemable Convertible Preferred Stock and Stockholders’ Equity</w:t>
            </w: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4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70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(Deficit)</w:t>
            </w:r>
          </w:p>
        </w:tc>
        <w:tc>
          <w:tcPr>
            <w:tcW w:w="1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tcBorders>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70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Accounts payable</w:t>
            </w:r>
          </w:p>
        </w:tc>
        <w:tc>
          <w:tcPr>
            <w:tcW w:w="222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12,799</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144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5,436</w:t>
            </w:r>
          </w:p>
        </w:tc>
        <w:tc>
          <w:tcPr>
            <w:tcW w:w="0" w:type="dxa"/>
            <w:vAlign w:val="bottom"/>
          </w:tcPr>
          <w:p>
            <w:pPr>
              <w:spacing w:after="0"/>
              <w:rPr>
                <w:sz w:val="1"/>
                <w:szCs w:val="1"/>
                <w:color w:val="auto"/>
              </w:rPr>
            </w:pPr>
          </w:p>
        </w:tc>
      </w:tr>
      <w:tr>
        <w:trPr>
          <w:trHeight w:val="181"/>
        </w:trPr>
        <w:tc>
          <w:tcPr>
            <w:tcW w:w="5700" w:type="dxa"/>
            <w:vAlign w:val="bottom"/>
          </w:tcPr>
          <w:p>
            <w:pPr>
              <w:ind w:left="200"/>
              <w:spacing w:after="0"/>
              <w:rPr>
                <w:sz w:val="20"/>
                <w:szCs w:val="20"/>
                <w:color w:val="auto"/>
              </w:rPr>
            </w:pPr>
            <w:r>
              <w:rPr>
                <w:rFonts w:ascii="Arial" w:cs="Arial" w:eastAsia="Arial" w:hAnsi="Arial"/>
                <w:sz w:val="13"/>
                <w:szCs w:val="13"/>
                <w:color w:val="auto"/>
              </w:rPr>
              <w:t>Funds payable to clients</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66,855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59,986</w:t>
            </w:r>
          </w:p>
        </w:tc>
        <w:tc>
          <w:tcPr>
            <w:tcW w:w="0" w:type="dxa"/>
            <w:vAlign w:val="bottom"/>
          </w:tcPr>
          <w:p>
            <w:pPr>
              <w:spacing w:after="0"/>
              <w:rPr>
                <w:sz w:val="1"/>
                <w:szCs w:val="1"/>
                <w:color w:val="auto"/>
              </w:rPr>
            </w:pPr>
          </w:p>
        </w:tc>
      </w:tr>
      <w:tr>
        <w:trPr>
          <w:trHeight w:val="197"/>
        </w:trPr>
        <w:tc>
          <w:tcPr>
            <w:tcW w:w="5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Accrued expenses and other current liabilities</w:t>
            </w:r>
          </w:p>
        </w:tc>
        <w:tc>
          <w:tcPr>
            <w:tcW w:w="1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18,531</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14,991</w:t>
            </w:r>
          </w:p>
        </w:tc>
        <w:tc>
          <w:tcPr>
            <w:tcW w:w="0" w:type="dxa"/>
            <w:vAlign w:val="bottom"/>
          </w:tcPr>
          <w:p>
            <w:pPr>
              <w:spacing w:after="0"/>
              <w:rPr>
                <w:sz w:val="1"/>
                <w:szCs w:val="1"/>
                <w:color w:val="auto"/>
              </w:rPr>
            </w:pPr>
          </w:p>
        </w:tc>
      </w:tr>
      <w:tr>
        <w:trPr>
          <w:trHeight w:val="181"/>
        </w:trPr>
        <w:tc>
          <w:tcPr>
            <w:tcW w:w="5700" w:type="dxa"/>
            <w:vAlign w:val="bottom"/>
          </w:tcPr>
          <w:p>
            <w:pPr>
              <w:ind w:left="200"/>
              <w:spacing w:after="0"/>
              <w:rPr>
                <w:sz w:val="20"/>
                <w:szCs w:val="20"/>
                <w:color w:val="auto"/>
              </w:rPr>
            </w:pPr>
            <w:r>
              <w:rPr>
                <w:rFonts w:ascii="Arial" w:cs="Arial" w:eastAsia="Arial" w:hAnsi="Arial"/>
                <w:sz w:val="13"/>
                <w:szCs w:val="13"/>
                <w:color w:val="auto"/>
              </w:rPr>
              <w:t>Deferred revenue</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1,330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1,227</w:t>
            </w:r>
          </w:p>
        </w:tc>
        <w:tc>
          <w:tcPr>
            <w:tcW w:w="0" w:type="dxa"/>
            <w:vAlign w:val="bottom"/>
          </w:tcPr>
          <w:p>
            <w:pPr>
              <w:spacing w:after="0"/>
              <w:rPr>
                <w:sz w:val="1"/>
                <w:szCs w:val="1"/>
                <w:color w:val="auto"/>
              </w:rPr>
            </w:pPr>
          </w:p>
        </w:tc>
      </w:tr>
      <w:tr>
        <w:trPr>
          <w:trHeight w:val="190"/>
        </w:trPr>
        <w:tc>
          <w:tcPr>
            <w:tcW w:w="5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Contingent consideration</w:t>
            </w:r>
          </w:p>
        </w:tc>
        <w:tc>
          <w:tcPr>
            <w:tcW w:w="19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7,580</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6,740</w:t>
            </w:r>
          </w:p>
        </w:tc>
        <w:tc>
          <w:tcPr>
            <w:tcW w:w="0" w:type="dxa"/>
            <w:vAlign w:val="bottom"/>
          </w:tcPr>
          <w:p>
            <w:pPr>
              <w:spacing w:after="0"/>
              <w:rPr>
                <w:sz w:val="1"/>
                <w:szCs w:val="1"/>
                <w:color w:val="auto"/>
              </w:rPr>
            </w:pPr>
          </w:p>
        </w:tc>
      </w:tr>
      <w:tr>
        <w:trPr>
          <w:trHeight w:val="181"/>
        </w:trPr>
        <w:tc>
          <w:tcPr>
            <w:tcW w:w="5700" w:type="dxa"/>
            <w:vAlign w:val="bottom"/>
          </w:tcPr>
          <w:p>
            <w:pPr>
              <w:ind w:left="560"/>
              <w:spacing w:after="0"/>
              <w:rPr>
                <w:sz w:val="20"/>
                <w:szCs w:val="20"/>
                <w:color w:val="auto"/>
              </w:rPr>
            </w:pPr>
            <w:r>
              <w:rPr>
                <w:rFonts w:ascii="Arial" w:cs="Arial" w:eastAsia="Arial" w:hAnsi="Arial"/>
                <w:sz w:val="13"/>
                <w:szCs w:val="13"/>
                <w:color w:val="auto"/>
              </w:rPr>
              <w:t>Total current liabilities</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107,095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88,380</w:t>
            </w:r>
          </w:p>
        </w:tc>
        <w:tc>
          <w:tcPr>
            <w:tcW w:w="0" w:type="dxa"/>
            <w:vAlign w:val="bottom"/>
          </w:tcPr>
          <w:p>
            <w:pPr>
              <w:spacing w:after="0"/>
              <w:rPr>
                <w:sz w:val="1"/>
                <w:szCs w:val="1"/>
                <w:color w:val="auto"/>
              </w:rPr>
            </w:pPr>
          </w:p>
        </w:tc>
      </w:tr>
      <w:tr>
        <w:trPr>
          <w:trHeight w:val="197"/>
        </w:trPr>
        <w:tc>
          <w:tcPr>
            <w:tcW w:w="5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Deferred tax liabilities</w:t>
            </w:r>
          </w:p>
        </w:tc>
        <w:tc>
          <w:tcPr>
            <w:tcW w:w="1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481</w:t>
            </w:r>
          </w:p>
        </w:tc>
        <w:tc>
          <w:tcPr>
            <w:tcW w:w="0" w:type="dxa"/>
            <w:vAlign w:val="bottom"/>
          </w:tcPr>
          <w:p>
            <w:pPr>
              <w:spacing w:after="0"/>
              <w:rPr>
                <w:sz w:val="1"/>
                <w:szCs w:val="1"/>
                <w:color w:val="auto"/>
              </w:rPr>
            </w:pPr>
          </w:p>
        </w:tc>
      </w:tr>
      <w:tr>
        <w:trPr>
          <w:trHeight w:val="181"/>
        </w:trPr>
        <w:tc>
          <w:tcPr>
            <w:tcW w:w="5700" w:type="dxa"/>
            <w:vAlign w:val="bottom"/>
          </w:tcPr>
          <w:p>
            <w:pPr>
              <w:ind w:left="20"/>
              <w:spacing w:after="0"/>
              <w:rPr>
                <w:sz w:val="20"/>
                <w:szCs w:val="20"/>
                <w:color w:val="auto"/>
              </w:rPr>
            </w:pPr>
            <w:r>
              <w:rPr>
                <w:rFonts w:ascii="Arial" w:cs="Arial" w:eastAsia="Arial" w:hAnsi="Arial"/>
                <w:sz w:val="13"/>
                <w:szCs w:val="13"/>
                <w:color w:val="auto"/>
              </w:rPr>
              <w:t>Contingent consideration, net of current portion</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5,760</w:t>
            </w:r>
          </w:p>
        </w:tc>
        <w:tc>
          <w:tcPr>
            <w:tcW w:w="0" w:type="dxa"/>
            <w:vAlign w:val="bottom"/>
          </w:tcPr>
          <w:p>
            <w:pPr>
              <w:spacing w:after="0"/>
              <w:rPr>
                <w:sz w:val="1"/>
                <w:szCs w:val="1"/>
                <w:color w:val="auto"/>
              </w:rPr>
            </w:pPr>
          </w:p>
        </w:tc>
      </w:tr>
      <w:tr>
        <w:trPr>
          <w:trHeight w:val="197"/>
        </w:trPr>
        <w:tc>
          <w:tcPr>
            <w:tcW w:w="5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Preferred stock warrant liability</w:t>
            </w:r>
          </w:p>
        </w:tc>
        <w:tc>
          <w:tcPr>
            <w:tcW w:w="1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7"/>
                <w:szCs w:val="17"/>
                <w:color w:val="auto"/>
              </w:rPr>
            </w:pPr>
          </w:p>
        </w:tc>
        <w:tc>
          <w:tcPr>
            <w:tcW w:w="144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1,932</w:t>
            </w:r>
          </w:p>
        </w:tc>
        <w:tc>
          <w:tcPr>
            <w:tcW w:w="0" w:type="dxa"/>
            <w:vAlign w:val="bottom"/>
          </w:tcPr>
          <w:p>
            <w:pPr>
              <w:spacing w:after="0"/>
              <w:rPr>
                <w:sz w:val="1"/>
                <w:szCs w:val="1"/>
                <w:color w:val="auto"/>
              </w:rPr>
            </w:pPr>
          </w:p>
        </w:tc>
      </w:tr>
      <w:tr>
        <w:trPr>
          <w:trHeight w:val="181"/>
        </w:trPr>
        <w:tc>
          <w:tcPr>
            <w:tcW w:w="5700" w:type="dxa"/>
            <w:vAlign w:val="bottom"/>
          </w:tcPr>
          <w:p>
            <w:pPr>
              <w:ind w:left="20"/>
              <w:spacing w:after="0"/>
              <w:rPr>
                <w:sz w:val="20"/>
                <w:szCs w:val="20"/>
                <w:color w:val="auto"/>
              </w:rPr>
            </w:pPr>
            <w:r>
              <w:rPr>
                <w:rFonts w:ascii="Arial" w:cs="Arial" w:eastAsia="Arial" w:hAnsi="Arial"/>
                <w:sz w:val="13"/>
                <w:szCs w:val="13"/>
                <w:color w:val="auto"/>
              </w:rPr>
              <w:t>Long-term debt</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25,933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24,352</w:t>
            </w:r>
          </w:p>
        </w:tc>
        <w:tc>
          <w:tcPr>
            <w:tcW w:w="0" w:type="dxa"/>
            <w:vAlign w:val="bottom"/>
          </w:tcPr>
          <w:p>
            <w:pPr>
              <w:spacing w:after="0"/>
              <w:rPr>
                <w:sz w:val="1"/>
                <w:szCs w:val="1"/>
                <w:color w:val="auto"/>
              </w:rPr>
            </w:pPr>
          </w:p>
        </w:tc>
      </w:tr>
      <w:tr>
        <w:trPr>
          <w:trHeight w:val="190"/>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Other liabilities</w:t>
            </w:r>
          </w:p>
        </w:tc>
        <w:tc>
          <w:tcPr>
            <w:tcW w:w="19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1,587</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2,129</w:t>
            </w:r>
          </w:p>
        </w:tc>
        <w:tc>
          <w:tcPr>
            <w:tcW w:w="0" w:type="dxa"/>
            <w:vAlign w:val="bottom"/>
          </w:tcPr>
          <w:p>
            <w:pPr>
              <w:spacing w:after="0"/>
              <w:rPr>
                <w:sz w:val="1"/>
                <w:szCs w:val="1"/>
                <w:color w:val="auto"/>
              </w:rPr>
            </w:pPr>
          </w:p>
        </w:tc>
      </w:tr>
      <w:tr>
        <w:trPr>
          <w:trHeight w:val="183"/>
        </w:trPr>
        <w:tc>
          <w:tcPr>
            <w:tcW w:w="5700" w:type="dxa"/>
            <w:vAlign w:val="bottom"/>
          </w:tcPr>
          <w:p>
            <w:pPr>
              <w:ind w:left="560"/>
              <w:spacing w:after="0"/>
              <w:rPr>
                <w:sz w:val="20"/>
                <w:szCs w:val="20"/>
                <w:color w:val="auto"/>
              </w:rPr>
            </w:pPr>
            <w:r>
              <w:rPr>
                <w:rFonts w:ascii="Arial" w:cs="Arial" w:eastAsia="Arial" w:hAnsi="Arial"/>
                <w:sz w:val="13"/>
                <w:szCs w:val="13"/>
                <w:color w:val="auto"/>
              </w:rPr>
              <w:t>Total liabilities</w:t>
            </w:r>
          </w:p>
        </w:tc>
        <w:tc>
          <w:tcPr>
            <w:tcW w:w="1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135,272</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123,034</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Commitments and contingencies (Note 15)</w:t>
            </w:r>
          </w:p>
        </w:tc>
        <w:tc>
          <w:tcPr>
            <w:tcW w:w="1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tcBorders>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7920" w:type="dxa"/>
            <w:vAlign w:val="bottom"/>
            <w:gridSpan w:val="3"/>
          </w:tcPr>
          <w:p>
            <w:pPr>
              <w:ind w:left="20"/>
              <w:spacing w:after="0"/>
              <w:rPr>
                <w:sz w:val="20"/>
                <w:szCs w:val="20"/>
                <w:color w:val="auto"/>
              </w:rPr>
            </w:pPr>
            <w:r>
              <w:rPr>
                <w:rFonts w:ascii="Arial" w:cs="Arial" w:eastAsia="Arial" w:hAnsi="Arial"/>
                <w:sz w:val="13"/>
                <w:szCs w:val="13"/>
                <w:color w:val="auto"/>
              </w:rPr>
              <w:t>Convertible preferred stock (Series A, B, B1, B1-NV, C and D), $0.0001 par value; 0 and 62,915,394 shares</w:t>
            </w: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920" w:type="dxa"/>
            <w:vAlign w:val="bottom"/>
            <w:gridSpan w:val="3"/>
          </w:tcPr>
          <w:p>
            <w:pPr>
              <w:ind w:left="120"/>
              <w:spacing w:after="0"/>
              <w:rPr>
                <w:sz w:val="20"/>
                <w:szCs w:val="20"/>
                <w:color w:val="auto"/>
              </w:rPr>
            </w:pPr>
            <w:r>
              <w:rPr>
                <w:rFonts w:ascii="Arial" w:cs="Arial" w:eastAsia="Arial" w:hAnsi="Arial"/>
                <w:sz w:val="13"/>
                <w:szCs w:val="13"/>
                <w:color w:val="auto"/>
              </w:rPr>
              <w:t>authorized at September 30, 2021 and December 31, 2020, respectively; 0 and 54,208,461 shares issued and</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20" w:type="dxa"/>
            <w:vAlign w:val="bottom"/>
            <w:gridSpan w:val="3"/>
          </w:tcPr>
          <w:p>
            <w:pPr>
              <w:ind w:left="120"/>
              <w:spacing w:after="0"/>
              <w:rPr>
                <w:sz w:val="20"/>
                <w:szCs w:val="20"/>
                <w:color w:val="auto"/>
              </w:rPr>
            </w:pPr>
            <w:r>
              <w:rPr>
                <w:rFonts w:ascii="Arial" w:cs="Arial" w:eastAsia="Arial" w:hAnsi="Arial"/>
                <w:sz w:val="13"/>
                <w:szCs w:val="13"/>
                <w:color w:val="auto"/>
              </w:rPr>
              <w:t>outstanding at September 30, 2021 and December 31, 2020, respectively; liquidation preference of $0 and</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00" w:type="dxa"/>
            <w:vAlign w:val="bottom"/>
          </w:tcPr>
          <w:p>
            <w:pPr>
              <w:ind w:left="120"/>
              <w:spacing w:after="0"/>
              <w:rPr>
                <w:sz w:val="20"/>
                <w:szCs w:val="20"/>
                <w:color w:val="auto"/>
              </w:rPr>
            </w:pPr>
            <w:r>
              <w:rPr>
                <w:rFonts w:ascii="Arial" w:cs="Arial" w:eastAsia="Arial" w:hAnsi="Arial"/>
                <w:sz w:val="13"/>
                <w:szCs w:val="13"/>
                <w:color w:val="auto"/>
              </w:rPr>
              <w:t>$110,716 at September 30, 2021 and December 31, 2020, respectively</w:t>
            </w: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110,401</w:t>
            </w:r>
          </w:p>
        </w:tc>
        <w:tc>
          <w:tcPr>
            <w:tcW w:w="0" w:type="dxa"/>
            <w:vAlign w:val="bottom"/>
          </w:tcPr>
          <w:p>
            <w:pPr>
              <w:spacing w:after="0"/>
              <w:rPr>
                <w:sz w:val="1"/>
                <w:szCs w:val="1"/>
                <w:color w:val="auto"/>
              </w:rPr>
            </w:pPr>
          </w:p>
        </w:tc>
      </w:tr>
      <w:tr>
        <w:trPr>
          <w:trHeight w:val="181"/>
        </w:trPr>
        <w:tc>
          <w:tcPr>
            <w:tcW w:w="792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Redeemable convertible preferred stock (Series E-1, E-2, F-1 and F-2), $0.0001 par value; 0 and 16,023,132</w:t>
            </w:r>
          </w:p>
        </w:tc>
        <w:tc>
          <w:tcPr>
            <w:tcW w:w="1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4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92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shares authorized at September 30, 2021 and December 31, 2020, respectively; 0 and 11,239,920 shares issued</w:t>
            </w:r>
          </w:p>
        </w:tc>
        <w:tc>
          <w:tcPr>
            <w:tcW w:w="1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2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and outstanding at September 30, 2021 and December 31, 2020, respectively; liquidation preference of $0 and</w:t>
            </w:r>
          </w:p>
        </w:tc>
        <w:tc>
          <w:tcPr>
            <w:tcW w:w="164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440" w:type="dxa"/>
            <w:vAlign w:val="bottom"/>
            <w:tcBorders>
              <w:right w:val="single" w:sz="8" w:color="CFF0FC"/>
            </w:tcBorders>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119,769</w:t>
            </w:r>
          </w:p>
        </w:tc>
        <w:tc>
          <w:tcPr>
            <w:tcW w:w="0" w:type="dxa"/>
            <w:vAlign w:val="bottom"/>
          </w:tcPr>
          <w:p>
            <w:pPr>
              <w:spacing w:after="0"/>
              <w:rPr>
                <w:sz w:val="1"/>
                <w:szCs w:val="1"/>
                <w:color w:val="auto"/>
              </w:rPr>
            </w:pPr>
          </w:p>
        </w:tc>
      </w:tr>
      <w:tr>
        <w:trPr>
          <w:trHeight w:val="163"/>
        </w:trPr>
        <w:tc>
          <w:tcPr>
            <w:tcW w:w="57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$150,000, respectively at September 30, 2021 and December 31, 2020</w:t>
            </w:r>
          </w:p>
        </w:tc>
        <w:tc>
          <w:tcPr>
            <w:tcW w:w="1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40" w:type="dxa"/>
            <w:vAlign w:val="bottom"/>
            <w:gridSpan w:val="2"/>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0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Stockholders’ (deficit) equity:</w:t>
            </w:r>
          </w:p>
        </w:tc>
        <w:tc>
          <w:tcPr>
            <w:tcW w:w="198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920" w:type="dxa"/>
            <w:vAlign w:val="bottom"/>
            <w:gridSpan w:val="3"/>
            <w:shd w:val="clear" w:color="auto" w:fill="CFF0FC"/>
          </w:tcPr>
          <w:p>
            <w:pPr>
              <w:ind w:left="200"/>
              <w:spacing w:after="0"/>
              <w:rPr>
                <w:sz w:val="20"/>
                <w:szCs w:val="20"/>
                <w:color w:val="auto"/>
              </w:rPr>
            </w:pPr>
            <w:r>
              <w:rPr>
                <w:rFonts w:ascii="Arial" w:cs="Arial" w:eastAsia="Arial" w:hAnsi="Arial"/>
                <w:sz w:val="13"/>
                <w:szCs w:val="13"/>
                <w:color w:val="auto"/>
              </w:rPr>
              <w:t>Preferred stock, $0.0001 par value; 10,000,000 and 0 shares authorized as of September 30, 2021 and</w:t>
            </w:r>
          </w:p>
        </w:tc>
        <w:tc>
          <w:tcPr>
            <w:tcW w:w="1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4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920" w:type="dxa"/>
            <w:vAlign w:val="bottom"/>
            <w:gridSpan w:val="3"/>
            <w:shd w:val="clear" w:color="auto" w:fill="CFF0FC"/>
          </w:tcPr>
          <w:p>
            <w:pPr>
              <w:ind w:left="300"/>
              <w:spacing w:after="0"/>
              <w:rPr>
                <w:sz w:val="20"/>
                <w:szCs w:val="20"/>
                <w:color w:val="auto"/>
              </w:rPr>
            </w:pPr>
            <w:r>
              <w:rPr>
                <w:rFonts w:ascii="Arial" w:cs="Arial" w:eastAsia="Arial" w:hAnsi="Arial"/>
                <w:sz w:val="13"/>
                <w:szCs w:val="13"/>
                <w:color w:val="auto"/>
              </w:rPr>
              <w:t>December 31, 2020, respectively; and none issued and outstanding as of September 30, 2021 and</w:t>
            </w:r>
          </w:p>
        </w:tc>
        <w:tc>
          <w:tcPr>
            <w:tcW w:w="1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700" w:type="dxa"/>
            <w:vAlign w:val="bottom"/>
            <w:shd w:val="clear" w:color="auto" w:fill="CFF0FC"/>
          </w:tcPr>
          <w:p>
            <w:pPr>
              <w:ind w:left="300"/>
              <w:spacing w:after="0"/>
              <w:rPr>
                <w:sz w:val="20"/>
                <w:szCs w:val="20"/>
                <w:color w:val="auto"/>
              </w:rPr>
            </w:pPr>
            <w:r>
              <w:rPr>
                <w:rFonts w:ascii="Arial" w:cs="Arial" w:eastAsia="Arial" w:hAnsi="Arial"/>
                <w:sz w:val="13"/>
                <w:szCs w:val="13"/>
                <w:color w:val="auto"/>
              </w:rPr>
              <w:t>December 31, 2020, respectively</w:t>
            </w:r>
          </w:p>
        </w:tc>
        <w:tc>
          <w:tcPr>
            <w:tcW w:w="1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44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5700" w:type="dxa"/>
            <w:vAlign w:val="bottom"/>
          </w:tcPr>
          <w:p>
            <w:pPr>
              <w:ind w:left="200"/>
              <w:spacing w:after="0"/>
              <w:rPr>
                <w:sz w:val="20"/>
                <w:szCs w:val="20"/>
                <w:color w:val="auto"/>
              </w:rPr>
            </w:pPr>
            <w:r>
              <w:rPr>
                <w:rFonts w:ascii="Arial" w:cs="Arial" w:eastAsia="Arial" w:hAnsi="Arial"/>
                <w:sz w:val="13"/>
                <w:szCs w:val="13"/>
                <w:color w:val="auto"/>
                <w:w w:val="96"/>
              </w:rPr>
              <w:t>Voting common stock, $0.0001 par value; 2,000,000,000 and 146,898,270 shares authorized as of</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920" w:type="dxa"/>
            <w:vAlign w:val="bottom"/>
            <w:gridSpan w:val="3"/>
          </w:tcPr>
          <w:p>
            <w:pPr>
              <w:ind w:left="300"/>
              <w:spacing w:after="0"/>
              <w:rPr>
                <w:sz w:val="20"/>
                <w:szCs w:val="20"/>
                <w:color w:val="auto"/>
              </w:rPr>
            </w:pPr>
            <w:r>
              <w:rPr>
                <w:rFonts w:ascii="Arial" w:cs="Arial" w:eastAsia="Arial" w:hAnsi="Arial"/>
                <w:sz w:val="13"/>
                <w:szCs w:val="13"/>
                <w:color w:val="auto"/>
              </w:rPr>
              <w:t>September 30, 2021 and December 31, 2020, respectively, 100,995,903 shares issued and 98,678,181 shares</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20" w:type="dxa"/>
            <w:vAlign w:val="bottom"/>
            <w:gridSpan w:val="3"/>
          </w:tcPr>
          <w:p>
            <w:pPr>
              <w:ind w:left="300"/>
              <w:spacing w:after="0"/>
              <w:rPr>
                <w:sz w:val="20"/>
                <w:szCs w:val="20"/>
                <w:color w:val="auto"/>
              </w:rPr>
            </w:pPr>
            <w:r>
              <w:rPr>
                <w:rFonts w:ascii="Arial" w:cs="Arial" w:eastAsia="Arial" w:hAnsi="Arial"/>
                <w:sz w:val="13"/>
                <w:szCs w:val="13"/>
                <w:color w:val="auto"/>
              </w:rPr>
              <w:t>outstanding as of September 30, 2021; 22,240,872 shares issued and 19,923,150 shares outstanding as of</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00" w:type="dxa"/>
            <w:vAlign w:val="bottom"/>
          </w:tcPr>
          <w:p>
            <w:pPr>
              <w:ind w:left="300"/>
              <w:spacing w:after="0"/>
              <w:rPr>
                <w:sz w:val="20"/>
                <w:szCs w:val="20"/>
                <w:color w:val="auto"/>
              </w:rPr>
            </w:pPr>
            <w:r>
              <w:rPr>
                <w:rFonts w:ascii="Arial" w:cs="Arial" w:eastAsia="Arial" w:hAnsi="Arial"/>
                <w:sz w:val="13"/>
                <w:szCs w:val="13"/>
                <w:color w:val="auto"/>
              </w:rPr>
              <w:t>December 31, 2020</w:t>
            </w: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1"/>
        </w:trPr>
        <w:tc>
          <w:tcPr>
            <w:tcW w:w="7920" w:type="dxa"/>
            <w:vAlign w:val="bottom"/>
            <w:gridSpan w:val="3"/>
            <w:shd w:val="clear" w:color="auto" w:fill="CFF0FC"/>
          </w:tcPr>
          <w:p>
            <w:pPr>
              <w:ind w:left="200"/>
              <w:spacing w:after="0"/>
              <w:rPr>
                <w:sz w:val="20"/>
                <w:szCs w:val="20"/>
                <w:color w:val="auto"/>
              </w:rPr>
            </w:pPr>
            <w:r>
              <w:rPr>
                <w:rFonts w:ascii="Arial" w:cs="Arial" w:eastAsia="Arial" w:hAnsi="Arial"/>
                <w:sz w:val="13"/>
                <w:szCs w:val="13"/>
                <w:color w:val="auto"/>
              </w:rPr>
              <w:t>Non-voting common stock, $0.0001 par value; 10,000,000 and 0 shares authorized as of September 30, 2021</w:t>
            </w:r>
          </w:p>
        </w:tc>
        <w:tc>
          <w:tcPr>
            <w:tcW w:w="1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4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ind w:left="300"/>
              <w:spacing w:after="0"/>
              <w:rPr>
                <w:sz w:val="20"/>
                <w:szCs w:val="20"/>
                <w:color w:val="auto"/>
              </w:rPr>
            </w:pPr>
            <w:r>
              <w:rPr>
                <w:rFonts w:ascii="Arial" w:cs="Arial" w:eastAsia="Arial" w:hAnsi="Arial"/>
                <w:sz w:val="13"/>
                <w:szCs w:val="13"/>
                <w:color w:val="auto"/>
                <w:w w:val="97"/>
              </w:rPr>
              <w:t>and December 31, 2020, respectively; 5,988,378 and 0 issued and outstanding as of September</w:t>
            </w:r>
          </w:p>
        </w:tc>
        <w:tc>
          <w:tcPr>
            <w:tcW w:w="2220" w:type="dxa"/>
            <w:vAlign w:val="bottom"/>
            <w:gridSpan w:val="2"/>
            <w:shd w:val="clear" w:color="auto" w:fill="CFF0FC"/>
          </w:tcPr>
          <w:p>
            <w:pPr>
              <w:jc w:val="right"/>
              <w:ind w:right="1397"/>
              <w:spacing w:after="0"/>
              <w:rPr>
                <w:sz w:val="20"/>
                <w:szCs w:val="20"/>
                <w:color w:val="auto"/>
              </w:rPr>
            </w:pPr>
            <w:r>
              <w:rPr>
                <w:rFonts w:ascii="Arial" w:cs="Arial" w:eastAsia="Arial" w:hAnsi="Arial"/>
                <w:sz w:val="13"/>
                <w:szCs w:val="13"/>
                <w:color w:val="auto"/>
                <w:w w:val="97"/>
              </w:rPr>
              <w:t>30, 2021 and</w:t>
            </w:r>
          </w:p>
        </w:tc>
        <w:tc>
          <w:tcPr>
            <w:tcW w:w="1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700" w:type="dxa"/>
            <w:vAlign w:val="bottom"/>
            <w:shd w:val="clear" w:color="auto" w:fill="CFF0FC"/>
          </w:tcPr>
          <w:p>
            <w:pPr>
              <w:ind w:left="300"/>
              <w:spacing w:after="0"/>
              <w:rPr>
                <w:sz w:val="20"/>
                <w:szCs w:val="20"/>
                <w:color w:val="auto"/>
              </w:rPr>
            </w:pPr>
            <w:r>
              <w:rPr>
                <w:rFonts w:ascii="Arial" w:cs="Arial" w:eastAsia="Arial" w:hAnsi="Arial"/>
                <w:sz w:val="13"/>
                <w:szCs w:val="13"/>
                <w:color w:val="auto"/>
              </w:rPr>
              <w:t>December 31, 2020, respectively</w:t>
            </w:r>
          </w:p>
        </w:tc>
        <w:tc>
          <w:tcPr>
            <w:tcW w:w="1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4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5700" w:type="dxa"/>
            <w:vAlign w:val="bottom"/>
          </w:tcPr>
          <w:p>
            <w:pPr>
              <w:ind w:left="200"/>
              <w:spacing w:after="0"/>
              <w:rPr>
                <w:sz w:val="20"/>
                <w:szCs w:val="20"/>
                <w:color w:val="auto"/>
              </w:rPr>
            </w:pPr>
            <w:r>
              <w:rPr>
                <w:rFonts w:ascii="Arial" w:cs="Arial" w:eastAsia="Arial" w:hAnsi="Arial"/>
                <w:sz w:val="13"/>
                <w:szCs w:val="13"/>
                <w:color w:val="auto"/>
                <w:w w:val="96"/>
              </w:rPr>
              <w:t>Treasury Stock, 2,317,722 shares as of September 30, 2021 and December 31, 2020, held at cost</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3"/>
                <w:szCs w:val="13"/>
                <w:color w:val="auto"/>
              </w:rPr>
              <w:t>(748 )</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(748 )</w:t>
            </w:r>
          </w:p>
        </w:tc>
        <w:tc>
          <w:tcPr>
            <w:tcW w:w="0" w:type="dxa"/>
            <w:vAlign w:val="bottom"/>
          </w:tcPr>
          <w:p>
            <w:pPr>
              <w:spacing w:after="0"/>
              <w:rPr>
                <w:sz w:val="1"/>
                <w:szCs w:val="1"/>
                <w:color w:val="auto"/>
              </w:rPr>
            </w:pPr>
          </w:p>
        </w:tc>
      </w:tr>
      <w:tr>
        <w:trPr>
          <w:trHeight w:val="197"/>
        </w:trPr>
        <w:tc>
          <w:tcPr>
            <w:tcW w:w="57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Additional paid-in capital</w:t>
            </w:r>
          </w:p>
        </w:tc>
        <w:tc>
          <w:tcPr>
            <w:tcW w:w="1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603,319</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16,970</w:t>
            </w:r>
          </w:p>
        </w:tc>
        <w:tc>
          <w:tcPr>
            <w:tcW w:w="0" w:type="dxa"/>
            <w:vAlign w:val="bottom"/>
          </w:tcPr>
          <w:p>
            <w:pPr>
              <w:spacing w:after="0"/>
              <w:rPr>
                <w:sz w:val="1"/>
                <w:szCs w:val="1"/>
                <w:color w:val="auto"/>
              </w:rPr>
            </w:pPr>
          </w:p>
        </w:tc>
      </w:tr>
      <w:tr>
        <w:trPr>
          <w:trHeight w:val="181"/>
        </w:trPr>
        <w:tc>
          <w:tcPr>
            <w:tcW w:w="5700" w:type="dxa"/>
            <w:vAlign w:val="bottom"/>
          </w:tcPr>
          <w:p>
            <w:pPr>
              <w:ind w:left="380"/>
              <w:spacing w:after="0"/>
              <w:rPr>
                <w:sz w:val="20"/>
                <w:szCs w:val="20"/>
                <w:color w:val="auto"/>
              </w:rPr>
            </w:pPr>
            <w:r>
              <w:rPr>
                <w:rFonts w:ascii="Arial" w:cs="Arial" w:eastAsia="Arial" w:hAnsi="Arial"/>
                <w:sz w:val="13"/>
                <w:szCs w:val="13"/>
                <w:color w:val="auto"/>
              </w:rPr>
              <w:t>Accumulated other comprehensive loss</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3"/>
                <w:szCs w:val="13"/>
                <w:color w:val="auto"/>
              </w:rPr>
              <w:t>(294 )</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(214 )</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Accumulated deficit</w:t>
            </w:r>
          </w:p>
        </w:tc>
        <w:tc>
          <w:tcPr>
            <w:tcW w:w="1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(114,576 )</w:t>
            </w:r>
          </w:p>
        </w:tc>
        <w:tc>
          <w:tcPr>
            <w:tcW w:w="240" w:type="dxa"/>
            <w:vAlign w:val="bottom"/>
            <w:shd w:val="clear" w:color="auto" w:fill="CFF0FC"/>
          </w:tcPr>
          <w:p>
            <w:pPr>
              <w:spacing w:after="0"/>
              <w:rPr>
                <w:sz w:val="16"/>
                <w:szCs w:val="16"/>
                <w:color w:val="auto"/>
              </w:rPr>
            </w:pPr>
          </w:p>
        </w:tc>
        <w:tc>
          <w:tcPr>
            <w:tcW w:w="1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(97,772 )</w:t>
            </w:r>
          </w:p>
        </w:tc>
        <w:tc>
          <w:tcPr>
            <w:tcW w:w="0" w:type="dxa"/>
            <w:vAlign w:val="bottom"/>
          </w:tcPr>
          <w:p>
            <w:pPr>
              <w:spacing w:after="0"/>
              <w:rPr>
                <w:sz w:val="1"/>
                <w:szCs w:val="1"/>
                <w:color w:val="auto"/>
              </w:rPr>
            </w:pPr>
          </w:p>
        </w:tc>
      </w:tr>
      <w:tr>
        <w:trPr>
          <w:trHeight w:val="21"/>
        </w:trPr>
        <w:tc>
          <w:tcPr>
            <w:tcW w:w="5700" w:type="dxa"/>
            <w:vAlign w:val="bottom"/>
            <w:shd w:val="clear" w:color="auto" w:fill="CFF0FC"/>
          </w:tcPr>
          <w:p>
            <w:pPr>
              <w:spacing w:after="0" w:line="20" w:lineRule="exact"/>
              <w:rPr>
                <w:sz w:val="1"/>
                <w:szCs w:val="1"/>
                <w:color w:val="auto"/>
              </w:rPr>
            </w:pPr>
          </w:p>
        </w:tc>
        <w:tc>
          <w:tcPr>
            <w:tcW w:w="19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00" w:type="dxa"/>
            <w:vAlign w:val="bottom"/>
          </w:tcPr>
          <w:p>
            <w:pPr>
              <w:ind w:left="560"/>
              <w:spacing w:after="0"/>
              <w:rPr>
                <w:sz w:val="20"/>
                <w:szCs w:val="20"/>
                <w:color w:val="auto"/>
              </w:rPr>
            </w:pPr>
            <w:r>
              <w:rPr>
                <w:rFonts w:ascii="Arial" w:cs="Arial" w:eastAsia="Arial" w:hAnsi="Arial"/>
                <w:sz w:val="13"/>
                <w:szCs w:val="13"/>
                <w:color w:val="auto"/>
              </w:rPr>
              <w:t>Total stockholders’ equity (deficit)</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487,712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(81,762 )</w:t>
            </w:r>
          </w:p>
        </w:tc>
        <w:tc>
          <w:tcPr>
            <w:tcW w:w="0" w:type="dxa"/>
            <w:vAlign w:val="bottom"/>
          </w:tcPr>
          <w:p>
            <w:pPr>
              <w:spacing w:after="0"/>
              <w:rPr>
                <w:sz w:val="1"/>
                <w:szCs w:val="1"/>
                <w:color w:val="auto"/>
              </w:rPr>
            </w:pPr>
          </w:p>
        </w:tc>
      </w:tr>
      <w:tr>
        <w:trPr>
          <w:trHeight w:val="143"/>
        </w:trPr>
        <w:tc>
          <w:tcPr>
            <w:tcW w:w="7680" w:type="dxa"/>
            <w:vAlign w:val="bottom"/>
            <w:gridSpan w:val="2"/>
            <w:shd w:val="clear" w:color="auto" w:fill="CFF0FC"/>
          </w:tcPr>
          <w:p>
            <w:pPr>
              <w:ind w:left="560"/>
              <w:spacing w:after="0" w:line="143" w:lineRule="exact"/>
              <w:rPr>
                <w:sz w:val="20"/>
                <w:szCs w:val="20"/>
                <w:color w:val="auto"/>
              </w:rPr>
            </w:pPr>
            <w:r>
              <w:rPr>
                <w:rFonts w:ascii="Arial" w:cs="Arial" w:eastAsia="Arial" w:hAnsi="Arial"/>
                <w:sz w:val="13"/>
                <w:szCs w:val="13"/>
                <w:color w:val="auto"/>
              </w:rPr>
              <w:t>Total liabilities, convertible preferred stock, redeemable convertible preferred stock and stockholders’</w:t>
            </w:r>
          </w:p>
        </w:tc>
        <w:tc>
          <w:tcPr>
            <w:tcW w:w="24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622,984</w:t>
            </w:r>
          </w:p>
        </w:tc>
        <w:tc>
          <w:tcPr>
            <w:tcW w:w="240" w:type="dxa"/>
            <w:vAlign w:val="bottom"/>
            <w:shd w:val="clear" w:color="auto" w:fill="CFF0FC"/>
          </w:tcPr>
          <w:p>
            <w:pPr>
              <w:spacing w:after="0"/>
              <w:rPr>
                <w:sz w:val="12"/>
                <w:szCs w:val="12"/>
                <w:color w:val="auto"/>
              </w:rPr>
            </w:pPr>
          </w:p>
        </w:tc>
        <w:tc>
          <w:tcPr>
            <w:tcW w:w="240" w:type="dxa"/>
            <w:vAlign w:val="bottom"/>
            <w:tcBorders>
              <w:top w:val="single" w:sz="8" w:color="auto"/>
            </w:tcBorders>
            <w:vMerge w:val="restart"/>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1440" w:type="dxa"/>
            <w:vAlign w:val="bottom"/>
            <w:tcBorders>
              <w:top w:val="single" w:sz="8" w:color="auto"/>
              <w:right w:val="single" w:sz="8" w:color="CFF0FC"/>
            </w:tcBorders>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271,442</w:t>
            </w:r>
          </w:p>
        </w:tc>
        <w:tc>
          <w:tcPr>
            <w:tcW w:w="0" w:type="dxa"/>
            <w:vAlign w:val="bottom"/>
          </w:tcPr>
          <w:p>
            <w:pPr>
              <w:spacing w:after="0"/>
              <w:rPr>
                <w:sz w:val="1"/>
                <w:szCs w:val="1"/>
                <w:color w:val="auto"/>
              </w:rPr>
            </w:pPr>
          </w:p>
        </w:tc>
      </w:tr>
      <w:tr>
        <w:trPr>
          <w:trHeight w:val="208"/>
        </w:trPr>
        <w:tc>
          <w:tcPr>
            <w:tcW w:w="5700" w:type="dxa"/>
            <w:vAlign w:val="bottom"/>
            <w:tcBorders>
              <w:bottom w:val="single" w:sz="8" w:color="CFF0FC"/>
            </w:tcBorders>
            <w:shd w:val="clear" w:color="auto" w:fill="CFF0FC"/>
          </w:tcPr>
          <w:p>
            <w:pPr>
              <w:ind w:left="660"/>
              <w:spacing w:after="0"/>
              <w:rPr>
                <w:sz w:val="20"/>
                <w:szCs w:val="20"/>
                <w:color w:val="auto"/>
              </w:rPr>
            </w:pPr>
            <w:r>
              <w:rPr>
                <w:rFonts w:ascii="Arial" w:cs="Arial" w:eastAsia="Arial" w:hAnsi="Arial"/>
                <w:sz w:val="13"/>
                <w:szCs w:val="13"/>
                <w:color w:val="auto"/>
              </w:rPr>
              <w:t>(deficit) equity</w:t>
            </w:r>
          </w:p>
        </w:tc>
        <w:tc>
          <w:tcPr>
            <w:tcW w:w="19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vMerge w:val="continue"/>
            <w:shd w:val="clear" w:color="auto" w:fill="CFF0FC"/>
          </w:tcPr>
          <w:p>
            <w:pPr>
              <w:spacing w:after="0"/>
              <w:rPr>
                <w:sz w:val="18"/>
                <w:szCs w:val="18"/>
                <w:color w:val="auto"/>
              </w:rPr>
            </w:pPr>
          </w:p>
        </w:tc>
        <w:tc>
          <w:tcPr>
            <w:tcW w:w="1440" w:type="dxa"/>
            <w:vAlign w:val="bottom"/>
            <w:tcBorders>
              <w:bottom w:val="single" w:sz="8" w:color="auto"/>
              <w:right w:val="single" w:sz="8" w:color="CFF0FC"/>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-4977130</wp:posOffset>
            </wp:positionV>
            <wp:extent cx="15430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-4977130</wp:posOffset>
            </wp:positionV>
            <wp:extent cx="431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-3879850</wp:posOffset>
            </wp:positionV>
            <wp:extent cx="15430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-3879850</wp:posOffset>
            </wp:positionV>
            <wp:extent cx="431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-3150870</wp:posOffset>
            </wp:positionV>
            <wp:extent cx="15430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-3150870</wp:posOffset>
            </wp:positionV>
            <wp:extent cx="431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-2045335</wp:posOffset>
            </wp:positionV>
            <wp:extent cx="15430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-2045335</wp:posOffset>
            </wp:positionV>
            <wp:extent cx="431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-356235</wp:posOffset>
            </wp:positionV>
            <wp:extent cx="15430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-356235</wp:posOffset>
            </wp:positionV>
            <wp:extent cx="431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1543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1543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(Amounts in thousands, except share and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67,788</w:t>
            </w:r>
          </w:p>
        </w:tc>
        <w:tc>
          <w:tcPr>
            <w:tcW w:w="6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42,086</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149,755</w:t>
            </w:r>
          </w:p>
        </w:tc>
        <w:tc>
          <w:tcPr>
            <w:tcW w:w="20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98,552</w:t>
            </w:r>
          </w:p>
        </w:tc>
        <w:tc>
          <w:tcPr>
            <w:tcW w:w="80" w:type="dxa"/>
            <w:vAlign w:val="bottom"/>
            <w:shd w:val="clear" w:color="auto" w:fill="CFF0FC"/>
          </w:tcPr>
          <w:p>
            <w:pPr>
              <w:spacing w:after="0"/>
              <w:rPr>
                <w:sz w:val="22"/>
                <w:szCs w:val="22"/>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Costs and operating expenses: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7"/>
        </w:trPr>
        <w:tc>
          <w:tcPr>
            <w:tcW w:w="5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53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Payment processing services costs</w:t>
            </w: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21,724</w:t>
            </w:r>
          </w:p>
        </w:tc>
        <w:tc>
          <w:tcPr>
            <w:tcW w:w="2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13,777</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50,937</w:t>
            </w:r>
          </w:p>
        </w:tc>
        <w:tc>
          <w:tcPr>
            <w:tcW w:w="2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36,254</w:t>
            </w:r>
          </w:p>
        </w:tc>
        <w:tc>
          <w:tcPr>
            <w:tcW w:w="80" w:type="dxa"/>
            <w:vAlign w:val="bottom"/>
            <w:shd w:val="clear" w:color="auto" w:fill="CFF0FC"/>
          </w:tcPr>
          <w:p>
            <w:pPr>
              <w:spacing w:after="0"/>
              <w:rPr>
                <w:sz w:val="22"/>
                <w:szCs w:val="22"/>
                <w:color w:val="auto"/>
              </w:rPr>
            </w:pPr>
          </w:p>
        </w:tc>
      </w:tr>
      <w:tr>
        <w:trPr>
          <w:trHeight w:val="247"/>
        </w:trPr>
        <w:tc>
          <w:tcPr>
            <w:tcW w:w="5320" w:type="dxa"/>
            <w:vAlign w:val="bottom"/>
          </w:tcPr>
          <w:p>
            <w:pPr>
              <w:ind w:left="280"/>
              <w:spacing w:after="0"/>
              <w:rPr>
                <w:sz w:val="20"/>
                <w:szCs w:val="20"/>
                <w:color w:val="auto"/>
              </w:rPr>
            </w:pPr>
            <w:r>
              <w:rPr>
                <w:rFonts w:ascii="Arial" w:cs="Arial" w:eastAsia="Arial" w:hAnsi="Arial"/>
                <w:sz w:val="16"/>
                <w:szCs w:val="16"/>
                <w:color w:val="auto"/>
              </w:rPr>
              <w:t>Technology and development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7,752</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6,079</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22,203</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17,805</w:t>
            </w:r>
          </w:p>
        </w:tc>
        <w:tc>
          <w:tcPr>
            <w:tcW w:w="80" w:type="dxa"/>
            <w:vAlign w:val="bottom"/>
          </w:tcPr>
          <w:p>
            <w:pPr>
              <w:spacing w:after="0"/>
              <w:rPr>
                <w:sz w:val="21"/>
                <w:szCs w:val="21"/>
                <w:color w:val="auto"/>
              </w:rPr>
            </w:pPr>
          </w:p>
        </w:tc>
      </w:tr>
      <w:tr>
        <w:trPr>
          <w:trHeight w:val="266"/>
        </w:trPr>
        <w:tc>
          <w:tcPr>
            <w:tcW w:w="53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Selling and marketing</w:t>
            </w:r>
          </w:p>
        </w:tc>
        <w:tc>
          <w:tcPr>
            <w:tcW w:w="28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12,540</w:t>
            </w:r>
          </w:p>
        </w:tc>
        <w:tc>
          <w:tcPr>
            <w:tcW w:w="26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7,640</w:t>
            </w:r>
          </w:p>
        </w:tc>
        <w:tc>
          <w:tcPr>
            <w:tcW w:w="26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35,400</w:t>
            </w:r>
          </w:p>
        </w:tc>
        <w:tc>
          <w:tcPr>
            <w:tcW w:w="20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24,342</w:t>
            </w:r>
          </w:p>
        </w:tc>
        <w:tc>
          <w:tcPr>
            <w:tcW w:w="80" w:type="dxa"/>
            <w:vAlign w:val="bottom"/>
            <w:shd w:val="clear" w:color="auto" w:fill="CFF0FC"/>
          </w:tcPr>
          <w:p>
            <w:pPr>
              <w:spacing w:after="0"/>
              <w:rPr>
                <w:sz w:val="23"/>
                <w:szCs w:val="23"/>
                <w:color w:val="auto"/>
              </w:rPr>
            </w:pPr>
          </w:p>
        </w:tc>
      </w:tr>
      <w:tr>
        <w:trPr>
          <w:trHeight w:val="237"/>
        </w:trPr>
        <w:tc>
          <w:tcPr>
            <w:tcW w:w="532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14,676</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44,145</w:t>
            </w: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32,985</w:t>
            </w:r>
          </w:p>
        </w:tc>
        <w:tc>
          <w:tcPr>
            <w:tcW w:w="80" w:type="dxa"/>
            <w:vAlign w:val="bottom"/>
          </w:tcPr>
          <w:p>
            <w:pPr>
              <w:spacing w:after="0"/>
              <w:rPr>
                <w:sz w:val="20"/>
                <w:szCs w:val="20"/>
                <w:color w:val="auto"/>
              </w:rPr>
            </w:pPr>
          </w:p>
        </w:tc>
      </w:tr>
      <w:tr>
        <w:trPr>
          <w:trHeight w:val="237"/>
        </w:trPr>
        <w:tc>
          <w:tcPr>
            <w:tcW w:w="53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costs and operating expenses</w:t>
            </w: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56,692</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36,668</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152,685</w:t>
            </w:r>
          </w:p>
        </w:tc>
        <w:tc>
          <w:tcPr>
            <w:tcW w:w="2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111,386</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11,096</w:t>
            </w: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5,418</w:t>
            </w: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(2,930 )</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(12,834 )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-146685</wp:posOffset>
            </wp:positionV>
            <wp:extent cx="15430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-146685</wp:posOffset>
            </wp:positionV>
            <wp:extent cx="15430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-146685</wp:posOffset>
            </wp:positionV>
            <wp:extent cx="13716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-146685</wp:posOffset>
            </wp:positionV>
            <wp:extent cx="5143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income (expense):</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expense</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Change in fair value of preferred stock warrant liability</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income (expense), net</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Total other expenses, net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(loss) before provision for (benefit from)</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income taxes</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Provision for (benefit from)income taxes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(loss)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translation adjustment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Comprehensive income (loss)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(loss) attributable to common stockholders</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basic and diluted</w:t>
      </w:r>
    </w:p>
    <w:p>
      <w:pPr>
        <w:spacing w:after="0" w:line="46" w:lineRule="exact"/>
        <w:rPr>
          <w:sz w:val="20"/>
          <w:szCs w:val="20"/>
          <w:color w:val="auto"/>
        </w:rPr>
      </w:pPr>
    </w:p>
    <w:p>
      <w:pPr>
        <w:ind w:left="160" w:right="900" w:hanging="134"/>
        <w:spacing w:after="0" w:line="278" w:lineRule="auto"/>
        <w:rPr>
          <w:sz w:val="20"/>
          <w:szCs w:val="20"/>
          <w:color w:val="auto"/>
        </w:rPr>
      </w:pPr>
      <w:r>
        <w:rPr>
          <w:rFonts w:ascii="Arial" w:cs="Arial" w:eastAsia="Arial" w:hAnsi="Arial"/>
          <w:sz w:val="16"/>
          <w:szCs w:val="16"/>
          <w:color w:val="auto"/>
        </w:rPr>
        <w:t>Net income (loss) per share attributable to common stockholders – basic</w:t>
      </w:r>
    </w:p>
    <w:p>
      <w:pPr>
        <w:spacing w:after="0" w:line="6" w:lineRule="exact"/>
        <w:rPr>
          <w:sz w:val="20"/>
          <w:szCs w:val="20"/>
          <w:color w:val="auto"/>
        </w:rPr>
      </w:pPr>
    </w:p>
    <w:p>
      <w:pPr>
        <w:ind w:left="160" w:right="900" w:hanging="134"/>
        <w:spacing w:after="0" w:line="278" w:lineRule="auto"/>
        <w:rPr>
          <w:sz w:val="20"/>
          <w:szCs w:val="20"/>
          <w:color w:val="auto"/>
        </w:rPr>
      </w:pPr>
      <w:r>
        <w:rPr>
          <w:rFonts w:ascii="Arial" w:cs="Arial" w:eastAsia="Arial" w:hAnsi="Arial"/>
          <w:sz w:val="16"/>
          <w:szCs w:val="16"/>
          <w:color w:val="auto"/>
        </w:rPr>
        <w:t>Net income (loss) per share attributable to common stockholders – diluted</w:t>
      </w:r>
    </w:p>
    <w:p>
      <w:pPr>
        <w:spacing w:after="0" w:line="6" w:lineRule="exact"/>
        <w:rPr>
          <w:sz w:val="20"/>
          <w:szCs w:val="20"/>
          <w:color w:val="auto"/>
        </w:rPr>
      </w:pPr>
    </w:p>
    <w:p>
      <w:pPr>
        <w:ind w:left="20" w:right="520"/>
        <w:spacing w:after="0" w:line="348" w:lineRule="auto"/>
        <w:rPr>
          <w:sz w:val="20"/>
          <w:szCs w:val="20"/>
          <w:color w:val="auto"/>
        </w:rPr>
      </w:pPr>
      <w:r>
        <w:rPr>
          <w:rFonts w:ascii="Arial" w:cs="Arial" w:eastAsia="Arial" w:hAnsi="Arial"/>
          <w:sz w:val="16"/>
          <w:szCs w:val="16"/>
          <w:color w:val="auto"/>
        </w:rPr>
        <w:t>Weighted average common shares outstanding – basic Weighted average common shares outstanding – diluted</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(542 )</w:t>
            </w:r>
          </w:p>
        </w:tc>
        <w:tc>
          <w:tcPr>
            <w:tcW w:w="28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(584 )</w:t>
            </w:r>
          </w:p>
        </w:tc>
        <w:tc>
          <w:tcPr>
            <w:tcW w:w="2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(1,804 )</w:t>
            </w:r>
          </w:p>
        </w:tc>
        <w:tc>
          <w:tcPr>
            <w:tcW w:w="2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(1,860 )</w:t>
            </w:r>
          </w:p>
        </w:tc>
      </w:tr>
      <w:tr>
        <w:trPr>
          <w:trHeight w:val="257"/>
        </w:trPr>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(10,758 )</w:t>
            </w:r>
          </w:p>
        </w:tc>
        <w:tc>
          <w:tcPr>
            <w:tcW w:w="28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(245 )</w:t>
            </w:r>
          </w:p>
        </w:tc>
      </w:tr>
      <w:tr>
        <w:trPr>
          <w:trHeight w:val="253"/>
        </w:trPr>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(214 )</w:t>
            </w: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(4 )</w:t>
            </w:r>
          </w:p>
        </w:tc>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(494 )</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w:t>
            </w:r>
          </w:p>
        </w:tc>
        <w:tc>
          <w:tcPr>
            <w:tcW w:w="60" w:type="dxa"/>
            <w:vAlign w:val="bottom"/>
          </w:tcPr>
          <w:p>
            <w:pPr>
              <w:spacing w:after="0"/>
              <w:rPr>
                <w:sz w:val="21"/>
                <w:szCs w:val="21"/>
                <w:color w:val="auto"/>
              </w:rPr>
            </w:pPr>
          </w:p>
        </w:tc>
      </w:tr>
      <w:tr>
        <w:trPr>
          <w:trHeight w:val="23"/>
        </w:trPr>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3"/>
        </w:trPr>
        <w:tc>
          <w:tcPr>
            <w:tcW w:w="2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(756 )</w:t>
            </w:r>
          </w:p>
        </w:tc>
        <w:tc>
          <w:tcPr>
            <w:tcW w:w="2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(579 )</w:t>
            </w:r>
          </w:p>
        </w:tc>
        <w:tc>
          <w:tcPr>
            <w:tcW w:w="2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(13,056 )</w:t>
            </w:r>
          </w:p>
        </w:tc>
        <w:tc>
          <w:tcPr>
            <w:tcW w:w="2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(2,033 )</w:t>
            </w:r>
          </w:p>
        </w:tc>
      </w:tr>
      <w:tr>
        <w:trPr>
          <w:trHeight w:val="23"/>
        </w:trPr>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13"/>
        </w:trPr>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10,340</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4,839</w:t>
            </w:r>
          </w:p>
        </w:tc>
        <w:tc>
          <w:tcPr>
            <w:tcW w:w="26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(15,986 )</w:t>
            </w:r>
          </w:p>
        </w:tc>
        <w:tc>
          <w:tcPr>
            <w:tcW w:w="2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(14,867 )</w:t>
            </w:r>
          </w:p>
        </w:tc>
      </w:tr>
      <w:tr>
        <w:trPr>
          <w:trHeight w:val="253"/>
        </w:trPr>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346</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(382 )</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(7,791 )</w:t>
            </w:r>
          </w:p>
        </w:tc>
      </w:tr>
      <w:tr>
        <w:trPr>
          <w:trHeight w:val="23"/>
        </w:trPr>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9,994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5,221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(16,804 )</w:t>
            </w:r>
          </w:p>
        </w:tc>
        <w:tc>
          <w:tcPr>
            <w:tcW w:w="2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(7,076 )</w:t>
            </w:r>
          </w:p>
        </w:tc>
      </w:tr>
      <w:tr>
        <w:trPr>
          <w:trHeight w:val="253"/>
        </w:trPr>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(343 )</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192</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(80 )</w:t>
            </w:r>
          </w:p>
        </w:tc>
        <w:tc>
          <w:tcPr>
            <w:tcW w:w="2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(81 )</w:t>
            </w:r>
          </w:p>
        </w:tc>
      </w:tr>
      <w:tr>
        <w:trPr>
          <w:trHeight w:val="23"/>
        </w:trPr>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9,651</w:t>
            </w:r>
          </w:p>
        </w:tc>
        <w:tc>
          <w:tcPr>
            <w:tcW w:w="26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5,413</w:t>
            </w:r>
          </w:p>
        </w:tc>
        <w:tc>
          <w:tcPr>
            <w:tcW w:w="26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(16,884 )</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(7,157 )</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9,994</w:t>
            </w:r>
          </w:p>
        </w:tc>
        <w:tc>
          <w:tcPr>
            <w:tcW w:w="26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1,157</w:t>
            </w:r>
          </w:p>
        </w:tc>
        <w:tc>
          <w:tcPr>
            <w:tcW w:w="26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(16,817 )</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(7,086 )</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0"/>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0.10</w:t>
            </w:r>
          </w:p>
        </w:tc>
        <w:tc>
          <w:tcPr>
            <w:tcW w:w="26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0.06</w:t>
            </w:r>
          </w:p>
        </w:tc>
        <w:tc>
          <w:tcPr>
            <w:tcW w:w="26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(0.28 )</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(0.39 )</w:t>
            </w:r>
          </w:p>
        </w:tc>
      </w:tr>
      <w:tr>
        <w:trPr>
          <w:trHeight w:val="404"/>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0.08</w:t>
            </w:r>
          </w:p>
        </w:tc>
        <w:tc>
          <w:tcPr>
            <w:tcW w:w="26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0.04</w:t>
            </w:r>
          </w:p>
        </w:tc>
        <w:tc>
          <w:tcPr>
            <w:tcW w:w="26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(0.28 )</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(0.39 )</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104,486,136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18,644,502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59,667,434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18,163,078</w:t>
            </w:r>
          </w:p>
        </w:tc>
        <w:tc>
          <w:tcPr>
            <w:tcW w:w="60" w:type="dxa"/>
            <w:vAlign w:val="bottom"/>
          </w:tcPr>
          <w:p>
            <w:pPr>
              <w:spacing w:after="0"/>
              <w:rPr>
                <w:sz w:val="19"/>
                <w:szCs w:val="19"/>
                <w:color w:val="auto"/>
              </w:rPr>
            </w:pPr>
          </w:p>
        </w:tc>
      </w:tr>
      <w:tr>
        <w:trPr>
          <w:trHeight w:val="243"/>
        </w:trPr>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118,445,907</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27,286,944</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59,667,434</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18,163,078</w:t>
            </w:r>
          </w:p>
        </w:tc>
        <w:tc>
          <w:tcPr>
            <w:tcW w:w="60" w:type="dxa"/>
            <w:vAlign w:val="bottom"/>
          </w:tcPr>
          <w:p>
            <w:pPr>
              <w:spacing w:after="0"/>
              <w:rPr>
                <w:sz w:val="21"/>
                <w:szCs w:val="2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-2579370</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-2253615</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-1816735</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-1490980</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-1156970</wp:posOffset>
            </wp:positionV>
            <wp:extent cx="713232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-607695</wp:posOffset>
            </wp:positionV>
            <wp:extent cx="7132320"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-170815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4600" w:space="720"/>
            <w:col w:w="5920"/>
          </w:cols>
          <w:pgMar w:left="320" w:top="360" w:right="339" w:bottom="1440" w:gutter="0" w:footer="0" w:header="0"/>
          <w:type w:val="continuous"/>
        </w:sectPr>
      </w:pP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CONVERTIBLE PREFERRED STOCK, REDEEMABLE CONVERTIBLE PREFERRED</w:t>
      </w:r>
    </w:p>
    <w:p>
      <w:pPr>
        <w:spacing w:after="0" w:line="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 AND STOCKHOLDERS’ EQUITY (DEFICIT)</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(Amounts in thousands, except share and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9"/>
          </w:tcPr>
          <w:p>
            <w:pPr>
              <w:jc w:val="right"/>
              <w:ind w:right="480"/>
              <w:spacing w:after="0"/>
              <w:rPr>
                <w:sz w:val="20"/>
                <w:szCs w:val="20"/>
                <w:color w:val="auto"/>
              </w:rPr>
            </w:pPr>
            <w:r>
              <w:rPr>
                <w:rFonts w:ascii="Arial" w:cs="Arial" w:eastAsia="Arial" w:hAnsi="Arial"/>
                <w:sz w:val="11"/>
                <w:szCs w:val="11"/>
                <w:b w:val="1"/>
                <w:bCs w:val="1"/>
                <w:color w:val="auto"/>
                <w:w w:val="98"/>
              </w:rPr>
              <w:t>Three Months Ended September 30, 2021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vMerge w:val="restart"/>
          </w:tcPr>
          <w:p>
            <w:pPr>
              <w:jc w:val="center"/>
              <w:ind w:left="146"/>
              <w:spacing w:after="0"/>
              <w:rPr>
                <w:sz w:val="20"/>
                <w:szCs w:val="20"/>
                <w:color w:val="auto"/>
              </w:rPr>
            </w:pPr>
            <w:r>
              <w:rPr>
                <w:rFonts w:ascii="Arial" w:cs="Arial" w:eastAsia="Arial" w:hAnsi="Arial"/>
                <w:sz w:val="11"/>
                <w:szCs w:val="11"/>
                <w:b w:val="1"/>
                <w:bCs w:val="1"/>
                <w:color w:val="auto"/>
                <w:w w:val="98"/>
              </w:rPr>
              <w:t>Redeemable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right="126"/>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960" w:type="dxa"/>
            <w:vAlign w:val="bottom"/>
            <w:gridSpan w:val="3"/>
          </w:tcPr>
          <w:p>
            <w:pPr>
              <w:jc w:val="center"/>
              <w:ind w:left="306"/>
              <w:spacing w:after="0"/>
              <w:rPr>
                <w:sz w:val="20"/>
                <w:szCs w:val="20"/>
                <w:color w:val="auto"/>
              </w:rPr>
            </w:pPr>
            <w:r>
              <w:rPr>
                <w:rFonts w:ascii="Arial" w:cs="Arial" w:eastAsia="Arial" w:hAnsi="Arial"/>
                <w:sz w:val="11"/>
                <w:szCs w:val="11"/>
                <w:b w:val="1"/>
                <w:bCs w:val="1"/>
                <w:color w:val="auto"/>
                <w:w w:val="99"/>
              </w:rPr>
              <w:t>Convertible</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tcPr>
          <w:p>
            <w:pPr>
              <w:jc w:val="center"/>
              <w:ind w:left="146"/>
              <w:spacing w:after="0"/>
              <w:rPr>
                <w:sz w:val="20"/>
                <w:szCs w:val="20"/>
                <w:color w:val="auto"/>
              </w:rPr>
            </w:pPr>
            <w:r>
              <w:rPr>
                <w:rFonts w:ascii="Arial" w:cs="Arial" w:eastAsia="Arial" w:hAnsi="Arial"/>
                <w:sz w:val="11"/>
                <w:szCs w:val="11"/>
                <w:b w:val="1"/>
                <w:bCs w:val="1"/>
                <w:color w:val="auto"/>
                <w:w w:val="99"/>
              </w:rPr>
              <w:t>Convertible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right"/>
              <w:ind w:right="6"/>
              <w:spacing w:after="0"/>
              <w:rPr>
                <w:sz w:val="20"/>
                <w:szCs w:val="20"/>
                <w:color w:val="auto"/>
              </w:rPr>
            </w:pPr>
            <w:r>
              <w:rPr>
                <w:rFonts w:ascii="Arial" w:cs="Arial" w:eastAsia="Arial" w:hAnsi="Arial"/>
                <w:sz w:val="11"/>
                <w:szCs w:val="11"/>
                <w:b w:val="1"/>
                <w:bCs w:val="1"/>
                <w:color w:val="auto"/>
              </w:rPr>
              <w:t>Voting</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jc w:val="center"/>
              <w:ind w:left="86"/>
              <w:spacing w:after="0"/>
              <w:rPr>
                <w:sz w:val="20"/>
                <w:szCs w:val="20"/>
                <w:color w:val="auto"/>
              </w:rPr>
            </w:pPr>
            <w:r>
              <w:rPr>
                <w:rFonts w:ascii="Arial" w:cs="Arial" w:eastAsia="Arial" w:hAnsi="Arial"/>
                <w:sz w:val="11"/>
                <w:szCs w:val="11"/>
                <w:b w:val="1"/>
                <w:bCs w:val="1"/>
                <w:color w:val="auto"/>
                <w:w w:val="97"/>
              </w:rPr>
              <w:t>Non-Voting</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6"/>
              </w:rPr>
              <w:t>Additional</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Comprehens</w:t>
            </w: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Accumulate</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Stockholde</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1300" w:type="dxa"/>
            <w:vAlign w:val="bottom"/>
            <w:gridSpan w:val="4"/>
          </w:tcPr>
          <w:p>
            <w:pPr>
              <w:jc w:val="center"/>
              <w:spacing w:after="0"/>
              <w:rPr>
                <w:sz w:val="20"/>
                <w:szCs w:val="20"/>
                <w:color w:val="auto"/>
              </w:rPr>
            </w:pPr>
            <w:r>
              <w:rPr>
                <w:rFonts w:ascii="Arial" w:cs="Arial" w:eastAsia="Arial" w:hAnsi="Arial"/>
                <w:sz w:val="11"/>
                <w:szCs w:val="11"/>
                <w:b w:val="1"/>
                <w:bCs w:val="1"/>
                <w:color w:val="auto"/>
                <w:w w:val="97"/>
              </w:rPr>
              <w:t>Preferred Stock</w:t>
            </w:r>
          </w:p>
        </w:tc>
        <w:tc>
          <w:tcPr>
            <w:tcW w:w="160" w:type="dxa"/>
            <w:vAlign w:val="bottom"/>
          </w:tcPr>
          <w:p>
            <w:pPr>
              <w:spacing w:after="0"/>
              <w:rPr>
                <w:sz w:val="13"/>
                <w:szCs w:val="13"/>
                <w:color w:val="auto"/>
              </w:rPr>
            </w:pPr>
          </w:p>
        </w:tc>
        <w:tc>
          <w:tcPr>
            <w:tcW w:w="1080" w:type="dxa"/>
            <w:vAlign w:val="bottom"/>
            <w:gridSpan w:val="3"/>
          </w:tcPr>
          <w:p>
            <w:pPr>
              <w:jc w:val="center"/>
              <w:ind w:left="146"/>
              <w:spacing w:after="0"/>
              <w:rPr>
                <w:sz w:val="20"/>
                <w:szCs w:val="20"/>
                <w:color w:val="auto"/>
              </w:rPr>
            </w:pPr>
            <w:r>
              <w:rPr>
                <w:rFonts w:ascii="Arial" w:cs="Arial" w:eastAsia="Arial" w:hAnsi="Arial"/>
                <w:sz w:val="11"/>
                <w:szCs w:val="11"/>
                <w:b w:val="1"/>
                <w:bCs w:val="1"/>
                <w:color w:val="auto"/>
                <w:w w:val="97"/>
              </w:rPr>
              <w:t>Preferred Stock</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5"/>
          </w:tcPr>
          <w:p>
            <w:pPr>
              <w:jc w:val="right"/>
              <w:ind w:right="380"/>
              <w:spacing w:after="0"/>
              <w:rPr>
                <w:sz w:val="20"/>
                <w:szCs w:val="20"/>
                <w:color w:val="auto"/>
              </w:rPr>
            </w:pPr>
            <w:r>
              <w:rPr>
                <w:rFonts w:ascii="Arial" w:cs="Arial" w:eastAsia="Arial" w:hAnsi="Arial"/>
                <w:sz w:val="11"/>
                <w:szCs w:val="11"/>
                <w:b w:val="1"/>
                <w:bCs w:val="1"/>
                <w:color w:val="auto"/>
              </w:rPr>
              <w:t>Common Stock</w:t>
            </w:r>
          </w:p>
        </w:tc>
        <w:tc>
          <w:tcPr>
            <w:tcW w:w="1040" w:type="dxa"/>
            <w:vAlign w:val="bottom"/>
            <w:gridSpan w:val="3"/>
          </w:tcPr>
          <w:p>
            <w:pPr>
              <w:jc w:val="center"/>
              <w:ind w:left="106"/>
              <w:spacing w:after="0"/>
              <w:rPr>
                <w:sz w:val="20"/>
                <w:szCs w:val="20"/>
                <w:color w:val="auto"/>
              </w:rPr>
            </w:pPr>
            <w:r>
              <w:rPr>
                <w:rFonts w:ascii="Arial" w:cs="Arial" w:eastAsia="Arial" w:hAnsi="Arial"/>
                <w:sz w:val="11"/>
                <w:szCs w:val="11"/>
                <w:b w:val="1"/>
                <w:bCs w:val="1"/>
                <w:color w:val="auto"/>
                <w:w w:val="99"/>
              </w:rPr>
              <w:t>Common Stock</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5"/>
          </w:tcPr>
          <w:p>
            <w:pPr>
              <w:jc w:val="right"/>
              <w:ind w:right="360"/>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13"/>
                <w:szCs w:val="13"/>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Paid-In</w:t>
            </w:r>
          </w:p>
        </w:tc>
        <w:tc>
          <w:tcPr>
            <w:tcW w:w="120" w:type="dxa"/>
            <w:vAlign w:val="bottom"/>
          </w:tcPr>
          <w:p>
            <w:pPr>
              <w:spacing w:after="0"/>
              <w:rPr>
                <w:sz w:val="13"/>
                <w:szCs w:val="13"/>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ive</w:t>
            </w:r>
          </w:p>
        </w:tc>
        <w:tc>
          <w:tcPr>
            <w:tcW w:w="100" w:type="dxa"/>
            <w:vAlign w:val="bottom"/>
          </w:tcPr>
          <w:p>
            <w:pPr>
              <w:spacing w:after="0"/>
              <w:rPr>
                <w:sz w:val="13"/>
                <w:szCs w:val="13"/>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13"/>
                <w:szCs w:val="13"/>
                <w:color w:val="auto"/>
              </w:rPr>
            </w:pPr>
          </w:p>
        </w:tc>
        <w:tc>
          <w:tcPr>
            <w:tcW w:w="580" w:type="dxa"/>
            <w:vAlign w:val="bottom"/>
          </w:tcPr>
          <w:p>
            <w:pPr>
              <w:jc w:val="center"/>
              <w:ind w:right="126"/>
              <w:spacing w:after="0"/>
              <w:rPr>
                <w:sz w:val="20"/>
                <w:szCs w:val="20"/>
                <w:color w:val="auto"/>
              </w:rPr>
            </w:pPr>
            <w:r>
              <w:rPr>
                <w:rFonts w:ascii="Arial" w:cs="Arial" w:eastAsia="Arial" w:hAnsi="Arial"/>
                <w:sz w:val="11"/>
                <w:szCs w:val="11"/>
                <w:b w:val="1"/>
                <w:bCs w:val="1"/>
                <w:color w:val="auto"/>
                <w:w w:val="88"/>
              </w:rPr>
              <w:t>rs’</w:t>
            </w:r>
          </w:p>
        </w:tc>
        <w:tc>
          <w:tcPr>
            <w:tcW w:w="0" w:type="dxa"/>
            <w:vAlign w:val="bottom"/>
          </w:tcPr>
          <w:p>
            <w:pPr>
              <w:spacing w:after="0"/>
              <w:rPr>
                <w:sz w:val="1"/>
                <w:szCs w:val="1"/>
                <w:color w:val="auto"/>
              </w:rPr>
            </w:pPr>
          </w:p>
        </w:tc>
      </w:tr>
      <w:tr>
        <w:trPr>
          <w:trHeight w:val="133"/>
        </w:trPr>
        <w:tc>
          <w:tcPr>
            <w:tcW w:w="1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Income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2"/>
                <w:szCs w:val="12"/>
                <w:color w:val="auto"/>
              </w:rPr>
            </w:pPr>
          </w:p>
        </w:tc>
        <w:tc>
          <w:tcPr>
            <w:tcW w:w="700" w:type="dxa"/>
            <w:vAlign w:val="bottom"/>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6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Shares</w:t>
            </w: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6"/>
              </w:rPr>
              <w:t>(Loss)</w:t>
            </w:r>
          </w:p>
        </w:tc>
        <w:tc>
          <w:tcPr>
            <w:tcW w:w="100" w:type="dxa"/>
            <w:vAlign w:val="bottom"/>
          </w:tcPr>
          <w:p>
            <w:pPr>
              <w:spacing w:after="0"/>
              <w:rPr>
                <w:sz w:val="12"/>
                <w:szCs w:val="12"/>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Deficit</w:t>
            </w:r>
          </w:p>
        </w:tc>
        <w:tc>
          <w:tcPr>
            <w:tcW w:w="120" w:type="dxa"/>
            <w:vAlign w:val="bottom"/>
          </w:tcPr>
          <w:p>
            <w:pPr>
              <w:spacing w:after="0"/>
              <w:rPr>
                <w:sz w:val="12"/>
                <w:szCs w:val="12"/>
                <w:color w:val="auto"/>
              </w:rPr>
            </w:pPr>
          </w:p>
        </w:tc>
        <w:tc>
          <w:tcPr>
            <w:tcW w:w="580" w:type="dxa"/>
            <w:vAlign w:val="bottom"/>
          </w:tcPr>
          <w:p>
            <w:pPr>
              <w:jc w:val="center"/>
              <w:ind w:right="12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Balances at</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640" w:type="dxa"/>
            <w:vAlign w:val="bottom"/>
            <w:tcBorders>
              <w:right w:val="single" w:sz="8" w:color="CFF0FC"/>
            </w:tcBorders>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780" w:type="dxa"/>
            <w:vAlign w:val="bottom"/>
            <w:tcBorders>
              <w:right w:val="single" w:sz="8" w:color="CFF0FC"/>
            </w:tcBorders>
            <w:gridSpan w:val="2"/>
            <w:shd w:val="clear" w:color="auto" w:fill="CFF0FC"/>
          </w:tcPr>
          <w:p>
            <w:pPr>
              <w:jc w:val="right"/>
              <w:ind w:right="26"/>
              <w:spacing w:after="0"/>
              <w:rPr>
                <w:sz w:val="20"/>
                <w:szCs w:val="20"/>
                <w:color w:val="auto"/>
              </w:rPr>
            </w:pPr>
            <w:r>
              <w:rPr>
                <w:rFonts w:ascii="Arial" w:cs="Arial" w:eastAsia="Arial" w:hAnsi="Arial"/>
                <w:sz w:val="11"/>
                <w:szCs w:val="11"/>
                <w:color w:val="auto"/>
              </w:rPr>
              <w:t>100,995,90</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1"/>
                <w:szCs w:val="11"/>
                <w:b w:val="1"/>
                <w:bCs w:val="1"/>
                <w:color w:val="auto"/>
              </w:rPr>
              <w:t>June 30, 2021</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right w:val="single" w:sz="8" w:color="CFF0FC"/>
            </w:tcBorders>
            <w:shd w:val="clear" w:color="auto" w:fill="CFF0FC"/>
          </w:tcPr>
          <w:p>
            <w:pPr>
              <w:spacing w:after="0"/>
              <w:rPr>
                <w:sz w:val="12"/>
                <w:szCs w:val="12"/>
                <w:color w:val="auto"/>
              </w:rPr>
            </w:pPr>
          </w:p>
        </w:tc>
        <w:tc>
          <w:tcPr>
            <w:tcW w:w="64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right w:val="single" w:sz="8" w:color="CFF0FC"/>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right w:val="single" w:sz="8" w:color="auto"/>
            </w:tcBorders>
            <w:gridSpan w:val="2"/>
            <w:shd w:val="clear" w:color="auto" w:fill="CFF0FC"/>
          </w:tcPr>
          <w:p>
            <w:pPr>
              <w:ind w:left="8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FF0FC"/>
              <w:right w:val="single" w:sz="8" w:color="CFF0FC"/>
            </w:tcBorders>
            <w:gridSpan w:val="2"/>
            <w:shd w:val="clear" w:color="auto" w:fill="CFF0FC"/>
          </w:tcPr>
          <w:p>
            <w:pPr>
              <w:jc w:val="right"/>
              <w:ind w:right="26"/>
              <w:spacing w:after="0"/>
              <w:rPr>
                <w:sz w:val="20"/>
                <w:szCs w:val="20"/>
                <w:color w:val="auto"/>
              </w:rPr>
            </w:pPr>
            <w:r>
              <w:rPr>
                <w:rFonts w:ascii="Arial" w:cs="Arial" w:eastAsia="Arial" w:hAnsi="Arial"/>
                <w:sz w:val="11"/>
                <w:szCs w:val="11"/>
                <w:color w:val="auto"/>
              </w:rPr>
              <w:t>3</w:t>
            </w:r>
          </w:p>
        </w:tc>
        <w:tc>
          <w:tcPr>
            <w:tcW w:w="1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FF0FC"/>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10</w:t>
            </w:r>
          </w:p>
        </w:tc>
        <w:tc>
          <w:tcPr>
            <w:tcW w:w="62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5,988,378</w:t>
            </w:r>
          </w:p>
        </w:tc>
        <w:tc>
          <w:tcPr>
            <w:tcW w:w="42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right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7"/>
              </w:rPr>
              <w:t>1</w:t>
            </w: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740" w:type="dxa"/>
            <w:vAlign w:val="bottom"/>
            <w:tcBorders>
              <w:bottom w:val="single" w:sz="8" w:color="CFF0FC"/>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(2,317,722 )</w:t>
            </w:r>
          </w:p>
        </w:tc>
        <w:tc>
          <w:tcPr>
            <w:tcW w:w="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(748 )</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600,236</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49</w:t>
            </w:r>
          </w:p>
        </w:tc>
        <w:tc>
          <w:tcPr>
            <w:tcW w:w="140" w:type="dxa"/>
            <w:vAlign w:val="bottom"/>
            <w:tcBorders>
              <w:bottom w:val="single" w:sz="8" w:color="CFF0FC"/>
              <w:right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FF0FC"/>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(124,570 )</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FF0FC"/>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474,978</w:t>
            </w:r>
          </w:p>
        </w:tc>
        <w:tc>
          <w:tcPr>
            <w:tcW w:w="0" w:type="dxa"/>
            <w:vAlign w:val="bottom"/>
          </w:tcPr>
          <w:p>
            <w:pPr>
              <w:spacing w:after="0"/>
              <w:rPr>
                <w:sz w:val="1"/>
                <w:szCs w:val="1"/>
                <w:color w:val="auto"/>
              </w:rPr>
            </w:pPr>
          </w:p>
        </w:tc>
      </w:tr>
      <w:tr>
        <w:trPr>
          <w:trHeight w:val="140"/>
        </w:trPr>
        <w:tc>
          <w:tcPr>
            <w:tcW w:w="1120" w:type="dxa"/>
            <w:vAlign w:val="bottom"/>
          </w:tcPr>
          <w:p>
            <w:pPr>
              <w:ind w:left="20"/>
              <w:spacing w:after="0"/>
              <w:rPr>
                <w:sz w:val="20"/>
                <w:szCs w:val="20"/>
                <w:color w:val="auto"/>
              </w:rPr>
            </w:pPr>
            <w:r>
              <w:rPr>
                <w:rFonts w:ascii="Arial" w:cs="Arial" w:eastAsia="Arial" w:hAnsi="Arial"/>
                <w:sz w:val="11"/>
                <w:szCs w:val="11"/>
                <w:color w:val="auto"/>
              </w:rPr>
              <w:t>Issuance of common</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stock upon</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rPr>
                <w:sz w:val="20"/>
                <w:szCs w:val="20"/>
                <w:color w:val="auto"/>
              </w:rPr>
            </w:pPr>
            <w:r>
              <w:rPr>
                <w:rFonts w:ascii="Arial" w:cs="Arial" w:eastAsia="Arial" w:hAnsi="Arial"/>
                <w:sz w:val="11"/>
                <w:szCs w:val="11"/>
                <w:color w:val="auto"/>
              </w:rPr>
              <w:t>exercise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stock options</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Borders>
              <w:right w:val="single" w:sz="8" w:color="auto"/>
            </w:tcBorders>
            <w:gridSpan w:val="2"/>
          </w:tcPr>
          <w:p>
            <w:pPr>
              <w:ind w:left="8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6"/>
              <w:spacing w:after="0"/>
              <w:rPr>
                <w:sz w:val="20"/>
                <w:szCs w:val="20"/>
                <w:color w:val="auto"/>
              </w:rPr>
            </w:pPr>
            <w:r>
              <w:rPr>
                <w:rFonts w:ascii="Arial" w:cs="Arial" w:eastAsia="Arial" w:hAnsi="Arial"/>
                <w:sz w:val="11"/>
                <w:szCs w:val="11"/>
                <w:color w:val="auto"/>
              </w:rPr>
              <w:t>205,563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305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305</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Foreign currency</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120"/>
              <w:spacing w:after="0"/>
              <w:rPr>
                <w:sz w:val="20"/>
                <w:szCs w:val="20"/>
                <w:color w:val="auto"/>
              </w:rPr>
            </w:pPr>
            <w:r>
              <w:rPr>
                <w:rFonts w:ascii="Arial" w:cs="Arial" w:eastAsia="Arial" w:hAnsi="Arial"/>
                <w:sz w:val="11"/>
                <w:szCs w:val="11"/>
                <w:color w:val="auto"/>
              </w:rPr>
              <w:t>translation</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640" w:type="dxa"/>
            <w:vAlign w:val="bottom"/>
            <w:tcBorders>
              <w:right w:val="single" w:sz="8" w:color="CFF0FC"/>
            </w:tcBorders>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1"/>
                <w:szCs w:val="11"/>
                <w:color w:val="auto"/>
              </w:rPr>
              <w:t>adjustment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right w:val="single" w:sz="8" w:color="CFF0FC"/>
            </w:tcBorders>
            <w:shd w:val="clear" w:color="auto" w:fill="CFF0FC"/>
          </w:tcPr>
          <w:p>
            <w:pPr>
              <w:spacing w:after="0"/>
              <w:rPr>
                <w:sz w:val="11"/>
                <w:szCs w:val="11"/>
                <w:color w:val="auto"/>
              </w:rPr>
            </w:pPr>
          </w:p>
        </w:tc>
        <w:tc>
          <w:tcPr>
            <w:tcW w:w="64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right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right w:val="single" w:sz="8" w:color="auto"/>
            </w:tcBorders>
            <w:gridSpan w:val="2"/>
            <w:shd w:val="clear" w:color="auto" w:fill="CFF0FC"/>
          </w:tcPr>
          <w:p>
            <w:pPr>
              <w:ind w:lef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right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(343 )</w:t>
            </w:r>
          </w:p>
        </w:tc>
        <w:tc>
          <w:tcPr>
            <w:tcW w:w="10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(343 )</w:t>
            </w:r>
          </w:p>
        </w:tc>
        <w:tc>
          <w:tcPr>
            <w:tcW w:w="0" w:type="dxa"/>
            <w:vAlign w:val="bottom"/>
          </w:tcPr>
          <w:p>
            <w:pPr>
              <w:spacing w:after="0"/>
              <w:rPr>
                <w:sz w:val="1"/>
                <w:szCs w:val="1"/>
                <w:color w:val="auto"/>
              </w:rPr>
            </w:pPr>
          </w:p>
        </w:tc>
      </w:tr>
      <w:tr>
        <w:trPr>
          <w:trHeight w:val="140"/>
        </w:trPr>
        <w:tc>
          <w:tcPr>
            <w:tcW w:w="1120" w:type="dxa"/>
            <w:vAlign w:val="bottom"/>
          </w:tcPr>
          <w:p>
            <w:pPr>
              <w:ind w:left="20"/>
              <w:spacing w:after="0"/>
              <w:rPr>
                <w:sz w:val="20"/>
                <w:szCs w:val="20"/>
                <w:color w:val="auto"/>
              </w:rPr>
            </w:pPr>
            <w:r>
              <w:rPr>
                <w:rFonts w:ascii="Arial" w:cs="Arial" w:eastAsia="Arial" w:hAnsi="Arial"/>
                <w:sz w:val="11"/>
                <w:szCs w:val="11"/>
                <w:color w:val="auto"/>
              </w:rPr>
              <w:t>Stock-based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compensation</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120" w:type="dxa"/>
            <w:vAlign w:val="bottom"/>
          </w:tcPr>
          <w:p>
            <w:pPr>
              <w:ind w:left="120"/>
              <w:spacing w:after="0"/>
              <w:rPr>
                <w:sz w:val="20"/>
                <w:szCs w:val="20"/>
                <w:color w:val="auto"/>
              </w:rPr>
            </w:pPr>
            <w:r>
              <w:rPr>
                <w:rFonts w:ascii="Arial" w:cs="Arial" w:eastAsia="Arial" w:hAnsi="Arial"/>
                <w:sz w:val="11"/>
                <w:szCs w:val="11"/>
                <w:color w:val="auto"/>
              </w:rPr>
              <w:t>expense</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right w:val="single" w:sz="8" w:color="auto"/>
            </w:tcBorders>
            <w:gridSpan w:val="2"/>
          </w:tcPr>
          <w:p>
            <w:pPr>
              <w:ind w:lef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2,778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2,778</w:t>
            </w:r>
          </w:p>
        </w:tc>
        <w:tc>
          <w:tcPr>
            <w:tcW w:w="0" w:type="dxa"/>
            <w:vAlign w:val="bottom"/>
          </w:tcPr>
          <w:p>
            <w:pPr>
              <w:spacing w:after="0"/>
              <w:rPr>
                <w:sz w:val="1"/>
                <w:szCs w:val="1"/>
                <w:color w:val="auto"/>
              </w:rPr>
            </w:pPr>
          </w:p>
        </w:tc>
      </w:tr>
      <w:tr>
        <w:trPr>
          <w:trHeight w:val="167"/>
        </w:trPr>
        <w:tc>
          <w:tcPr>
            <w:tcW w:w="1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income</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64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right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right w:val="single" w:sz="8" w:color="CFF0FC"/>
            </w:tcBorders>
            <w:gridSpan w:val="2"/>
            <w:shd w:val="clear" w:color="auto" w:fill="CFF0FC"/>
          </w:tcPr>
          <w:p>
            <w:pPr>
              <w:ind w:lef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right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9,994</w:t>
            </w:r>
          </w:p>
        </w:tc>
        <w:tc>
          <w:tcPr>
            <w:tcW w:w="140" w:type="dxa"/>
            <w:vAlign w:val="bottom"/>
            <w:tcBorders>
              <w:bottom w:val="single" w:sz="8" w:color="CFF0FC"/>
              <w:right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9,994</w:t>
            </w:r>
          </w:p>
        </w:tc>
        <w:tc>
          <w:tcPr>
            <w:tcW w:w="0" w:type="dxa"/>
            <w:vAlign w:val="bottom"/>
          </w:tcPr>
          <w:p>
            <w:pPr>
              <w:spacing w:after="0"/>
              <w:rPr>
                <w:sz w:val="1"/>
                <w:szCs w:val="1"/>
                <w:color w:val="auto"/>
              </w:rPr>
            </w:pPr>
          </w:p>
        </w:tc>
      </w:tr>
      <w:tr>
        <w:trPr>
          <w:trHeight w:val="127"/>
        </w:trPr>
        <w:tc>
          <w:tcPr>
            <w:tcW w:w="1120" w:type="dxa"/>
            <w:vAlign w:val="bottom"/>
            <w:tcBorders>
              <w:top w:val="single" w:sz="8" w:color="CFF0FC"/>
            </w:tcBorders>
          </w:tcPr>
          <w:p>
            <w:pPr>
              <w:ind w:left="20"/>
              <w:spacing w:after="0"/>
              <w:rPr>
                <w:sz w:val="20"/>
                <w:szCs w:val="20"/>
                <w:color w:val="auto"/>
              </w:rPr>
            </w:pPr>
            <w:r>
              <w:rPr>
                <w:rFonts w:ascii="Arial" w:cs="Arial" w:eastAsia="Arial" w:hAnsi="Arial"/>
                <w:sz w:val="11"/>
                <w:szCs w:val="11"/>
                <w:b w:val="1"/>
                <w:bCs w:val="1"/>
                <w:color w:val="auto"/>
              </w:rPr>
              <w:t>Balances at</w:t>
            </w:r>
          </w:p>
        </w:tc>
        <w:tc>
          <w:tcPr>
            <w:tcW w:w="66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vMerge w:val="restart"/>
          </w:tcPr>
          <w:p>
            <w:pPr>
              <w:spacing w:after="0"/>
              <w:rPr>
                <w:sz w:val="11"/>
                <w:szCs w:val="11"/>
                <w:color w:val="auto"/>
              </w:rPr>
            </w:pPr>
          </w:p>
        </w:tc>
        <w:tc>
          <w:tcPr>
            <w:tcW w:w="70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1"/>
                <w:szCs w:val="11"/>
                <w:color w:val="auto"/>
              </w:rPr>
              <w:t>101,201,46</w:t>
            </w:r>
          </w:p>
        </w:tc>
        <w:tc>
          <w:tcPr>
            <w:tcW w:w="8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120" w:type="dxa"/>
            <w:vAlign w:val="bottom"/>
          </w:tcPr>
          <w:p>
            <w:pPr>
              <w:ind w:left="120"/>
              <w:spacing w:after="0" w:line="110" w:lineRule="exact"/>
              <w:rPr>
                <w:sz w:val="20"/>
                <w:szCs w:val="20"/>
                <w:color w:val="auto"/>
              </w:rPr>
            </w:pPr>
            <w:r>
              <w:rPr>
                <w:rFonts w:ascii="Arial" w:cs="Arial" w:eastAsia="Arial" w:hAnsi="Arial"/>
                <w:sz w:val="11"/>
                <w:szCs w:val="11"/>
                <w:b w:val="1"/>
                <w:bCs w:val="1"/>
                <w:color w:val="auto"/>
              </w:rPr>
              <w:t>September 30,</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20"/>
              <w:spacing w:after="0"/>
              <w:rPr>
                <w:sz w:val="20"/>
                <w:szCs w:val="20"/>
                <w:color w:val="auto"/>
              </w:rPr>
            </w:pPr>
            <w:r>
              <w:rPr>
                <w:rFonts w:ascii="Arial" w:cs="Arial" w:eastAsia="Arial" w:hAnsi="Arial"/>
                <w:sz w:val="11"/>
                <w:szCs w:val="11"/>
                <w:b w:val="1"/>
                <w:bCs w:val="1"/>
                <w:color w:val="auto"/>
              </w:rPr>
              <w:t>2021</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ind w:left="8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10</w:t>
            </w:r>
          </w:p>
        </w:tc>
        <w:tc>
          <w:tcPr>
            <w:tcW w:w="620" w:type="dxa"/>
            <w:vAlign w:val="bottom"/>
          </w:tcPr>
          <w:p>
            <w:pPr>
              <w:jc w:val="right"/>
              <w:spacing w:after="0"/>
              <w:rPr>
                <w:sz w:val="20"/>
                <w:szCs w:val="20"/>
                <w:color w:val="auto"/>
              </w:rPr>
            </w:pPr>
            <w:r>
              <w:rPr>
                <w:rFonts w:ascii="Arial" w:cs="Arial" w:eastAsia="Arial" w:hAnsi="Arial"/>
                <w:sz w:val="11"/>
                <w:szCs w:val="11"/>
                <w:color w:val="auto"/>
              </w:rPr>
              <w:t>5,988,378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jc w:val="center"/>
              <w:spacing w:after="0"/>
              <w:rPr>
                <w:sz w:val="20"/>
                <w:szCs w:val="20"/>
                <w:color w:val="auto"/>
              </w:rPr>
            </w:pPr>
            <w:r>
              <w:rPr>
                <w:rFonts w:ascii="Arial" w:cs="Arial" w:eastAsia="Arial" w:hAnsi="Arial"/>
                <w:sz w:val="11"/>
                <w:szCs w:val="11"/>
                <w:color w:val="auto"/>
                <w:w w:val="97"/>
              </w:rPr>
              <w:t>1</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(2,317,722 )</w:t>
            </w:r>
          </w:p>
        </w:tc>
        <w:tc>
          <w:tcPr>
            <w:tcW w:w="14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(748 )</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603,319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(294 )</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(114,576 )</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487,712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9"/>
          </w:tcPr>
          <w:p>
            <w:pPr>
              <w:jc w:val="right"/>
              <w:ind w:right="500"/>
              <w:spacing w:after="0"/>
              <w:rPr>
                <w:sz w:val="20"/>
                <w:szCs w:val="20"/>
                <w:color w:val="auto"/>
              </w:rPr>
            </w:pPr>
            <w:r>
              <w:rPr>
                <w:rFonts w:ascii="Arial" w:cs="Arial" w:eastAsia="Arial" w:hAnsi="Arial"/>
                <w:sz w:val="11"/>
                <w:szCs w:val="11"/>
                <w:b w:val="1"/>
                <w:bCs w:val="1"/>
                <w:color w:val="auto"/>
                <w:w w:val="97"/>
              </w:rPr>
              <w:t>Three Months Ended September 30, 2020</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vMerge w:val="restart"/>
          </w:tcPr>
          <w:p>
            <w:pPr>
              <w:jc w:val="center"/>
              <w:ind w:left="66"/>
              <w:spacing w:after="0"/>
              <w:rPr>
                <w:sz w:val="20"/>
                <w:szCs w:val="20"/>
                <w:color w:val="auto"/>
              </w:rPr>
            </w:pPr>
            <w:r>
              <w:rPr>
                <w:rFonts w:ascii="Arial" w:cs="Arial" w:eastAsia="Arial" w:hAnsi="Arial"/>
                <w:sz w:val="11"/>
                <w:szCs w:val="11"/>
                <w:b w:val="1"/>
                <w:bCs w:val="1"/>
                <w:color w:val="auto"/>
                <w:w w:val="98"/>
              </w:rPr>
              <w:t>Redeemable</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right="126"/>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960" w:type="dxa"/>
            <w:vAlign w:val="bottom"/>
            <w:gridSpan w:val="3"/>
          </w:tcPr>
          <w:p>
            <w:pPr>
              <w:jc w:val="center"/>
              <w:ind w:left="286"/>
              <w:spacing w:after="0"/>
              <w:rPr>
                <w:sz w:val="20"/>
                <w:szCs w:val="20"/>
                <w:color w:val="auto"/>
              </w:rPr>
            </w:pPr>
            <w:r>
              <w:rPr>
                <w:rFonts w:ascii="Arial" w:cs="Arial" w:eastAsia="Arial" w:hAnsi="Arial"/>
                <w:sz w:val="11"/>
                <w:szCs w:val="11"/>
                <w:b w:val="1"/>
                <w:bCs w:val="1"/>
                <w:color w:val="auto"/>
                <w:w w:val="95"/>
              </w:rPr>
              <w:t>Convertible</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tcPr>
          <w:p>
            <w:pPr>
              <w:jc w:val="center"/>
              <w:ind w:left="86"/>
              <w:spacing w:after="0"/>
              <w:rPr>
                <w:sz w:val="20"/>
                <w:szCs w:val="20"/>
                <w:color w:val="auto"/>
              </w:rPr>
            </w:pPr>
            <w:r>
              <w:rPr>
                <w:rFonts w:ascii="Arial" w:cs="Arial" w:eastAsia="Arial" w:hAnsi="Arial"/>
                <w:sz w:val="11"/>
                <w:szCs w:val="11"/>
                <w:b w:val="1"/>
                <w:bCs w:val="1"/>
                <w:color w:val="auto"/>
                <w:w w:val="95"/>
              </w:rPr>
              <w:t>Convertible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right"/>
              <w:ind w:right="86"/>
              <w:spacing w:after="0"/>
              <w:rPr>
                <w:sz w:val="20"/>
                <w:szCs w:val="20"/>
                <w:color w:val="auto"/>
              </w:rPr>
            </w:pPr>
            <w:r>
              <w:rPr>
                <w:rFonts w:ascii="Arial" w:cs="Arial" w:eastAsia="Arial" w:hAnsi="Arial"/>
                <w:sz w:val="11"/>
                <w:szCs w:val="11"/>
                <w:b w:val="1"/>
                <w:bCs w:val="1"/>
                <w:color w:val="auto"/>
              </w:rPr>
              <w:t>Voting</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jc w:val="center"/>
              <w:ind w:left="86"/>
              <w:spacing w:after="0"/>
              <w:rPr>
                <w:sz w:val="20"/>
                <w:szCs w:val="20"/>
                <w:color w:val="auto"/>
              </w:rPr>
            </w:pPr>
            <w:r>
              <w:rPr>
                <w:rFonts w:ascii="Arial" w:cs="Arial" w:eastAsia="Arial" w:hAnsi="Arial"/>
                <w:sz w:val="11"/>
                <w:szCs w:val="11"/>
                <w:b w:val="1"/>
                <w:bCs w:val="1"/>
                <w:color w:val="auto"/>
                <w:w w:val="97"/>
              </w:rPr>
              <w:t>Non-Voting</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6"/>
              </w:rPr>
              <w:t>Additional</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Comprehens</w:t>
            </w: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Accumulate</w:t>
            </w:r>
          </w:p>
        </w:tc>
        <w:tc>
          <w:tcPr>
            <w:tcW w:w="700" w:type="dxa"/>
            <w:vAlign w:val="bottom"/>
            <w:gridSpan w:val="2"/>
          </w:tcPr>
          <w:p>
            <w:pPr>
              <w:jc w:val="center"/>
              <w:ind w:right="26"/>
              <w:spacing w:after="0"/>
              <w:rPr>
                <w:sz w:val="20"/>
                <w:szCs w:val="20"/>
                <w:color w:val="auto"/>
              </w:rPr>
            </w:pPr>
            <w:r>
              <w:rPr>
                <w:rFonts w:ascii="Arial" w:cs="Arial" w:eastAsia="Arial" w:hAnsi="Arial"/>
                <w:sz w:val="11"/>
                <w:szCs w:val="11"/>
                <w:b w:val="1"/>
                <w:bCs w:val="1"/>
                <w:color w:val="auto"/>
                <w:w w:val="97"/>
              </w:rPr>
              <w:t>Stockholder</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1300" w:type="dxa"/>
            <w:vAlign w:val="bottom"/>
            <w:gridSpan w:val="4"/>
          </w:tcPr>
          <w:p>
            <w:pPr>
              <w:jc w:val="right"/>
              <w:ind w:right="206"/>
              <w:spacing w:after="0"/>
              <w:rPr>
                <w:sz w:val="20"/>
                <w:szCs w:val="20"/>
                <w:color w:val="auto"/>
              </w:rPr>
            </w:pPr>
            <w:r>
              <w:rPr>
                <w:rFonts w:ascii="Arial" w:cs="Arial" w:eastAsia="Arial" w:hAnsi="Arial"/>
                <w:sz w:val="11"/>
                <w:szCs w:val="11"/>
                <w:b w:val="1"/>
                <w:bCs w:val="1"/>
                <w:color w:val="auto"/>
              </w:rPr>
              <w:t>Preferred Stock</w:t>
            </w:r>
          </w:p>
        </w:tc>
        <w:tc>
          <w:tcPr>
            <w:tcW w:w="160" w:type="dxa"/>
            <w:vAlign w:val="bottom"/>
          </w:tcPr>
          <w:p>
            <w:pPr>
              <w:spacing w:after="0"/>
              <w:rPr>
                <w:sz w:val="13"/>
                <w:szCs w:val="13"/>
                <w:color w:val="auto"/>
              </w:rPr>
            </w:pPr>
          </w:p>
        </w:tc>
        <w:tc>
          <w:tcPr>
            <w:tcW w:w="1080" w:type="dxa"/>
            <w:vAlign w:val="bottom"/>
            <w:gridSpan w:val="3"/>
          </w:tcPr>
          <w:p>
            <w:pPr>
              <w:jc w:val="center"/>
              <w:ind w:left="66"/>
              <w:spacing w:after="0"/>
              <w:rPr>
                <w:sz w:val="20"/>
                <w:szCs w:val="20"/>
                <w:color w:val="auto"/>
              </w:rPr>
            </w:pPr>
            <w:r>
              <w:rPr>
                <w:rFonts w:ascii="Arial" w:cs="Arial" w:eastAsia="Arial" w:hAnsi="Arial"/>
                <w:sz w:val="11"/>
                <w:szCs w:val="11"/>
                <w:b w:val="1"/>
                <w:bCs w:val="1"/>
                <w:color w:val="auto"/>
                <w:w w:val="97"/>
              </w:rPr>
              <w:t>Preferred Stock</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5"/>
          </w:tcPr>
          <w:p>
            <w:pPr>
              <w:jc w:val="right"/>
              <w:ind w:right="440"/>
              <w:spacing w:after="0"/>
              <w:rPr>
                <w:sz w:val="20"/>
                <w:szCs w:val="20"/>
                <w:color w:val="auto"/>
              </w:rPr>
            </w:pPr>
            <w:r>
              <w:rPr>
                <w:rFonts w:ascii="Arial" w:cs="Arial" w:eastAsia="Arial" w:hAnsi="Arial"/>
                <w:sz w:val="11"/>
                <w:szCs w:val="11"/>
                <w:b w:val="1"/>
                <w:bCs w:val="1"/>
                <w:color w:val="auto"/>
              </w:rPr>
              <w:t>Common Stock</w:t>
            </w:r>
          </w:p>
        </w:tc>
        <w:tc>
          <w:tcPr>
            <w:tcW w:w="1040" w:type="dxa"/>
            <w:vAlign w:val="bottom"/>
            <w:gridSpan w:val="3"/>
          </w:tcPr>
          <w:p>
            <w:pPr>
              <w:jc w:val="center"/>
              <w:ind w:left="66"/>
              <w:spacing w:after="0"/>
              <w:rPr>
                <w:sz w:val="20"/>
                <w:szCs w:val="20"/>
                <w:color w:val="auto"/>
              </w:rPr>
            </w:pPr>
            <w:r>
              <w:rPr>
                <w:rFonts w:ascii="Arial" w:cs="Arial" w:eastAsia="Arial" w:hAnsi="Arial"/>
                <w:sz w:val="11"/>
                <w:szCs w:val="11"/>
                <w:b w:val="1"/>
                <w:bCs w:val="1"/>
                <w:color w:val="auto"/>
                <w:w w:val="99"/>
              </w:rPr>
              <w:t>Common Stock</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5"/>
          </w:tcPr>
          <w:p>
            <w:pPr>
              <w:jc w:val="right"/>
              <w:ind w:right="340"/>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13"/>
                <w:szCs w:val="13"/>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Paid-In</w:t>
            </w:r>
          </w:p>
        </w:tc>
        <w:tc>
          <w:tcPr>
            <w:tcW w:w="120" w:type="dxa"/>
            <w:vAlign w:val="bottom"/>
          </w:tcPr>
          <w:p>
            <w:pPr>
              <w:spacing w:after="0"/>
              <w:rPr>
                <w:sz w:val="13"/>
                <w:szCs w:val="13"/>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ive</w:t>
            </w:r>
          </w:p>
        </w:tc>
        <w:tc>
          <w:tcPr>
            <w:tcW w:w="100" w:type="dxa"/>
            <w:vAlign w:val="bottom"/>
          </w:tcPr>
          <w:p>
            <w:pPr>
              <w:spacing w:after="0"/>
              <w:rPr>
                <w:sz w:val="13"/>
                <w:szCs w:val="13"/>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d</w:t>
            </w:r>
          </w:p>
        </w:tc>
        <w:tc>
          <w:tcPr>
            <w:tcW w:w="120" w:type="dxa"/>
            <w:vAlign w:val="bottom"/>
          </w:tcPr>
          <w:p>
            <w:pPr>
              <w:spacing w:after="0"/>
              <w:rPr>
                <w:sz w:val="13"/>
                <w:szCs w:val="13"/>
                <w:color w:val="auto"/>
              </w:rPr>
            </w:pPr>
          </w:p>
        </w:tc>
        <w:tc>
          <w:tcPr>
            <w:tcW w:w="580" w:type="dxa"/>
            <w:vAlign w:val="bottom"/>
          </w:tcPr>
          <w:p>
            <w:pPr>
              <w:jc w:val="center"/>
              <w:ind w:right="126"/>
              <w:spacing w:after="0"/>
              <w:rPr>
                <w:sz w:val="20"/>
                <w:szCs w:val="20"/>
                <w:color w:val="auto"/>
              </w:rPr>
            </w:pPr>
            <w:r>
              <w:rPr>
                <w:rFonts w:ascii="Arial" w:cs="Arial" w:eastAsia="Arial" w:hAnsi="Arial"/>
                <w:sz w:val="11"/>
                <w:szCs w:val="11"/>
                <w:b w:val="1"/>
                <w:bCs w:val="1"/>
                <w:color w:val="auto"/>
                <w:w w:val="86"/>
              </w:rPr>
              <w:t>s’</w:t>
            </w:r>
          </w:p>
        </w:tc>
        <w:tc>
          <w:tcPr>
            <w:tcW w:w="0" w:type="dxa"/>
            <w:vAlign w:val="bottom"/>
          </w:tcPr>
          <w:p>
            <w:pPr>
              <w:spacing w:after="0"/>
              <w:rPr>
                <w:sz w:val="1"/>
                <w:szCs w:val="1"/>
                <w:color w:val="auto"/>
              </w:rPr>
            </w:pPr>
          </w:p>
        </w:tc>
      </w:tr>
      <w:tr>
        <w:trPr>
          <w:trHeight w:val="133"/>
        </w:trPr>
        <w:tc>
          <w:tcPr>
            <w:tcW w:w="1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Income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50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2"/>
                <w:szCs w:val="12"/>
                <w:color w:val="auto"/>
              </w:rPr>
            </w:pPr>
          </w:p>
        </w:tc>
        <w:tc>
          <w:tcPr>
            <w:tcW w:w="700" w:type="dxa"/>
            <w:vAlign w:val="bottom"/>
          </w:tcPr>
          <w:p>
            <w:pPr>
              <w:jc w:val="right"/>
              <w:ind w:right="226"/>
              <w:spacing w:after="0"/>
              <w:rPr>
                <w:sz w:val="20"/>
                <w:szCs w:val="20"/>
                <w:color w:val="auto"/>
              </w:rPr>
            </w:pPr>
            <w:r>
              <w:rPr>
                <w:rFonts w:ascii="Arial" w:cs="Arial" w:eastAsia="Arial" w:hAnsi="Arial"/>
                <w:sz w:val="11"/>
                <w:szCs w:val="11"/>
                <w:b w:val="1"/>
                <w:bCs w:val="1"/>
                <w:color w:val="auto"/>
              </w:rPr>
              <w:t>Shares</w:t>
            </w:r>
          </w:p>
        </w:tc>
        <w:tc>
          <w:tcPr>
            <w:tcW w:w="700" w:type="dxa"/>
            <w:vAlign w:val="bottom"/>
            <w:gridSpan w:val="4"/>
          </w:tcPr>
          <w:p>
            <w:pPr>
              <w:jc w:val="right"/>
              <w:ind w:right="24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Shares</w:t>
            </w: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6"/>
              </w:rPr>
              <w:t>(Loss)</w:t>
            </w:r>
          </w:p>
        </w:tc>
        <w:tc>
          <w:tcPr>
            <w:tcW w:w="100" w:type="dxa"/>
            <w:vAlign w:val="bottom"/>
          </w:tcPr>
          <w:p>
            <w:pPr>
              <w:spacing w:after="0"/>
              <w:rPr>
                <w:sz w:val="12"/>
                <w:szCs w:val="12"/>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580" w:type="dxa"/>
            <w:vAlign w:val="bottom"/>
          </w:tcPr>
          <w:p>
            <w:pPr>
              <w:jc w:val="center"/>
              <w:ind w:right="126"/>
              <w:spacing w:after="0"/>
              <w:rPr>
                <w:sz w:val="20"/>
                <w:szCs w:val="20"/>
                <w:color w:val="auto"/>
              </w:rPr>
            </w:pPr>
            <w:r>
              <w:rPr>
                <w:rFonts w:ascii="Arial" w:cs="Arial" w:eastAsia="Arial" w:hAnsi="Arial"/>
                <w:sz w:val="11"/>
                <w:szCs w:val="11"/>
                <w:b w:val="1"/>
                <w:bCs w:val="1"/>
                <w:color w:val="auto"/>
                <w:w w:val="95"/>
              </w:rPr>
              <w:t>Deficit</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Balances at</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9"/>
              </w:rPr>
              <w:t>110,40</w:t>
            </w:r>
          </w:p>
        </w:tc>
        <w:tc>
          <w:tcPr>
            <w:tcW w:w="160" w:type="dxa"/>
            <w:vAlign w:val="bottom"/>
            <w:tcBorders>
              <w:right w:val="single" w:sz="8" w:color="CFF0FC"/>
            </w:tcBorders>
            <w:shd w:val="clear" w:color="auto" w:fill="CFF0FC"/>
          </w:tcPr>
          <w:p>
            <w:pPr>
              <w:spacing w:after="0"/>
              <w:rPr>
                <w:sz w:val="11"/>
                <w:szCs w:val="11"/>
                <w:color w:val="auto"/>
              </w:rPr>
            </w:pPr>
          </w:p>
        </w:tc>
        <w:tc>
          <w:tcPr>
            <w:tcW w:w="640" w:type="dxa"/>
            <w:vAlign w:val="bottom"/>
            <w:tcBorders>
              <w:right w:val="single" w:sz="8" w:color="CFF0FC"/>
            </w:tcBorders>
            <w:shd w:val="clear" w:color="auto" w:fill="CFF0FC"/>
          </w:tcPr>
          <w:p>
            <w:pPr>
              <w:spacing w:after="0"/>
              <w:rPr>
                <w:sz w:val="11"/>
                <w:szCs w:val="11"/>
                <w:color w:val="auto"/>
              </w:rPr>
            </w:pPr>
          </w:p>
        </w:tc>
        <w:tc>
          <w:tcPr>
            <w:tcW w:w="64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1"/>
                <w:szCs w:val="11"/>
                <w:color w:val="auto"/>
              </w:rPr>
              <w:t>119,76</w:t>
            </w:r>
          </w:p>
        </w:tc>
        <w:tc>
          <w:tcPr>
            <w:tcW w:w="18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1"/>
                <w:szCs w:val="11"/>
                <w:b w:val="1"/>
                <w:bCs w:val="1"/>
                <w:color w:val="auto"/>
              </w:rPr>
              <w:t>June 30, 2020</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54,208,461</w:t>
            </w:r>
          </w:p>
        </w:tc>
        <w:tc>
          <w:tcPr>
            <w:tcW w:w="30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0" w:type="dxa"/>
            <w:vAlign w:val="bottom"/>
            <w:tcBorders>
              <w:bottom w:val="single" w:sz="8" w:color="CFF0FC"/>
              <w:right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11,239,920</w:t>
            </w:r>
          </w:p>
        </w:tc>
        <w:tc>
          <w:tcPr>
            <w:tcW w:w="440" w:type="dxa"/>
            <w:vAlign w:val="bottom"/>
            <w:tcBorders>
              <w:bottom w:val="single" w:sz="8" w:color="CFF0FC"/>
            </w:tcBorders>
            <w:gridSpan w:val="2"/>
            <w:shd w:val="clear" w:color="auto" w:fill="CFF0FC"/>
          </w:tcPr>
          <w:p>
            <w:pPr>
              <w:jc w:val="right"/>
              <w:ind w:right="215"/>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80" w:type="dxa"/>
            <w:vAlign w:val="bottom"/>
            <w:tcBorders>
              <w:bottom w:val="single" w:sz="8" w:color="CFF0FC"/>
              <w:right w:val="single" w:sz="8" w:color="auto"/>
            </w:tcBorders>
            <w:shd w:val="clear" w:color="auto" w:fill="CFF0FC"/>
          </w:tcPr>
          <w:p>
            <w:pPr>
              <w:spacing w:after="0"/>
              <w:rPr>
                <w:sz w:val="12"/>
                <w:szCs w:val="12"/>
                <w:color w:val="auto"/>
              </w:rPr>
            </w:pPr>
          </w:p>
        </w:tc>
        <w:tc>
          <w:tcPr>
            <w:tcW w:w="780" w:type="dxa"/>
            <w:vAlign w:val="bottom"/>
            <w:tcBorders>
              <w:bottom w:val="single" w:sz="8" w:color="CFF0FC"/>
              <w:right w:val="single" w:sz="8" w:color="CFF0FC"/>
            </w:tcBorders>
            <w:gridSpan w:val="2"/>
            <w:shd w:val="clear" w:color="auto" w:fill="CFF0FC"/>
          </w:tcPr>
          <w:p>
            <w:pPr>
              <w:jc w:val="right"/>
              <w:ind w:right="86"/>
              <w:spacing w:after="0"/>
              <w:rPr>
                <w:sz w:val="20"/>
                <w:szCs w:val="20"/>
                <w:color w:val="auto"/>
              </w:rPr>
            </w:pPr>
            <w:r>
              <w:rPr>
                <w:rFonts w:ascii="Arial" w:cs="Arial" w:eastAsia="Arial" w:hAnsi="Arial"/>
                <w:sz w:val="11"/>
                <w:szCs w:val="11"/>
                <w:color w:val="auto"/>
              </w:rPr>
              <w:t>21,760,848</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200" w:type="dxa"/>
            <w:vAlign w:val="bottom"/>
            <w:tcBorders>
              <w:bottom w:val="single" w:sz="8" w:color="CFF0FC"/>
              <w:right w:val="single" w:sz="8" w:color="CFF0FC"/>
            </w:tcBorders>
            <w:shd w:val="clear" w:color="auto" w:fill="CFF0FC"/>
          </w:tcPr>
          <w:p>
            <w:pPr>
              <w:spacing w:after="0"/>
              <w:rPr>
                <w:sz w:val="12"/>
                <w:szCs w:val="12"/>
                <w:color w:val="auto"/>
              </w:rPr>
            </w:pPr>
          </w:p>
        </w:tc>
        <w:tc>
          <w:tcPr>
            <w:tcW w:w="62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CFF0FC"/>
              <w:right w:val="single" w:sz="8" w:color="CFF0FC"/>
            </w:tcBorders>
            <w:gridSpan w:val="2"/>
            <w:shd w:val="clear" w:color="auto" w:fill="CFF0FC"/>
          </w:tcPr>
          <w:p>
            <w:pPr>
              <w:jc w:val="center"/>
              <w:ind w:right="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(2,317,722 )</w:t>
            </w:r>
          </w:p>
        </w:tc>
        <w:tc>
          <w:tcPr>
            <w:tcW w:w="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(748 )</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14,705</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(171 )</w:t>
            </w:r>
          </w:p>
        </w:tc>
        <w:tc>
          <w:tcPr>
            <w:tcW w:w="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FF0FC"/>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(98,962 )</w:t>
            </w:r>
          </w:p>
        </w:tc>
        <w:tc>
          <w:tcPr>
            <w:tcW w:w="12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(85,174 )</w:t>
            </w:r>
          </w:p>
        </w:tc>
        <w:tc>
          <w:tcPr>
            <w:tcW w:w="0" w:type="dxa"/>
            <w:vAlign w:val="bottom"/>
          </w:tcPr>
          <w:p>
            <w:pPr>
              <w:spacing w:after="0"/>
              <w:rPr>
                <w:sz w:val="1"/>
                <w:szCs w:val="1"/>
                <w:color w:val="auto"/>
              </w:rPr>
            </w:pPr>
          </w:p>
        </w:tc>
      </w:tr>
      <w:tr>
        <w:trPr>
          <w:trHeight w:val="140"/>
        </w:trPr>
        <w:tc>
          <w:tcPr>
            <w:tcW w:w="1120" w:type="dxa"/>
            <w:vAlign w:val="bottom"/>
          </w:tcPr>
          <w:p>
            <w:pPr>
              <w:ind w:left="20"/>
              <w:spacing w:after="0"/>
              <w:rPr>
                <w:sz w:val="20"/>
                <w:szCs w:val="20"/>
                <w:color w:val="auto"/>
              </w:rPr>
            </w:pPr>
            <w:r>
              <w:rPr>
                <w:rFonts w:ascii="Arial" w:cs="Arial" w:eastAsia="Arial" w:hAnsi="Arial"/>
                <w:sz w:val="11"/>
                <w:szCs w:val="11"/>
                <w:color w:val="auto"/>
              </w:rPr>
              <w:t>Issuance of common</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stock upon</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rPr>
                <w:sz w:val="20"/>
                <w:szCs w:val="20"/>
                <w:color w:val="auto"/>
              </w:rPr>
            </w:pPr>
            <w:r>
              <w:rPr>
                <w:rFonts w:ascii="Arial" w:cs="Arial" w:eastAsia="Arial" w:hAnsi="Arial"/>
                <w:sz w:val="11"/>
                <w:szCs w:val="11"/>
                <w:color w:val="auto"/>
              </w:rPr>
              <w:t>exercise</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of stock options</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259,593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center"/>
              <w:ind w:right="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86</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common</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1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1"/>
                <w:szCs w:val="11"/>
                <w:color w:val="auto"/>
              </w:rPr>
              <w:t>stock warrants</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right w:val="single" w:sz="8" w:color="CFF0FC"/>
            </w:tcBorders>
            <w:shd w:val="clear" w:color="auto" w:fill="CFF0FC"/>
          </w:tcPr>
          <w:p>
            <w:pPr>
              <w:spacing w:after="0"/>
              <w:rPr>
                <w:sz w:val="11"/>
                <w:szCs w:val="11"/>
                <w:color w:val="auto"/>
              </w:rPr>
            </w:pPr>
          </w:p>
        </w:tc>
        <w:tc>
          <w:tcPr>
            <w:tcW w:w="64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right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right w:val="single" w:sz="8" w:color="CFF0FC"/>
            </w:tcBorders>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right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right w:val="single" w:sz="8" w:color="CFF0FC"/>
            </w:tcBorders>
            <w:gridSpan w:val="2"/>
            <w:shd w:val="clear" w:color="auto" w:fill="CFF0FC"/>
          </w:tcPr>
          <w:p>
            <w:pPr>
              <w:jc w:val="center"/>
              <w:ind w:right="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CFF0FC"/>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120" w:type="dxa"/>
            <w:vAlign w:val="bottom"/>
          </w:tcPr>
          <w:p>
            <w:pPr>
              <w:ind w:left="20"/>
              <w:spacing w:after="0"/>
              <w:rPr>
                <w:sz w:val="20"/>
                <w:szCs w:val="20"/>
                <w:color w:val="auto"/>
              </w:rPr>
            </w:pPr>
            <w:r>
              <w:rPr>
                <w:rFonts w:ascii="Arial" w:cs="Arial" w:eastAsia="Arial" w:hAnsi="Arial"/>
                <w:sz w:val="11"/>
                <w:szCs w:val="11"/>
                <w:color w:val="auto"/>
              </w:rPr>
              <w:t>Accretion of</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redeemable</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convertible</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rPr>
                <w:sz w:val="20"/>
                <w:szCs w:val="20"/>
                <w:color w:val="auto"/>
              </w:rPr>
            </w:pPr>
            <w:r>
              <w:rPr>
                <w:rFonts w:ascii="Arial" w:cs="Arial" w:eastAsia="Arial" w:hAnsi="Arial"/>
                <w:sz w:val="11"/>
                <w:szCs w:val="11"/>
                <w:color w:val="auto"/>
              </w:rPr>
              <w:t>preferred</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stock</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4</w:t>
            </w:r>
          </w:p>
        </w:tc>
        <w:tc>
          <w:tcPr>
            <w:tcW w:w="1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center"/>
              <w:ind w:right="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(4 )</w:t>
            </w:r>
          </w:p>
        </w:tc>
        <w:tc>
          <w:tcPr>
            <w:tcW w:w="1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Forfeiture of</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unvested</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640" w:type="dxa"/>
            <w:vAlign w:val="bottom"/>
            <w:tcBorders>
              <w:right w:val="single" w:sz="8" w:color="CFF0FC"/>
            </w:tcBorders>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120"/>
              <w:spacing w:after="0"/>
              <w:rPr>
                <w:sz w:val="20"/>
                <w:szCs w:val="20"/>
                <w:color w:val="auto"/>
              </w:rPr>
            </w:pPr>
            <w:r>
              <w:rPr>
                <w:rFonts w:ascii="Arial" w:cs="Arial" w:eastAsia="Arial" w:hAnsi="Arial"/>
                <w:sz w:val="11"/>
                <w:szCs w:val="11"/>
                <w:color w:val="auto"/>
              </w:rPr>
              <w:t>restricted stock</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640" w:type="dxa"/>
            <w:vAlign w:val="bottom"/>
            <w:tcBorders>
              <w:right w:val="single" w:sz="8" w:color="CFF0FC"/>
            </w:tcBorders>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1"/>
                <w:szCs w:val="11"/>
                <w:color w:val="auto"/>
              </w:rPr>
              <w:t>awards</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right w:val="single" w:sz="8" w:color="CFF0FC"/>
            </w:tcBorders>
            <w:shd w:val="clear" w:color="auto" w:fill="CFF0FC"/>
          </w:tcPr>
          <w:p>
            <w:pPr>
              <w:spacing w:after="0"/>
              <w:rPr>
                <w:sz w:val="11"/>
                <w:szCs w:val="11"/>
                <w:color w:val="auto"/>
              </w:rPr>
            </w:pPr>
          </w:p>
        </w:tc>
        <w:tc>
          <w:tcPr>
            <w:tcW w:w="64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right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right w:val="single" w:sz="8" w:color="CFF0FC"/>
            </w:tcBorders>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right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right w:val="single" w:sz="8" w:color="CFF0FC"/>
            </w:tcBorders>
            <w:gridSpan w:val="2"/>
            <w:shd w:val="clear" w:color="auto" w:fill="CFF0FC"/>
          </w:tcPr>
          <w:p>
            <w:pPr>
              <w:jc w:val="center"/>
              <w:ind w:right="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CFF0FC"/>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120" w:type="dxa"/>
            <w:vAlign w:val="bottom"/>
          </w:tcPr>
          <w:p>
            <w:pPr>
              <w:ind w:left="20"/>
              <w:spacing w:after="0"/>
              <w:rPr>
                <w:sz w:val="20"/>
                <w:szCs w:val="20"/>
                <w:color w:val="auto"/>
              </w:rPr>
            </w:pPr>
            <w:r>
              <w:rPr>
                <w:rFonts w:ascii="Arial" w:cs="Arial" w:eastAsia="Arial" w:hAnsi="Arial"/>
                <w:sz w:val="11"/>
                <w:szCs w:val="11"/>
                <w:color w:val="auto"/>
              </w:rPr>
              <w:t>Foreign currency</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translation</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adjustment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center"/>
              <w:ind w:right="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192</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Stock-based</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120"/>
              <w:spacing w:after="0"/>
              <w:rPr>
                <w:sz w:val="20"/>
                <w:szCs w:val="20"/>
                <w:color w:val="auto"/>
              </w:rPr>
            </w:pPr>
            <w:r>
              <w:rPr>
                <w:rFonts w:ascii="Arial" w:cs="Arial" w:eastAsia="Arial" w:hAnsi="Arial"/>
                <w:sz w:val="11"/>
                <w:szCs w:val="11"/>
                <w:color w:val="auto"/>
              </w:rPr>
              <w:t>compensation</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640" w:type="dxa"/>
            <w:vAlign w:val="bottom"/>
            <w:tcBorders>
              <w:right w:val="single" w:sz="8" w:color="CFF0FC"/>
            </w:tcBorders>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expense</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right w:val="single" w:sz="8" w:color="CFF0FC"/>
            </w:tcBorders>
            <w:shd w:val="clear" w:color="auto" w:fill="CFF0FC"/>
          </w:tcPr>
          <w:p>
            <w:pPr>
              <w:spacing w:after="0"/>
              <w:rPr>
                <w:sz w:val="11"/>
                <w:szCs w:val="11"/>
                <w:color w:val="auto"/>
              </w:rPr>
            </w:pPr>
          </w:p>
        </w:tc>
        <w:tc>
          <w:tcPr>
            <w:tcW w:w="64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right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right w:val="single" w:sz="8" w:color="CFF0FC"/>
            </w:tcBorders>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right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right w:val="single" w:sz="8" w:color="CFF0FC"/>
            </w:tcBorders>
            <w:gridSpan w:val="2"/>
            <w:shd w:val="clear" w:color="auto" w:fill="CFF0FC"/>
          </w:tcPr>
          <w:p>
            <w:pPr>
              <w:jc w:val="center"/>
              <w:ind w:right="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1,036</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CFF0FC"/>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1,036</w:t>
            </w:r>
          </w:p>
        </w:tc>
        <w:tc>
          <w:tcPr>
            <w:tcW w:w="0" w:type="dxa"/>
            <w:vAlign w:val="bottom"/>
          </w:tcPr>
          <w:p>
            <w:pPr>
              <w:spacing w:after="0"/>
              <w:rPr>
                <w:sz w:val="1"/>
                <w:szCs w:val="1"/>
                <w:color w:val="auto"/>
              </w:rPr>
            </w:pPr>
          </w:p>
        </w:tc>
      </w:tr>
      <w:tr>
        <w:trPr>
          <w:trHeight w:val="140"/>
        </w:trPr>
        <w:tc>
          <w:tcPr>
            <w:tcW w:w="11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tcPr>
          <w:p>
            <w:pPr>
              <w:jc w:val="center"/>
              <w:ind w:right="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5,221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5,221</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Balances at</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89"/>
              </w:rPr>
              <w:t>110,40</w:t>
            </w:r>
          </w:p>
        </w:tc>
        <w:tc>
          <w:tcPr>
            <w:tcW w:w="160" w:type="dxa"/>
            <w:vAlign w:val="bottom"/>
            <w:tcBorders>
              <w:right w:val="single" w:sz="8" w:color="CFF0FC"/>
            </w:tcBorders>
            <w:shd w:val="clear" w:color="auto" w:fill="CFF0FC"/>
          </w:tcPr>
          <w:p>
            <w:pPr>
              <w:spacing w:after="0"/>
              <w:rPr>
                <w:sz w:val="11"/>
                <w:szCs w:val="11"/>
                <w:color w:val="auto"/>
              </w:rPr>
            </w:pPr>
          </w:p>
        </w:tc>
        <w:tc>
          <w:tcPr>
            <w:tcW w:w="640" w:type="dxa"/>
            <w:vAlign w:val="bottom"/>
            <w:tcBorders>
              <w:right w:val="single" w:sz="8" w:color="CFF0FC"/>
            </w:tcBorders>
            <w:shd w:val="clear" w:color="auto" w:fill="CFF0FC"/>
          </w:tcPr>
          <w:p>
            <w:pPr>
              <w:spacing w:after="0"/>
              <w:rPr>
                <w:sz w:val="11"/>
                <w:szCs w:val="11"/>
                <w:color w:val="auto"/>
              </w:rPr>
            </w:pPr>
          </w:p>
        </w:tc>
        <w:tc>
          <w:tcPr>
            <w:tcW w:w="640" w:type="dxa"/>
            <w:vAlign w:val="bottom"/>
            <w:tcBorders>
              <w:right w:val="single" w:sz="8" w:color="CFF0FC"/>
            </w:tcBorders>
            <w:gridSpan w:val="3"/>
            <w:vMerge w:val="restart"/>
            <w:shd w:val="clear" w:color="auto" w:fill="CFF0FC"/>
          </w:tcPr>
          <w:p>
            <w:pPr>
              <w:jc w:val="right"/>
              <w:spacing w:after="0"/>
              <w:rPr>
                <w:sz w:val="20"/>
                <w:szCs w:val="20"/>
                <w:color w:val="auto"/>
              </w:rPr>
            </w:pPr>
            <w:r>
              <w:rPr>
                <w:rFonts w:ascii="Arial" w:cs="Arial" w:eastAsia="Arial" w:hAnsi="Arial"/>
                <w:sz w:val="11"/>
                <w:szCs w:val="11"/>
                <w:color w:val="auto"/>
              </w:rPr>
              <w:t>119,76</w:t>
            </w:r>
          </w:p>
        </w:tc>
        <w:tc>
          <w:tcPr>
            <w:tcW w:w="18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120" w:type="dxa"/>
            <w:vAlign w:val="bottom"/>
            <w:shd w:val="clear" w:color="auto" w:fill="CFF0FC"/>
          </w:tcPr>
          <w:p>
            <w:pPr>
              <w:ind w:left="120"/>
              <w:spacing w:after="0" w:line="110" w:lineRule="exact"/>
              <w:rPr>
                <w:sz w:val="20"/>
                <w:szCs w:val="20"/>
                <w:color w:val="auto"/>
              </w:rPr>
            </w:pPr>
            <w:r>
              <w:rPr>
                <w:rFonts w:ascii="Arial" w:cs="Arial" w:eastAsia="Arial" w:hAnsi="Arial"/>
                <w:sz w:val="11"/>
                <w:szCs w:val="11"/>
                <w:b w:val="1"/>
                <w:bCs w:val="1"/>
                <w:color w:val="auto"/>
              </w:rPr>
              <w:t>September 30,</w:t>
            </w:r>
          </w:p>
        </w:tc>
        <w:tc>
          <w:tcPr>
            <w:tcW w:w="6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40" w:type="dxa"/>
            <w:vAlign w:val="bottom"/>
            <w:vMerge w:val="continue"/>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640" w:type="dxa"/>
            <w:vAlign w:val="bottom"/>
            <w:tcBorders>
              <w:right w:val="single" w:sz="8" w:color="CFF0FC"/>
            </w:tcBorders>
            <w:shd w:val="clear" w:color="auto" w:fill="CFF0FC"/>
          </w:tcPr>
          <w:p>
            <w:pPr>
              <w:spacing w:after="0"/>
              <w:rPr>
                <w:sz w:val="9"/>
                <w:szCs w:val="9"/>
                <w:color w:val="auto"/>
              </w:rPr>
            </w:pPr>
          </w:p>
        </w:tc>
        <w:tc>
          <w:tcPr>
            <w:tcW w:w="640" w:type="dxa"/>
            <w:vAlign w:val="bottom"/>
            <w:tcBorders>
              <w:right w:val="single" w:sz="8" w:color="CFF0FC"/>
            </w:tcBorders>
            <w:gridSpan w:val="3"/>
            <w:vMerge w:val="continue"/>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tcBorders>
              <w:right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2020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54,208,461</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60" w:type="dxa"/>
            <w:vAlign w:val="bottom"/>
            <w:tcBorders>
              <w:right w:val="single" w:sz="8" w:color="CFF0FC"/>
            </w:tcBorders>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11,239,920</w:t>
            </w:r>
          </w:p>
        </w:tc>
        <w:tc>
          <w:tcPr>
            <w:tcW w:w="14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jc w:val="right"/>
              <w:ind w:right="215"/>
              <w:spacing w:after="0"/>
              <w:rPr>
                <w:sz w:val="20"/>
                <w:szCs w:val="20"/>
                <w:color w:val="auto"/>
              </w:rPr>
            </w:pPr>
            <w:r>
              <w:rPr>
                <w:rFonts w:ascii="Arial" w:cs="Arial" w:eastAsia="Arial" w:hAnsi="Arial"/>
                <w:sz w:val="5"/>
                <w:szCs w:val="5"/>
                <w:color w:val="auto"/>
                <w:w w:val="70"/>
              </w:rPr>
              <w:t>$</w:t>
            </w:r>
          </w:p>
        </w:tc>
        <w:tc>
          <w:tcPr>
            <w:tcW w:w="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180" w:type="dxa"/>
            <w:vAlign w:val="bottom"/>
            <w:tcBorders>
              <w:right w:val="single" w:sz="8" w:color="CFF0FC"/>
            </w:tcBorders>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86"/>
              <w:spacing w:after="0"/>
              <w:rPr>
                <w:sz w:val="20"/>
                <w:szCs w:val="20"/>
                <w:color w:val="auto"/>
              </w:rPr>
            </w:pPr>
            <w:r>
              <w:rPr>
                <w:rFonts w:ascii="Arial" w:cs="Arial" w:eastAsia="Arial" w:hAnsi="Arial"/>
                <w:sz w:val="11"/>
                <w:szCs w:val="11"/>
                <w:color w:val="auto"/>
              </w:rPr>
              <w:t>22,020,441</w:t>
            </w: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200" w:type="dxa"/>
            <w:vAlign w:val="bottom"/>
            <w:tcBorders>
              <w:right w:val="single" w:sz="8" w:color="CFF0FC"/>
            </w:tcBorders>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jc w:val="center"/>
              <w:ind w:left="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(2,317,722 )</w:t>
            </w:r>
          </w:p>
        </w:tc>
        <w:tc>
          <w:tcPr>
            <w:tcW w:w="14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(748 )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15,823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w:t>
            </w:r>
          </w:p>
        </w:tc>
        <w:tc>
          <w:tcPr>
            <w:tcW w:w="1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(93,741 )</w:t>
            </w: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(78,643 )</w:t>
            </w:r>
          </w:p>
        </w:tc>
        <w:tc>
          <w:tcPr>
            <w:tcW w:w="0" w:type="dxa"/>
            <w:vAlign w:val="bottom"/>
          </w:tcPr>
          <w:p>
            <w:pPr>
              <w:spacing w:after="0"/>
              <w:rPr>
                <w:sz w:val="1"/>
                <w:szCs w:val="1"/>
                <w:color w:val="auto"/>
              </w:rPr>
            </w:pPr>
          </w:p>
        </w:tc>
      </w:tr>
      <w:tr>
        <w:trPr>
          <w:trHeight w:val="20"/>
        </w:trPr>
        <w:tc>
          <w:tcPr>
            <w:tcW w:w="1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2529840</wp:posOffset>
            </wp:positionH>
            <wp:positionV relativeFrom="paragraph">
              <wp:posOffset>-5481320</wp:posOffset>
            </wp:positionV>
            <wp:extent cx="33655" cy="5822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58229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-3708400</wp:posOffset>
            </wp:positionV>
            <wp:extent cx="939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-3708400</wp:posOffset>
            </wp:positionV>
            <wp:extent cx="939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-3708400</wp:posOffset>
            </wp:positionV>
            <wp:extent cx="9398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-3826510</wp:posOffset>
            </wp:positionV>
            <wp:extent cx="4680585" cy="411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80585" cy="411480"/>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-3046730</wp:posOffset>
            </wp:positionV>
            <wp:extent cx="34290" cy="5829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58293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-25400</wp:posOffset>
            </wp:positionV>
            <wp:extent cx="85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-8255</wp:posOffset>
            </wp:positionV>
            <wp:extent cx="857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-25400</wp:posOffset>
            </wp:positionV>
            <wp:extent cx="857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-8255</wp:posOffset>
            </wp:positionV>
            <wp:extent cx="857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-25400</wp:posOffset>
            </wp:positionV>
            <wp:extent cx="857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-8255</wp:posOffset>
            </wp:positionV>
            <wp:extent cx="85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-398145</wp:posOffset>
            </wp:positionV>
            <wp:extent cx="98425" cy="411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8425" cy="41148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-25400</wp:posOffset>
            </wp:positionV>
            <wp:extent cx="857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-8255</wp:posOffset>
            </wp:positionV>
            <wp:extent cx="857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-25400</wp:posOffset>
            </wp:positionV>
            <wp:extent cx="85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-8255</wp:posOffset>
            </wp:positionV>
            <wp:extent cx="85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-25400</wp:posOffset>
            </wp:positionV>
            <wp:extent cx="85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-8255</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-25400</wp:posOffset>
            </wp:positionV>
            <wp:extent cx="768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-8255</wp:posOffset>
            </wp:positionV>
            <wp:extent cx="768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8"/>
          </w:tcPr>
          <w:p>
            <w:pPr>
              <w:jc w:val="right"/>
              <w:ind w:right="520"/>
              <w:spacing w:after="0"/>
              <w:rPr>
                <w:sz w:val="20"/>
                <w:szCs w:val="20"/>
                <w:color w:val="auto"/>
              </w:rPr>
            </w:pPr>
            <w:r>
              <w:rPr>
                <w:rFonts w:ascii="Arial" w:cs="Arial" w:eastAsia="Arial" w:hAnsi="Arial"/>
                <w:sz w:val="11"/>
                <w:szCs w:val="11"/>
                <w:b w:val="1"/>
                <w:bCs w:val="1"/>
                <w:color w:val="auto"/>
                <w:w w:val="99"/>
              </w:rPr>
              <w:t>Nine Months Ended September 30, 2021</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5"/>
            <w:vMerge w:val="restart"/>
          </w:tcPr>
          <w:p>
            <w:pPr>
              <w:jc w:val="center"/>
              <w:ind w:right="160"/>
              <w:spacing w:after="0"/>
              <w:rPr>
                <w:sz w:val="20"/>
                <w:szCs w:val="20"/>
                <w:color w:val="auto"/>
              </w:rPr>
            </w:pPr>
            <w:r>
              <w:rPr>
                <w:rFonts w:ascii="Arial" w:cs="Arial" w:eastAsia="Arial" w:hAnsi="Arial"/>
                <w:sz w:val="11"/>
                <w:szCs w:val="11"/>
                <w:b w:val="1"/>
                <w:bCs w:val="1"/>
                <w:color w:val="auto"/>
                <w:w w:val="98"/>
              </w:rPr>
              <w:t>Redeemable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ind w:right="106"/>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Arial" w:cs="Arial" w:eastAsia="Arial" w:hAnsi="Arial"/>
                <w:sz w:val="11"/>
                <w:szCs w:val="11"/>
                <w:b w:val="1"/>
                <w:bCs w:val="1"/>
                <w:color w:val="auto"/>
              </w:rPr>
              <w:t>Convertible</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center"/>
              <w:ind w:left="286"/>
              <w:spacing w:after="0"/>
              <w:rPr>
                <w:sz w:val="20"/>
                <w:szCs w:val="20"/>
                <w:color w:val="auto"/>
              </w:rPr>
            </w:pPr>
            <w:r>
              <w:rPr>
                <w:rFonts w:ascii="Arial" w:cs="Arial" w:eastAsia="Arial" w:hAnsi="Arial"/>
                <w:sz w:val="11"/>
                <w:szCs w:val="11"/>
                <w:b w:val="1"/>
                <w:bCs w:val="1"/>
                <w:color w:val="auto"/>
                <w:w w:val="99"/>
              </w:rPr>
              <w:t>Convertible</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right"/>
              <w:ind w:right="46"/>
              <w:spacing w:after="0"/>
              <w:rPr>
                <w:sz w:val="20"/>
                <w:szCs w:val="20"/>
                <w:color w:val="auto"/>
              </w:rPr>
            </w:pPr>
            <w:r>
              <w:rPr>
                <w:rFonts w:ascii="Arial" w:cs="Arial" w:eastAsia="Arial" w:hAnsi="Arial"/>
                <w:sz w:val="11"/>
                <w:szCs w:val="11"/>
                <w:b w:val="1"/>
                <w:bCs w:val="1"/>
                <w:color w:val="auto"/>
              </w:rPr>
              <w:t>Voting</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tcPr>
          <w:p>
            <w:pPr>
              <w:jc w:val="right"/>
              <w:ind w:right="286"/>
              <w:spacing w:after="0"/>
              <w:rPr>
                <w:sz w:val="20"/>
                <w:szCs w:val="20"/>
                <w:color w:val="auto"/>
              </w:rPr>
            </w:pPr>
            <w:r>
              <w:rPr>
                <w:rFonts w:ascii="Arial" w:cs="Arial" w:eastAsia="Arial" w:hAnsi="Arial"/>
                <w:sz w:val="11"/>
                <w:szCs w:val="11"/>
                <w:b w:val="1"/>
                <w:bCs w:val="1"/>
                <w:color w:val="auto"/>
              </w:rPr>
              <w:t>Non-Voting</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Additional</w:t>
            </w:r>
          </w:p>
        </w:tc>
        <w:tc>
          <w:tcPr>
            <w:tcW w:w="8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8"/>
              </w:rPr>
              <w:t>Comprehens</w:t>
            </w:r>
          </w:p>
        </w:tc>
        <w:tc>
          <w:tcPr>
            <w:tcW w:w="78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9"/>
              </w:rPr>
              <w:t>Accumulate</w:t>
            </w:r>
          </w:p>
        </w:tc>
        <w:tc>
          <w:tcPr>
            <w:tcW w:w="720" w:type="dxa"/>
            <w:vAlign w:val="bottom"/>
            <w:gridSpan w:val="2"/>
          </w:tcPr>
          <w:p>
            <w:pPr>
              <w:jc w:val="center"/>
              <w:ind w:right="6"/>
              <w:spacing w:after="0"/>
              <w:rPr>
                <w:sz w:val="20"/>
                <w:szCs w:val="20"/>
                <w:color w:val="auto"/>
              </w:rPr>
            </w:pPr>
            <w:r>
              <w:rPr>
                <w:rFonts w:ascii="Arial" w:cs="Arial" w:eastAsia="Arial" w:hAnsi="Arial"/>
                <w:sz w:val="11"/>
                <w:szCs w:val="11"/>
                <w:b w:val="1"/>
                <w:bCs w:val="1"/>
                <w:color w:val="auto"/>
                <w:w w:val="97"/>
              </w:rPr>
              <w:t>Stockholder</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1440" w:type="dxa"/>
            <w:vAlign w:val="bottom"/>
            <w:gridSpan w:val="5"/>
          </w:tcPr>
          <w:p>
            <w:pPr>
              <w:jc w:val="right"/>
              <w:ind w:right="380"/>
              <w:spacing w:after="0"/>
              <w:rPr>
                <w:sz w:val="20"/>
                <w:szCs w:val="20"/>
                <w:color w:val="auto"/>
              </w:rPr>
            </w:pPr>
            <w:r>
              <w:rPr>
                <w:rFonts w:ascii="Arial" w:cs="Arial" w:eastAsia="Arial" w:hAnsi="Arial"/>
                <w:sz w:val="11"/>
                <w:szCs w:val="11"/>
                <w:b w:val="1"/>
                <w:bCs w:val="1"/>
                <w:color w:val="auto"/>
              </w:rPr>
              <w:t>Preferred Stock</w:t>
            </w:r>
          </w:p>
        </w:tc>
        <w:tc>
          <w:tcPr>
            <w:tcW w:w="144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97"/>
              </w:rPr>
              <w:t>Preferred Stock</w:t>
            </w:r>
          </w:p>
        </w:tc>
        <w:tc>
          <w:tcPr>
            <w:tcW w:w="80" w:type="dxa"/>
            <w:vAlign w:val="bottom"/>
          </w:tcPr>
          <w:p>
            <w:pPr>
              <w:spacing w:after="0"/>
              <w:rPr>
                <w:sz w:val="13"/>
                <w:szCs w:val="13"/>
                <w:color w:val="auto"/>
              </w:rPr>
            </w:pPr>
          </w:p>
        </w:tc>
        <w:tc>
          <w:tcPr>
            <w:tcW w:w="1280" w:type="dxa"/>
            <w:vAlign w:val="bottom"/>
            <w:gridSpan w:val="4"/>
          </w:tcPr>
          <w:p>
            <w:pPr>
              <w:jc w:val="right"/>
              <w:ind w:right="206"/>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3"/>
                <w:szCs w:val="13"/>
                <w:color w:val="auto"/>
              </w:rPr>
            </w:pPr>
          </w:p>
        </w:tc>
        <w:tc>
          <w:tcPr>
            <w:tcW w:w="1260" w:type="dxa"/>
            <w:vAlign w:val="bottom"/>
            <w:gridSpan w:val="3"/>
          </w:tcPr>
          <w:p>
            <w:pPr>
              <w:jc w:val="right"/>
              <w:ind w:right="166"/>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3"/>
                <w:szCs w:val="13"/>
                <w:color w:val="auto"/>
              </w:rPr>
            </w:pPr>
          </w:p>
        </w:tc>
        <w:tc>
          <w:tcPr>
            <w:tcW w:w="1320" w:type="dxa"/>
            <w:vAlign w:val="bottom"/>
            <w:gridSpan w:val="4"/>
          </w:tcPr>
          <w:p>
            <w:pPr>
              <w:jc w:val="right"/>
              <w:ind w:right="340"/>
              <w:spacing w:after="0"/>
              <w:rPr>
                <w:sz w:val="20"/>
                <w:szCs w:val="20"/>
                <w:color w:val="auto"/>
              </w:rPr>
            </w:pPr>
            <w:r>
              <w:rPr>
                <w:rFonts w:ascii="Arial" w:cs="Arial" w:eastAsia="Arial" w:hAnsi="Arial"/>
                <w:sz w:val="11"/>
                <w:szCs w:val="11"/>
                <w:b w:val="1"/>
                <w:bCs w:val="1"/>
                <w:color w:val="auto"/>
              </w:rPr>
              <w:t>Treasury Stock</w:t>
            </w:r>
          </w:p>
        </w:tc>
        <w:tc>
          <w:tcPr>
            <w:tcW w:w="72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ive</w:t>
            </w:r>
          </w:p>
        </w:tc>
        <w:tc>
          <w:tcPr>
            <w:tcW w:w="120" w:type="dxa"/>
            <w:vAlign w:val="bottom"/>
          </w:tcPr>
          <w:p>
            <w:pPr>
              <w:spacing w:after="0"/>
              <w:rPr>
                <w:sz w:val="13"/>
                <w:szCs w:val="13"/>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d</w:t>
            </w:r>
          </w:p>
        </w:tc>
        <w:tc>
          <w:tcPr>
            <w:tcW w:w="120" w:type="dxa"/>
            <w:vAlign w:val="bottom"/>
          </w:tcPr>
          <w:p>
            <w:pPr>
              <w:spacing w:after="0"/>
              <w:rPr>
                <w:sz w:val="13"/>
                <w:szCs w:val="13"/>
                <w:color w:val="auto"/>
              </w:rPr>
            </w:pPr>
          </w:p>
        </w:tc>
        <w:tc>
          <w:tcPr>
            <w:tcW w:w="600" w:type="dxa"/>
            <w:vAlign w:val="bottom"/>
          </w:tcPr>
          <w:p>
            <w:pPr>
              <w:jc w:val="center"/>
              <w:ind w:right="106"/>
              <w:spacing w:after="0"/>
              <w:rPr>
                <w:sz w:val="20"/>
                <w:szCs w:val="20"/>
                <w:color w:val="auto"/>
              </w:rPr>
            </w:pPr>
            <w:r>
              <w:rPr>
                <w:rFonts w:ascii="Arial" w:cs="Arial" w:eastAsia="Arial" w:hAnsi="Arial"/>
                <w:sz w:val="11"/>
                <w:szCs w:val="11"/>
                <w:b w:val="1"/>
                <w:bCs w:val="1"/>
                <w:color w:val="auto"/>
                <w:w w:val="86"/>
              </w:rPr>
              <w:t>s’</w:t>
            </w:r>
          </w:p>
        </w:tc>
        <w:tc>
          <w:tcPr>
            <w:tcW w:w="0" w:type="dxa"/>
            <w:vAlign w:val="bottom"/>
          </w:tcPr>
          <w:p>
            <w:pPr>
              <w:spacing w:after="0"/>
              <w:rPr>
                <w:sz w:val="1"/>
                <w:szCs w:val="1"/>
                <w:color w:val="auto"/>
              </w:rPr>
            </w:pPr>
          </w:p>
        </w:tc>
      </w:tr>
      <w:tr>
        <w:trPr>
          <w:trHeight w:val="133"/>
        </w:trPr>
        <w:tc>
          <w:tcPr>
            <w:tcW w:w="1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Shares</w:t>
            </w:r>
          </w:p>
        </w:tc>
        <w:tc>
          <w:tcPr>
            <w:tcW w:w="64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rPr>
              <w:t>Amount</w:t>
            </w:r>
          </w:p>
        </w:tc>
        <w:tc>
          <w:tcPr>
            <w:tcW w:w="8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Shares</w:t>
            </w:r>
          </w:p>
        </w:tc>
        <w:tc>
          <w:tcPr>
            <w:tcW w:w="64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50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Shares</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6"/>
              </w:rPr>
              <w:t>Amount</w:t>
            </w:r>
          </w:p>
        </w:tc>
        <w:tc>
          <w:tcPr>
            <w:tcW w:w="72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6"/>
              </w:rPr>
              <w:t>(Loss)</w:t>
            </w:r>
          </w:p>
        </w:tc>
        <w:tc>
          <w:tcPr>
            <w:tcW w:w="120" w:type="dxa"/>
            <w:vAlign w:val="bottom"/>
          </w:tcPr>
          <w:p>
            <w:pPr>
              <w:spacing w:after="0"/>
              <w:rPr>
                <w:sz w:val="12"/>
                <w:szCs w:val="12"/>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600" w:type="dxa"/>
            <w:vAlign w:val="bottom"/>
          </w:tcPr>
          <w:p>
            <w:pPr>
              <w:jc w:val="center"/>
              <w:ind w:right="10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Balances at</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120"/>
              <w:spacing w:after="0"/>
              <w:rPr>
                <w:sz w:val="20"/>
                <w:szCs w:val="20"/>
                <w:color w:val="auto"/>
              </w:rPr>
            </w:pPr>
            <w:r>
              <w:rPr>
                <w:rFonts w:ascii="Arial" w:cs="Arial" w:eastAsia="Arial" w:hAnsi="Arial"/>
                <w:sz w:val="11"/>
                <w:szCs w:val="11"/>
                <w:b w:val="1"/>
                <w:bCs w:val="1"/>
                <w:color w:val="auto"/>
              </w:rPr>
              <w:t>December 31,</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9"/>
              </w:rPr>
              <w:t>110,40</w:t>
            </w: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119,76</w:t>
            </w:r>
          </w:p>
        </w:tc>
        <w:tc>
          <w:tcPr>
            <w:tcW w:w="16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2020</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54,208,461</w:t>
            </w: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4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11,239,920</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9</w:t>
            </w:r>
          </w:p>
        </w:tc>
        <w:tc>
          <w:tcPr>
            <w:tcW w:w="160" w:type="dxa"/>
            <w:vAlign w:val="bottom"/>
            <w:tcBorders>
              <w:bottom w:val="single" w:sz="8" w:color="CFF0FC"/>
              <w:right w:val="single" w:sz="8" w:color="auto"/>
            </w:tcBorders>
            <w:shd w:val="clear" w:color="auto" w:fill="CFF0FC"/>
          </w:tcPr>
          <w:p>
            <w:pPr>
              <w:spacing w:after="0"/>
              <w:rPr>
                <w:sz w:val="12"/>
                <w:szCs w:val="12"/>
                <w:color w:val="auto"/>
              </w:rPr>
            </w:pPr>
          </w:p>
        </w:tc>
        <w:tc>
          <w:tcPr>
            <w:tcW w:w="7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22,240,872</w:t>
            </w:r>
          </w:p>
        </w:tc>
        <w:tc>
          <w:tcPr>
            <w:tcW w:w="260" w:type="dxa"/>
            <w:vAlign w:val="bottom"/>
            <w:tcBorders>
              <w:bottom w:val="single" w:sz="8" w:color="CFF0FC"/>
            </w:tcBorders>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1"/>
                <w:szCs w:val="11"/>
                <w:color w:val="auto"/>
              </w:rPr>
              <w:t>(2,317,722 )</w:t>
            </w:r>
          </w:p>
        </w:tc>
        <w:tc>
          <w:tcPr>
            <w:tcW w:w="5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   (748 )</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   16,970</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(214 )</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(97,772 )</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(81,762 )</w:t>
            </w:r>
          </w:p>
        </w:tc>
        <w:tc>
          <w:tcPr>
            <w:tcW w:w="0" w:type="dxa"/>
            <w:vAlign w:val="bottom"/>
          </w:tcPr>
          <w:p>
            <w:pPr>
              <w:spacing w:after="0"/>
              <w:rPr>
                <w:sz w:val="1"/>
                <w:szCs w:val="1"/>
                <w:color w:val="auto"/>
              </w:rPr>
            </w:pPr>
          </w:p>
        </w:tc>
      </w:tr>
      <w:tr>
        <w:trPr>
          <w:trHeight w:val="140"/>
        </w:trPr>
        <w:tc>
          <w:tcPr>
            <w:tcW w:w="1120" w:type="dxa"/>
            <w:vAlign w:val="bottom"/>
          </w:tcPr>
          <w:p>
            <w:pPr>
              <w:ind w:left="20"/>
              <w:spacing w:after="0"/>
              <w:rPr>
                <w:sz w:val="20"/>
                <w:szCs w:val="20"/>
                <w:color w:val="auto"/>
              </w:rPr>
            </w:pPr>
            <w:r>
              <w:rPr>
                <w:rFonts w:ascii="Arial" w:cs="Arial" w:eastAsia="Arial" w:hAnsi="Arial"/>
                <w:sz w:val="11"/>
                <w:szCs w:val="11"/>
                <w:color w:val="auto"/>
              </w:rPr>
              <w:t>Issuance of common</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stock in connection</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with initial public</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offering, net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underwriting</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discounts and</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commissions</w:t>
            </w: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12,006,000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268,693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268,694</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Costs incurred in</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120"/>
              <w:spacing w:after="0"/>
              <w:rPr>
                <w:sz w:val="20"/>
                <w:szCs w:val="20"/>
                <w:color w:val="auto"/>
              </w:rPr>
            </w:pPr>
            <w:r>
              <w:rPr>
                <w:rFonts w:ascii="Arial" w:cs="Arial" w:eastAsia="Arial" w:hAnsi="Arial"/>
                <w:sz w:val="11"/>
                <w:szCs w:val="11"/>
                <w:color w:val="auto"/>
              </w:rPr>
              <w:t>connection with</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120"/>
              <w:spacing w:after="0"/>
              <w:rPr>
                <w:sz w:val="20"/>
                <w:szCs w:val="20"/>
                <w:color w:val="auto"/>
              </w:rPr>
            </w:pPr>
            <w:r>
              <w:rPr>
                <w:rFonts w:ascii="Arial" w:cs="Arial" w:eastAsia="Arial" w:hAnsi="Arial"/>
                <w:sz w:val="11"/>
                <w:szCs w:val="11"/>
                <w:color w:val="auto"/>
              </w:rPr>
              <w:t>initial public</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offering</w:t>
            </w: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(4,860 )</w:t>
            </w:r>
          </w:p>
        </w:tc>
        <w:tc>
          <w:tcPr>
            <w:tcW w:w="12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(4,860 )</w:t>
            </w:r>
          </w:p>
        </w:tc>
        <w:tc>
          <w:tcPr>
            <w:tcW w:w="0" w:type="dxa"/>
            <w:vAlign w:val="bottom"/>
          </w:tcPr>
          <w:p>
            <w:pPr>
              <w:spacing w:after="0"/>
              <w:rPr>
                <w:sz w:val="1"/>
                <w:szCs w:val="1"/>
                <w:color w:val="auto"/>
              </w:rPr>
            </w:pPr>
          </w:p>
        </w:tc>
      </w:tr>
      <w:tr>
        <w:trPr>
          <w:trHeight w:val="140"/>
        </w:trPr>
        <w:tc>
          <w:tcPr>
            <w:tcW w:w="1120" w:type="dxa"/>
            <w:vAlign w:val="bottom"/>
          </w:tcPr>
          <w:p>
            <w:pPr>
              <w:ind w:left="20"/>
              <w:spacing w:after="0"/>
              <w:rPr>
                <w:sz w:val="20"/>
                <w:szCs w:val="20"/>
                <w:color w:val="auto"/>
              </w:rPr>
            </w:pPr>
            <w:r>
              <w:rPr>
                <w:rFonts w:ascii="Arial" w:cs="Arial" w:eastAsia="Arial" w:hAnsi="Arial"/>
                <w:sz w:val="11"/>
                <w:szCs w:val="11"/>
                <w:color w:val="auto"/>
              </w:rPr>
              <w:t>Accretion of</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redeemable</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convertible</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rPr>
                <w:sz w:val="20"/>
                <w:szCs w:val="20"/>
                <w:color w:val="auto"/>
              </w:rPr>
            </w:pPr>
            <w:r>
              <w:rPr>
                <w:rFonts w:ascii="Arial" w:cs="Arial" w:eastAsia="Arial" w:hAnsi="Arial"/>
                <w:sz w:val="11"/>
                <w:szCs w:val="11"/>
                <w:color w:val="auto"/>
              </w:rPr>
              <w:t>preferred</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stock</w:t>
            </w: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13</w:t>
            </w: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(13 )</w:t>
            </w: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Series</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F-1</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120"/>
              <w:spacing w:after="0"/>
              <w:rPr>
                <w:sz w:val="20"/>
                <w:szCs w:val="20"/>
                <w:color w:val="auto"/>
              </w:rPr>
            </w:pPr>
            <w:r>
              <w:rPr>
                <w:rFonts w:ascii="Arial" w:cs="Arial" w:eastAsia="Arial" w:hAnsi="Arial"/>
                <w:sz w:val="11"/>
                <w:szCs w:val="11"/>
                <w:color w:val="auto"/>
              </w:rPr>
              <w:t>redeemable</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120"/>
              <w:spacing w:after="0"/>
              <w:rPr>
                <w:sz w:val="20"/>
                <w:szCs w:val="20"/>
                <w:color w:val="auto"/>
              </w:rPr>
            </w:pPr>
            <w:r>
              <w:rPr>
                <w:rFonts w:ascii="Arial" w:cs="Arial" w:eastAsia="Arial" w:hAnsi="Arial"/>
                <w:sz w:val="11"/>
                <w:szCs w:val="11"/>
                <w:color w:val="auto"/>
              </w:rPr>
              <w:t>convertible</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preferred</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120"/>
              <w:spacing w:after="0"/>
              <w:rPr>
                <w:sz w:val="20"/>
                <w:szCs w:val="20"/>
                <w:color w:val="auto"/>
              </w:rPr>
            </w:pPr>
            <w:r>
              <w:rPr>
                <w:rFonts w:ascii="Arial" w:cs="Arial" w:eastAsia="Arial" w:hAnsi="Arial"/>
                <w:sz w:val="11"/>
                <w:szCs w:val="11"/>
                <w:color w:val="auto"/>
              </w:rPr>
              <w:t>stock, net of</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120"/>
              <w:spacing w:after="0"/>
              <w:rPr>
                <w:sz w:val="20"/>
                <w:szCs w:val="20"/>
                <w:color w:val="auto"/>
              </w:rPr>
            </w:pPr>
            <w:r>
              <w:rPr>
                <w:rFonts w:ascii="Arial" w:cs="Arial" w:eastAsia="Arial" w:hAnsi="Arial"/>
                <w:sz w:val="11"/>
                <w:szCs w:val="11"/>
                <w:color w:val="auto"/>
              </w:rPr>
              <w:t>issuance costs of</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$256</w:t>
            </w: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2,571,936</w:t>
            </w:r>
          </w:p>
        </w:tc>
        <w:tc>
          <w:tcPr>
            <w:tcW w:w="1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9"/>
              </w:rPr>
              <w:t>59,735</w:t>
            </w:r>
          </w:p>
        </w:tc>
        <w:tc>
          <w:tcPr>
            <w:tcW w:w="160" w:type="dxa"/>
            <w:vAlign w:val="bottom"/>
            <w:tcBorders>
              <w:bottom w:val="single" w:sz="8" w:color="CFF0FC"/>
              <w:right w:val="single" w:sz="8" w:color="auto"/>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CFF0FC"/>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120" w:type="dxa"/>
            <w:vAlign w:val="bottom"/>
          </w:tcPr>
          <w:p>
            <w:pPr>
              <w:ind w:left="20"/>
              <w:spacing w:after="0"/>
              <w:rPr>
                <w:sz w:val="20"/>
                <w:szCs w:val="20"/>
                <w:color w:val="auto"/>
              </w:rPr>
            </w:pPr>
            <w:r>
              <w:rPr>
                <w:rFonts w:ascii="Arial" w:cs="Arial" w:eastAsia="Arial" w:hAnsi="Arial"/>
                <w:sz w:val="11"/>
                <w:szCs w:val="11"/>
                <w:color w:val="auto"/>
              </w:rPr>
              <w:t>Issuance of Series C</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Convertible</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rPr>
                <w:sz w:val="20"/>
                <w:szCs w:val="20"/>
                <w:color w:val="auto"/>
              </w:rPr>
            </w:pPr>
            <w:r>
              <w:rPr>
                <w:rFonts w:ascii="Arial" w:cs="Arial" w:eastAsia="Arial" w:hAnsi="Arial"/>
                <w:sz w:val="11"/>
                <w:szCs w:val="11"/>
                <w:color w:val="auto"/>
              </w:rPr>
              <w:t>Preferred</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Stock upon net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exercise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rPr>
                <w:sz w:val="20"/>
                <w:szCs w:val="20"/>
                <w:color w:val="auto"/>
              </w:rPr>
            </w:pPr>
            <w:r>
              <w:rPr>
                <w:rFonts w:ascii="Arial" w:cs="Arial" w:eastAsia="Arial" w:hAnsi="Arial"/>
                <w:sz w:val="11"/>
                <w:szCs w:val="11"/>
                <w:color w:val="auto"/>
              </w:rPr>
              <w:t>warrants</w:t>
            </w:r>
          </w:p>
        </w:tc>
        <w:tc>
          <w:tcPr>
            <w:tcW w:w="660" w:type="dxa"/>
            <w:vAlign w:val="bottom"/>
          </w:tcPr>
          <w:p>
            <w:pPr>
              <w:jc w:val="right"/>
              <w:spacing w:after="0"/>
              <w:rPr>
                <w:sz w:val="20"/>
                <w:szCs w:val="20"/>
                <w:color w:val="auto"/>
              </w:rPr>
            </w:pPr>
            <w:r>
              <w:rPr>
                <w:rFonts w:ascii="Arial" w:cs="Arial" w:eastAsia="Arial" w:hAnsi="Arial"/>
                <w:sz w:val="11"/>
                <w:szCs w:val="11"/>
                <w:color w:val="auto"/>
              </w:rPr>
              <w:t>182,467</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6,417</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Conversion of</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120"/>
              <w:spacing w:after="0"/>
              <w:rPr>
                <w:sz w:val="20"/>
                <w:szCs w:val="20"/>
                <w:color w:val="auto"/>
              </w:rPr>
            </w:pPr>
            <w:r>
              <w:rPr>
                <w:rFonts w:ascii="Arial" w:cs="Arial" w:eastAsia="Arial" w:hAnsi="Arial"/>
                <w:sz w:val="11"/>
                <w:szCs w:val="11"/>
                <w:color w:val="auto"/>
              </w:rPr>
              <w:t>convertible</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preferred</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120"/>
              <w:spacing w:after="0"/>
              <w:rPr>
                <w:sz w:val="20"/>
                <w:szCs w:val="20"/>
                <w:color w:val="auto"/>
              </w:rPr>
            </w:pPr>
            <w:r>
              <w:rPr>
                <w:rFonts w:ascii="Arial" w:cs="Arial" w:eastAsia="Arial" w:hAnsi="Arial"/>
                <w:sz w:val="11"/>
                <w:szCs w:val="11"/>
                <w:color w:val="auto"/>
              </w:rPr>
              <w:t>stock upon initial</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(54,390,92</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6"/>
              </w:rPr>
              <w:t>(116,8</w:t>
            </w: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1"/>
                <w:szCs w:val="11"/>
                <w:color w:val="auto"/>
              </w:rPr>
              <w:t>public offering</w:t>
            </w:r>
          </w:p>
        </w:tc>
        <w:tc>
          <w:tcPr>
            <w:tcW w:w="8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8 )</w:t>
            </w:r>
          </w:p>
        </w:tc>
        <w:tc>
          <w:tcPr>
            <w:tcW w:w="16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18 )</w:t>
            </w: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54,390,928</w:t>
            </w:r>
          </w:p>
        </w:tc>
        <w:tc>
          <w:tcPr>
            <w:tcW w:w="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116,813</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CFF0FC"/>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116,818</w:t>
            </w:r>
          </w:p>
        </w:tc>
        <w:tc>
          <w:tcPr>
            <w:tcW w:w="0" w:type="dxa"/>
            <w:vAlign w:val="bottom"/>
          </w:tcPr>
          <w:p>
            <w:pPr>
              <w:spacing w:after="0"/>
              <w:rPr>
                <w:sz w:val="1"/>
                <w:szCs w:val="1"/>
                <w:color w:val="auto"/>
              </w:rPr>
            </w:pPr>
          </w:p>
        </w:tc>
      </w:tr>
      <w:tr>
        <w:trPr>
          <w:trHeight w:val="140"/>
        </w:trPr>
        <w:tc>
          <w:tcPr>
            <w:tcW w:w="1120" w:type="dxa"/>
            <w:vAlign w:val="bottom"/>
          </w:tcPr>
          <w:p>
            <w:pPr>
              <w:ind w:left="20"/>
              <w:spacing w:after="0"/>
              <w:rPr>
                <w:sz w:val="20"/>
                <w:szCs w:val="20"/>
                <w:color w:val="auto"/>
              </w:rPr>
            </w:pPr>
            <w:r>
              <w:rPr>
                <w:rFonts w:ascii="Arial" w:cs="Arial" w:eastAsia="Arial" w:hAnsi="Arial"/>
                <w:sz w:val="11"/>
                <w:szCs w:val="11"/>
                <w:color w:val="auto"/>
              </w:rPr>
              <w:t>Conversion of</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redeemable</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convertible</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rPr>
                <w:sz w:val="20"/>
                <w:szCs w:val="20"/>
                <w:color w:val="auto"/>
              </w:rPr>
            </w:pPr>
            <w:r>
              <w:rPr>
                <w:rFonts w:ascii="Arial" w:cs="Arial" w:eastAsia="Arial" w:hAnsi="Arial"/>
                <w:sz w:val="11"/>
                <w:szCs w:val="11"/>
                <w:color w:val="auto"/>
              </w:rPr>
              <w:t>preferred</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stock upon initial</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(13,811,85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w w:val="96"/>
              </w:rPr>
              <w:t>(179,5</w:t>
            </w: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public offering</w:t>
            </w: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6 )</w:t>
            </w:r>
          </w:p>
        </w:tc>
        <w:tc>
          <w:tcPr>
            <w:tcW w:w="14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17 )</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7,823,478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5,988,378</w:t>
            </w: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179,515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179,517</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common</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120"/>
              <w:spacing w:after="0"/>
              <w:rPr>
                <w:sz w:val="20"/>
                <w:szCs w:val="20"/>
                <w:color w:val="auto"/>
              </w:rPr>
            </w:pPr>
            <w:r>
              <w:rPr>
                <w:rFonts w:ascii="Arial" w:cs="Arial" w:eastAsia="Arial" w:hAnsi="Arial"/>
                <w:sz w:val="11"/>
                <w:szCs w:val="11"/>
                <w:color w:val="auto"/>
              </w:rPr>
              <w:t>stock upon</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exercise</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1"/>
                <w:szCs w:val="11"/>
                <w:color w:val="auto"/>
              </w:rPr>
              <w:t>of stock options</w:t>
            </w: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4,323,167</w:t>
            </w:r>
          </w:p>
        </w:tc>
        <w:tc>
          <w:tcPr>
            <w:tcW w:w="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4,097</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CFF0FC"/>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4,098</w:t>
            </w:r>
          </w:p>
        </w:tc>
        <w:tc>
          <w:tcPr>
            <w:tcW w:w="0" w:type="dxa"/>
            <w:vAlign w:val="bottom"/>
          </w:tcPr>
          <w:p>
            <w:pPr>
              <w:spacing w:after="0"/>
              <w:rPr>
                <w:sz w:val="1"/>
                <w:szCs w:val="1"/>
                <w:color w:val="auto"/>
              </w:rPr>
            </w:pPr>
          </w:p>
        </w:tc>
      </w:tr>
      <w:tr>
        <w:trPr>
          <w:trHeight w:val="140"/>
        </w:trPr>
        <w:tc>
          <w:tcPr>
            <w:tcW w:w="1120" w:type="dxa"/>
            <w:vAlign w:val="bottom"/>
          </w:tcPr>
          <w:p>
            <w:pPr>
              <w:ind w:left="20"/>
              <w:spacing w:after="0"/>
              <w:rPr>
                <w:sz w:val="20"/>
                <w:szCs w:val="20"/>
                <w:color w:val="auto"/>
              </w:rPr>
            </w:pPr>
            <w:r>
              <w:rPr>
                <w:rFonts w:ascii="Arial" w:cs="Arial" w:eastAsia="Arial" w:hAnsi="Arial"/>
                <w:sz w:val="11"/>
                <w:szCs w:val="11"/>
                <w:color w:val="auto"/>
              </w:rPr>
              <w:t>Reclassification of</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warrant liability to</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additional paid-in</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capital upon initial</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public offering</w:t>
            </w: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6,272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6,272</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Exercise of common</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1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1"/>
                <w:szCs w:val="11"/>
                <w:color w:val="auto"/>
              </w:rPr>
              <w:t>stock warrants</w:t>
            </w: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417,021</w:t>
            </w:r>
          </w:p>
        </w:tc>
        <w:tc>
          <w:tcPr>
            <w:tcW w:w="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294</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CFF0FC"/>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294</w:t>
            </w:r>
          </w:p>
        </w:tc>
        <w:tc>
          <w:tcPr>
            <w:tcW w:w="0" w:type="dxa"/>
            <w:vAlign w:val="bottom"/>
          </w:tcPr>
          <w:p>
            <w:pPr>
              <w:spacing w:after="0"/>
              <w:rPr>
                <w:sz w:val="1"/>
                <w:szCs w:val="1"/>
                <w:color w:val="auto"/>
              </w:rPr>
            </w:pPr>
          </w:p>
        </w:tc>
      </w:tr>
      <w:tr>
        <w:trPr>
          <w:trHeight w:val="140"/>
        </w:trPr>
        <w:tc>
          <w:tcPr>
            <w:tcW w:w="1120" w:type="dxa"/>
            <w:vAlign w:val="bottom"/>
          </w:tcPr>
          <w:p>
            <w:pPr>
              <w:ind w:left="20"/>
              <w:spacing w:after="0"/>
              <w:rPr>
                <w:sz w:val="20"/>
                <w:szCs w:val="20"/>
                <w:color w:val="auto"/>
              </w:rPr>
            </w:pPr>
            <w:r>
              <w:rPr>
                <w:rFonts w:ascii="Arial" w:cs="Arial" w:eastAsia="Arial" w:hAnsi="Arial"/>
                <w:sz w:val="11"/>
                <w:szCs w:val="11"/>
                <w:color w:val="auto"/>
              </w:rPr>
              <w:t>Foreign currency</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translation</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adjustment</w:t>
            </w: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(80 )</w:t>
            </w:r>
          </w:p>
        </w:tc>
        <w:tc>
          <w:tcPr>
            <w:tcW w:w="12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(80 )</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Stock-based</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120"/>
              <w:spacing w:after="0"/>
              <w:rPr>
                <w:sz w:val="20"/>
                <w:szCs w:val="20"/>
                <w:color w:val="auto"/>
              </w:rPr>
            </w:pPr>
            <w:r>
              <w:rPr>
                <w:rFonts w:ascii="Arial" w:cs="Arial" w:eastAsia="Arial" w:hAnsi="Arial"/>
                <w:sz w:val="11"/>
                <w:szCs w:val="11"/>
                <w:color w:val="auto"/>
              </w:rPr>
              <w:t>compensation</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1"/>
                <w:szCs w:val="11"/>
                <w:color w:val="auto"/>
              </w:rPr>
              <w:t>expense</w:t>
            </w: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15,538</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CFF0FC"/>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15,538</w:t>
            </w:r>
          </w:p>
        </w:tc>
        <w:tc>
          <w:tcPr>
            <w:tcW w:w="0" w:type="dxa"/>
            <w:vAlign w:val="bottom"/>
          </w:tcPr>
          <w:p>
            <w:pPr>
              <w:spacing w:after="0"/>
              <w:rPr>
                <w:sz w:val="1"/>
                <w:szCs w:val="1"/>
                <w:color w:val="auto"/>
              </w:rPr>
            </w:pPr>
          </w:p>
        </w:tc>
      </w:tr>
      <w:tr>
        <w:trPr>
          <w:trHeight w:val="140"/>
        </w:trPr>
        <w:tc>
          <w:tcPr>
            <w:tcW w:w="1120" w:type="dxa"/>
            <w:vAlign w:val="bottom"/>
          </w:tcPr>
          <w:p>
            <w:pPr>
              <w:ind w:left="20"/>
              <w:spacing w:after="0"/>
              <w:rPr>
                <w:sz w:val="20"/>
                <w:szCs w:val="20"/>
                <w:color w:val="auto"/>
              </w:rPr>
            </w:pPr>
            <w:r>
              <w:rPr>
                <w:rFonts w:ascii="Arial" w:cs="Arial" w:eastAsia="Arial" w:hAnsi="Arial"/>
                <w:sz w:val="11"/>
                <w:szCs w:val="11"/>
                <w:color w:val="auto"/>
              </w:rPr>
              <w:t>Net loss</w:t>
            </w: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(16,804 )</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(16,804 )</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Balances at</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101,201,46</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120" w:type="dxa"/>
            <w:vAlign w:val="bottom"/>
            <w:shd w:val="clear" w:color="auto" w:fill="CFF0FC"/>
          </w:tcPr>
          <w:p>
            <w:pPr>
              <w:ind w:left="120"/>
              <w:spacing w:after="0" w:line="110" w:lineRule="exact"/>
              <w:rPr>
                <w:sz w:val="20"/>
                <w:szCs w:val="20"/>
                <w:color w:val="auto"/>
              </w:rPr>
            </w:pPr>
            <w:r>
              <w:rPr>
                <w:rFonts w:ascii="Arial" w:cs="Arial" w:eastAsia="Arial" w:hAnsi="Arial"/>
                <w:sz w:val="11"/>
                <w:szCs w:val="11"/>
                <w:b w:val="1"/>
                <w:bCs w:val="1"/>
                <w:color w:val="auto"/>
              </w:rPr>
              <w:t>September 30,</w:t>
            </w:r>
          </w:p>
        </w:tc>
        <w:tc>
          <w:tcPr>
            <w:tcW w:w="6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72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tcBorders>
              <w:right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2021</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5,988,378</w:t>
            </w: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(2,317,722 )</w:t>
            </w: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(748 )</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603,319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(294 )</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(114,576 )</w:t>
            </w:r>
          </w:p>
        </w:tc>
        <w:tc>
          <w:tcPr>
            <w:tcW w:w="12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487,712</w:t>
            </w:r>
          </w:p>
        </w:tc>
        <w:tc>
          <w:tcPr>
            <w:tcW w:w="0" w:type="dxa"/>
            <w:vAlign w:val="bottom"/>
          </w:tcPr>
          <w:p>
            <w:pPr>
              <w:spacing w:after="0"/>
              <w:rPr>
                <w:sz w:val="1"/>
                <w:szCs w:val="1"/>
                <w:color w:val="auto"/>
              </w:rPr>
            </w:pPr>
          </w:p>
        </w:tc>
      </w:tr>
      <w:tr>
        <w:trPr>
          <w:trHeight w:val="20"/>
        </w:trPr>
        <w:tc>
          <w:tcPr>
            <w:tcW w:w="1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-6407150</wp:posOffset>
            </wp:positionV>
            <wp:extent cx="34290" cy="5829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58293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-24765</wp:posOffset>
            </wp:positionV>
            <wp:extent cx="939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-8255</wp:posOffset>
            </wp:positionV>
            <wp:extent cx="93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-24765</wp:posOffset>
            </wp:positionV>
            <wp:extent cx="946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-8255</wp:posOffset>
            </wp:positionV>
            <wp:extent cx="946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-24765</wp:posOffset>
            </wp:positionV>
            <wp:extent cx="939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-8255</wp:posOffset>
            </wp:positionV>
            <wp:extent cx="93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-398145</wp:posOffset>
            </wp:positionV>
            <wp:extent cx="107315" cy="411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7315" cy="41148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-24765</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-8255</wp:posOffset>
            </wp:positionV>
            <wp:extent cx="857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-24765</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857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-24765</wp:posOffset>
            </wp:positionV>
            <wp:extent cx="85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-8255</wp:posOffset>
            </wp:positionV>
            <wp:extent cx="857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-24765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-8255</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2"/>
        </w:trPr>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40" w:type="dxa"/>
            <w:vAlign w:val="bottom"/>
            <w:gridSpan w:val="8"/>
          </w:tcPr>
          <w:p>
            <w:pPr>
              <w:jc w:val="center"/>
              <w:ind w:right="460"/>
              <w:spacing w:after="0"/>
              <w:rPr>
                <w:sz w:val="20"/>
                <w:szCs w:val="20"/>
                <w:color w:val="auto"/>
              </w:rPr>
            </w:pPr>
            <w:r>
              <w:rPr>
                <w:rFonts w:ascii="Arial" w:cs="Arial" w:eastAsia="Arial" w:hAnsi="Arial"/>
                <w:sz w:val="11"/>
                <w:szCs w:val="11"/>
                <w:b w:val="1"/>
                <w:bCs w:val="1"/>
                <w:color w:val="auto"/>
                <w:w w:val="98"/>
              </w:rPr>
              <w:t>Nine Months Ended September 30, 2020</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98"/>
              </w:rPr>
              <w:t>Redeemable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8"/>
              </w:rPr>
              <w:t>Accumulated</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rPr>
              <w:t>Other</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7"/>
              </w:rPr>
              <w:t>Stockholder</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Arial" w:cs="Arial" w:eastAsia="Arial" w:hAnsi="Arial"/>
                <w:sz w:val="11"/>
                <w:szCs w:val="11"/>
                <w:b w:val="1"/>
                <w:bCs w:val="1"/>
                <w:color w:val="auto"/>
              </w:rPr>
              <w:t>Convertible</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spacing w:after="0"/>
              <w:rPr>
                <w:sz w:val="20"/>
                <w:szCs w:val="20"/>
                <w:color w:val="auto"/>
              </w:rPr>
            </w:pPr>
            <w:r>
              <w:rPr>
                <w:rFonts w:ascii="Arial" w:cs="Arial" w:eastAsia="Arial" w:hAnsi="Arial"/>
                <w:sz w:val="11"/>
                <w:szCs w:val="11"/>
                <w:b w:val="1"/>
                <w:bCs w:val="1"/>
                <w:color w:val="auto"/>
                <w:w w:val="95"/>
              </w:rPr>
              <w:t>Convertible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right"/>
              <w:ind w:right="66"/>
              <w:spacing w:after="0"/>
              <w:rPr>
                <w:sz w:val="20"/>
                <w:szCs w:val="20"/>
                <w:color w:val="auto"/>
              </w:rPr>
            </w:pPr>
            <w:r>
              <w:rPr>
                <w:rFonts w:ascii="Arial" w:cs="Arial" w:eastAsia="Arial" w:hAnsi="Arial"/>
                <w:sz w:val="11"/>
                <w:szCs w:val="11"/>
                <w:b w:val="1"/>
                <w:bCs w:val="1"/>
                <w:color w:val="auto"/>
              </w:rPr>
              <w:t>Voting</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3"/>
          </w:tcPr>
          <w:p>
            <w:pPr>
              <w:jc w:val="center"/>
              <w:spacing w:after="0"/>
              <w:rPr>
                <w:sz w:val="20"/>
                <w:szCs w:val="20"/>
                <w:color w:val="auto"/>
              </w:rPr>
            </w:pPr>
            <w:r>
              <w:rPr>
                <w:rFonts w:ascii="Arial" w:cs="Arial" w:eastAsia="Arial" w:hAnsi="Arial"/>
                <w:sz w:val="11"/>
                <w:szCs w:val="11"/>
                <w:b w:val="1"/>
                <w:bCs w:val="1"/>
                <w:color w:val="auto"/>
                <w:w w:val="97"/>
              </w:rPr>
              <w:t>Non-Voting</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Additional</w:t>
            </w:r>
          </w:p>
        </w:tc>
        <w:tc>
          <w:tcPr>
            <w:tcW w:w="8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9"/>
              </w:rPr>
              <w:t>Comprehensi</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9"/>
              </w:rPr>
              <w:t>Accumulate</w:t>
            </w:r>
          </w:p>
        </w:tc>
        <w:tc>
          <w:tcPr>
            <w:tcW w:w="7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86"/>
              </w:rPr>
              <w:t>s’</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1300" w:type="dxa"/>
            <w:vAlign w:val="bottom"/>
            <w:gridSpan w:val="4"/>
          </w:tcPr>
          <w:p>
            <w:pPr>
              <w:jc w:val="right"/>
              <w:ind w:right="186"/>
              <w:spacing w:after="0"/>
              <w:rPr>
                <w:sz w:val="20"/>
                <w:szCs w:val="20"/>
                <w:color w:val="auto"/>
              </w:rPr>
            </w:pPr>
            <w:r>
              <w:rPr>
                <w:rFonts w:ascii="Arial" w:cs="Arial" w:eastAsia="Arial" w:hAnsi="Arial"/>
                <w:sz w:val="11"/>
                <w:szCs w:val="11"/>
                <w:b w:val="1"/>
                <w:bCs w:val="1"/>
                <w:color w:val="auto"/>
              </w:rPr>
              <w:t>Preferred Stock</w:t>
            </w:r>
          </w:p>
        </w:tc>
        <w:tc>
          <w:tcPr>
            <w:tcW w:w="120" w:type="dxa"/>
            <w:vAlign w:val="bottom"/>
          </w:tcPr>
          <w:p>
            <w:pPr>
              <w:spacing w:after="0"/>
              <w:rPr>
                <w:sz w:val="13"/>
                <w:szCs w:val="13"/>
                <w:color w:val="auto"/>
              </w:rPr>
            </w:pPr>
          </w:p>
        </w:tc>
        <w:tc>
          <w:tcPr>
            <w:tcW w:w="1280" w:type="dxa"/>
            <w:vAlign w:val="bottom"/>
            <w:gridSpan w:val="3"/>
          </w:tcPr>
          <w:p>
            <w:pPr>
              <w:jc w:val="center"/>
              <w:spacing w:after="0"/>
              <w:rPr>
                <w:sz w:val="20"/>
                <w:szCs w:val="20"/>
                <w:color w:val="auto"/>
              </w:rPr>
            </w:pPr>
            <w:r>
              <w:rPr>
                <w:rFonts w:ascii="Arial" w:cs="Arial" w:eastAsia="Arial" w:hAnsi="Arial"/>
                <w:sz w:val="11"/>
                <w:szCs w:val="11"/>
                <w:b w:val="1"/>
                <w:bCs w:val="1"/>
                <w:color w:val="auto"/>
                <w:w w:val="97"/>
              </w:rPr>
              <w:t>Preferred 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4"/>
          </w:tcPr>
          <w:p>
            <w:pPr>
              <w:jc w:val="right"/>
              <w:ind w:right="186"/>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3"/>
                <w:szCs w:val="13"/>
                <w:color w:val="auto"/>
              </w:rPr>
            </w:pPr>
          </w:p>
        </w:tc>
        <w:tc>
          <w:tcPr>
            <w:tcW w:w="1280" w:type="dxa"/>
            <w:vAlign w:val="bottom"/>
            <w:gridSpan w:val="3"/>
          </w:tcPr>
          <w:p>
            <w:pPr>
              <w:jc w:val="center"/>
              <w:spacing w:after="0"/>
              <w:rPr>
                <w:sz w:val="20"/>
                <w:szCs w:val="20"/>
                <w:color w:val="auto"/>
              </w:rPr>
            </w:pPr>
            <w:r>
              <w:rPr>
                <w:rFonts w:ascii="Arial" w:cs="Arial" w:eastAsia="Arial" w:hAnsi="Arial"/>
                <w:sz w:val="11"/>
                <w:szCs w:val="11"/>
                <w:b w:val="1"/>
                <w:bCs w:val="1"/>
                <w:color w:val="auto"/>
                <w:w w:val="99"/>
              </w:rPr>
              <w:t>Common Stock</w:t>
            </w:r>
          </w:p>
        </w:tc>
        <w:tc>
          <w:tcPr>
            <w:tcW w:w="120" w:type="dxa"/>
            <w:vAlign w:val="bottom"/>
          </w:tcPr>
          <w:p>
            <w:pPr>
              <w:spacing w:after="0"/>
              <w:rPr>
                <w:sz w:val="13"/>
                <w:szCs w:val="13"/>
                <w:color w:val="auto"/>
              </w:rPr>
            </w:pPr>
          </w:p>
        </w:tc>
        <w:tc>
          <w:tcPr>
            <w:tcW w:w="1320" w:type="dxa"/>
            <w:vAlign w:val="bottom"/>
            <w:gridSpan w:val="4"/>
          </w:tcPr>
          <w:p>
            <w:pPr>
              <w:jc w:val="right"/>
              <w:ind w:right="340"/>
              <w:spacing w:after="0"/>
              <w:rPr>
                <w:sz w:val="20"/>
                <w:szCs w:val="20"/>
                <w:color w:val="auto"/>
              </w:rPr>
            </w:pPr>
            <w:r>
              <w:rPr>
                <w:rFonts w:ascii="Arial" w:cs="Arial" w:eastAsia="Arial" w:hAnsi="Arial"/>
                <w:sz w:val="11"/>
                <w:szCs w:val="11"/>
                <w:b w:val="1"/>
                <w:bCs w:val="1"/>
                <w:color w:val="auto"/>
              </w:rPr>
              <w:t>Treasury Stock</w:t>
            </w:r>
          </w:p>
        </w:tc>
        <w:tc>
          <w:tcPr>
            <w:tcW w:w="72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ve</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d</w:t>
            </w:r>
          </w:p>
        </w:tc>
        <w:tc>
          <w:tcPr>
            <w:tcW w:w="7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33"/>
        </w:trPr>
        <w:tc>
          <w:tcPr>
            <w:tcW w:w="1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Income</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50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Shares</w:t>
            </w:r>
          </w:p>
        </w:tc>
        <w:tc>
          <w:tcPr>
            <w:tcW w:w="500" w:type="dxa"/>
            <w:vAlign w:val="bottom"/>
            <w:gridSpan w:val="2"/>
          </w:tcPr>
          <w:p>
            <w:pPr>
              <w:jc w:val="right"/>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2"/>
                <w:szCs w:val="12"/>
                <w:color w:val="auto"/>
              </w:rPr>
            </w:pPr>
          </w:p>
        </w:tc>
        <w:tc>
          <w:tcPr>
            <w:tcW w:w="640" w:type="dxa"/>
            <w:vAlign w:val="bottom"/>
          </w:tcPr>
          <w:p>
            <w:pPr>
              <w:ind w:left="1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Shares</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6"/>
              </w:rPr>
              <w:t>Amount</w:t>
            </w:r>
          </w:p>
        </w:tc>
        <w:tc>
          <w:tcPr>
            <w:tcW w:w="72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(Loss)</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Deficit</w:t>
            </w:r>
          </w:p>
        </w:tc>
        <w:tc>
          <w:tcPr>
            <w:tcW w:w="7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7"/>
              </w:rPr>
              <w:t>(Deficit)</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Balances at</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120"/>
              <w:spacing w:after="0"/>
              <w:rPr>
                <w:sz w:val="20"/>
                <w:szCs w:val="20"/>
                <w:color w:val="auto"/>
              </w:rPr>
            </w:pPr>
            <w:r>
              <w:rPr>
                <w:rFonts w:ascii="Arial" w:cs="Arial" w:eastAsia="Arial" w:hAnsi="Arial"/>
                <w:sz w:val="11"/>
                <w:szCs w:val="11"/>
                <w:b w:val="1"/>
                <w:bCs w:val="1"/>
                <w:color w:val="auto"/>
              </w:rPr>
              <w:t>December 31,</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9"/>
              </w:rPr>
              <w:t>110,40</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2019</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54,208,461</w:t>
            </w:r>
          </w:p>
        </w:tc>
        <w:tc>
          <w:tcPr>
            <w:tcW w:w="300" w:type="dxa"/>
            <w:vAlign w:val="bottom"/>
            <w:tcBorders>
              <w:bottom w:val="single" w:sz="8" w:color="CFF0FC"/>
            </w:tcBorders>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right w:val="single" w:sz="8" w:color="auto"/>
            </w:tcBorders>
            <w:shd w:val="clear" w:color="auto" w:fill="CFF0FC"/>
          </w:tcPr>
          <w:p>
            <w:pPr>
              <w:spacing w:after="0"/>
              <w:rPr>
                <w:sz w:val="12"/>
                <w:szCs w:val="12"/>
                <w:color w:val="auto"/>
              </w:rPr>
            </w:pPr>
          </w:p>
        </w:tc>
        <w:tc>
          <w:tcPr>
            <w:tcW w:w="7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20,494,146</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14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shd w:val="clear" w:color="auto" w:fill="CFF0FC"/>
          </w:tcPr>
          <w:p>
            <w:pPr>
              <w:jc w:val="center"/>
              <w:ind w:left="46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86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1"/>
                <w:szCs w:val="11"/>
                <w:color w:val="auto"/>
              </w:rPr>
              <w:t>(2,317,722 )</w:t>
            </w:r>
          </w:p>
        </w:tc>
        <w:tc>
          <w:tcPr>
            <w:tcW w:w="5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   (748 )</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    12,031</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102</w:t>
            </w:r>
          </w:p>
        </w:tc>
        <w:tc>
          <w:tcPr>
            <w:tcW w:w="1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    (86,665 )</w:t>
            </w:r>
          </w:p>
        </w:tc>
        <w:tc>
          <w:tcPr>
            <w:tcW w:w="7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    (75,278 )</w:t>
            </w:r>
          </w:p>
        </w:tc>
        <w:tc>
          <w:tcPr>
            <w:tcW w:w="0" w:type="dxa"/>
            <w:vAlign w:val="bottom"/>
          </w:tcPr>
          <w:p>
            <w:pPr>
              <w:spacing w:after="0"/>
              <w:rPr>
                <w:sz w:val="1"/>
                <w:szCs w:val="1"/>
                <w:color w:val="auto"/>
              </w:rPr>
            </w:pPr>
          </w:p>
        </w:tc>
      </w:tr>
      <w:tr>
        <w:trPr>
          <w:trHeight w:val="140"/>
        </w:trPr>
        <w:tc>
          <w:tcPr>
            <w:tcW w:w="1120" w:type="dxa"/>
            <w:vAlign w:val="bottom"/>
          </w:tcPr>
          <w:p>
            <w:pPr>
              <w:ind w:left="20"/>
              <w:spacing w:after="0"/>
              <w:rPr>
                <w:sz w:val="20"/>
                <w:szCs w:val="20"/>
                <w:color w:val="auto"/>
              </w:rPr>
            </w:pPr>
            <w:r>
              <w:rPr>
                <w:rFonts w:ascii="Arial" w:cs="Arial" w:eastAsia="Arial" w:hAnsi="Arial"/>
                <w:sz w:val="11"/>
                <w:szCs w:val="11"/>
                <w:color w:val="auto"/>
              </w:rPr>
              <w:t>Issuance of common</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stock upon</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rPr>
                <w:sz w:val="20"/>
                <w:szCs w:val="20"/>
                <w:color w:val="auto"/>
              </w:rPr>
            </w:pPr>
            <w:r>
              <w:rPr>
                <w:rFonts w:ascii="Arial" w:cs="Arial" w:eastAsia="Arial" w:hAnsi="Arial"/>
                <w:sz w:val="11"/>
                <w:szCs w:val="11"/>
                <w:color w:val="auto"/>
              </w:rPr>
              <w:t>exercise</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of stock options</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1,632,264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40" w:type="dxa"/>
            <w:vAlign w:val="bottom"/>
          </w:tcPr>
          <w:p>
            <w:pPr>
              <w:jc w:val="center"/>
              <w:ind w:left="46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606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606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Series E</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120"/>
              <w:spacing w:after="0"/>
              <w:rPr>
                <w:sz w:val="20"/>
                <w:szCs w:val="20"/>
                <w:color w:val="auto"/>
              </w:rPr>
            </w:pPr>
            <w:r>
              <w:rPr>
                <w:rFonts w:ascii="Arial" w:cs="Arial" w:eastAsia="Arial" w:hAnsi="Arial"/>
                <w:sz w:val="11"/>
                <w:szCs w:val="11"/>
                <w:color w:val="auto"/>
              </w:rPr>
              <w:t>redeemable</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120"/>
              <w:spacing w:after="0"/>
              <w:rPr>
                <w:sz w:val="20"/>
                <w:szCs w:val="20"/>
                <w:color w:val="auto"/>
              </w:rPr>
            </w:pPr>
            <w:r>
              <w:rPr>
                <w:rFonts w:ascii="Arial" w:cs="Arial" w:eastAsia="Arial" w:hAnsi="Arial"/>
                <w:sz w:val="11"/>
                <w:szCs w:val="11"/>
                <w:color w:val="auto"/>
              </w:rPr>
              <w:t>convertible</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preferred</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120"/>
              <w:spacing w:after="0"/>
              <w:rPr>
                <w:sz w:val="20"/>
                <w:szCs w:val="20"/>
                <w:color w:val="auto"/>
              </w:rPr>
            </w:pPr>
            <w:r>
              <w:rPr>
                <w:rFonts w:ascii="Arial" w:cs="Arial" w:eastAsia="Arial" w:hAnsi="Arial"/>
                <w:sz w:val="11"/>
                <w:szCs w:val="11"/>
                <w:color w:val="auto"/>
              </w:rPr>
              <w:t>stock, net of</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120"/>
              <w:spacing w:after="0"/>
              <w:rPr>
                <w:sz w:val="20"/>
                <w:szCs w:val="20"/>
                <w:color w:val="auto"/>
              </w:rPr>
            </w:pPr>
            <w:r>
              <w:rPr>
                <w:rFonts w:ascii="Arial" w:cs="Arial" w:eastAsia="Arial" w:hAnsi="Arial"/>
                <w:sz w:val="11"/>
                <w:szCs w:val="11"/>
                <w:color w:val="auto"/>
              </w:rPr>
              <w:t>issuance costs of</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$245</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11,239,920</w:t>
            </w:r>
          </w:p>
        </w:tc>
        <w:tc>
          <w:tcPr>
            <w:tcW w:w="6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119,755</w:t>
            </w:r>
          </w:p>
        </w:tc>
        <w:tc>
          <w:tcPr>
            <w:tcW w:w="140" w:type="dxa"/>
            <w:vAlign w:val="bottom"/>
            <w:tcBorders>
              <w:bottom w:val="single" w:sz="8" w:color="CFF0FC"/>
              <w:right w:val="single" w:sz="8" w:color="auto"/>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jc w:val="center"/>
              <w:ind w:left="46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120" w:type="dxa"/>
            <w:vAlign w:val="bottom"/>
          </w:tcPr>
          <w:p>
            <w:pPr>
              <w:ind w:left="20"/>
              <w:spacing w:after="0"/>
              <w:rPr>
                <w:sz w:val="20"/>
                <w:szCs w:val="20"/>
                <w:color w:val="auto"/>
              </w:rPr>
            </w:pPr>
            <w:r>
              <w:rPr>
                <w:rFonts w:ascii="Arial" w:cs="Arial" w:eastAsia="Arial" w:hAnsi="Arial"/>
                <w:sz w:val="11"/>
                <w:szCs w:val="11"/>
                <w:color w:val="auto"/>
              </w:rPr>
              <w:t>Accretion of</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redeemable</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convertible</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rPr>
                <w:sz w:val="20"/>
                <w:szCs w:val="20"/>
                <w:color w:val="auto"/>
              </w:rPr>
            </w:pPr>
            <w:r>
              <w:rPr>
                <w:rFonts w:ascii="Arial" w:cs="Arial" w:eastAsia="Arial" w:hAnsi="Arial"/>
                <w:sz w:val="11"/>
                <w:szCs w:val="11"/>
                <w:color w:val="auto"/>
              </w:rPr>
              <w:t>preferred</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stock</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10</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40" w:type="dxa"/>
            <w:vAlign w:val="bottom"/>
          </w:tcPr>
          <w:p>
            <w:pPr>
              <w:jc w:val="center"/>
              <w:ind w:left="46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(10 )</w:t>
            </w:r>
          </w:p>
        </w:tc>
        <w:tc>
          <w:tcPr>
            <w:tcW w:w="12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(10 )</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common</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1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1"/>
                <w:szCs w:val="11"/>
                <w:color w:val="auto"/>
              </w:rPr>
              <w:t>stock warrants</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right w:val="single" w:sz="8" w:color="auto"/>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jc w:val="center"/>
              <w:ind w:left="46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336</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336</w:t>
            </w:r>
          </w:p>
        </w:tc>
        <w:tc>
          <w:tcPr>
            <w:tcW w:w="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120" w:type="dxa"/>
            <w:vAlign w:val="bottom"/>
          </w:tcPr>
          <w:p>
            <w:pPr>
              <w:ind w:left="20"/>
              <w:spacing w:after="0"/>
              <w:rPr>
                <w:sz w:val="20"/>
                <w:szCs w:val="20"/>
                <w:color w:val="auto"/>
              </w:rPr>
            </w:pPr>
            <w:r>
              <w:rPr>
                <w:rFonts w:ascii="Arial" w:cs="Arial" w:eastAsia="Arial" w:hAnsi="Arial"/>
                <w:sz w:val="11"/>
                <w:szCs w:val="11"/>
                <w:color w:val="auto"/>
              </w:rPr>
              <w:t>Forfeiture of</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rPr>
                <w:sz w:val="20"/>
                <w:szCs w:val="20"/>
                <w:color w:val="auto"/>
              </w:rPr>
            </w:pPr>
            <w:r>
              <w:rPr>
                <w:rFonts w:ascii="Arial" w:cs="Arial" w:eastAsia="Arial" w:hAnsi="Arial"/>
                <w:sz w:val="11"/>
                <w:szCs w:val="11"/>
                <w:color w:val="auto"/>
              </w:rPr>
              <w:t>unvested</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restricted stock</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awards</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tcPr>
          <w:p>
            <w:pPr>
              <w:spacing w:after="0"/>
              <w:rPr>
                <w:sz w:val="11"/>
                <w:szCs w:val="11"/>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1"/>
                <w:szCs w:val="11"/>
                <w:color w:val="auto"/>
              </w:rPr>
              <w:t>(105,969 )</w:t>
            </w:r>
          </w:p>
        </w:tc>
        <w:tc>
          <w:tcPr>
            <w:tcW w:w="1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40" w:type="dxa"/>
            <w:vAlign w:val="bottom"/>
          </w:tcPr>
          <w:p>
            <w:pPr>
              <w:jc w:val="center"/>
              <w:ind w:left="46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Foreign currency</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120"/>
              <w:spacing w:after="0"/>
              <w:rPr>
                <w:sz w:val="20"/>
                <w:szCs w:val="20"/>
                <w:color w:val="auto"/>
              </w:rPr>
            </w:pPr>
            <w:r>
              <w:rPr>
                <w:rFonts w:ascii="Arial" w:cs="Arial" w:eastAsia="Arial" w:hAnsi="Arial"/>
                <w:sz w:val="11"/>
                <w:szCs w:val="11"/>
                <w:color w:val="auto"/>
              </w:rPr>
              <w:t>translation</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1"/>
                <w:szCs w:val="11"/>
                <w:color w:val="auto"/>
              </w:rPr>
              <w:t>adjustment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right w:val="single" w:sz="8" w:color="auto"/>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jc w:val="center"/>
              <w:ind w:left="46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(81 )</w:t>
            </w:r>
          </w:p>
        </w:tc>
        <w:tc>
          <w:tcPr>
            <w:tcW w:w="7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(81 )</w:t>
            </w:r>
          </w:p>
        </w:tc>
        <w:tc>
          <w:tcPr>
            <w:tcW w:w="0" w:type="dxa"/>
            <w:vAlign w:val="bottom"/>
          </w:tcPr>
          <w:p>
            <w:pPr>
              <w:spacing w:after="0"/>
              <w:rPr>
                <w:sz w:val="1"/>
                <w:szCs w:val="1"/>
                <w:color w:val="auto"/>
              </w:rPr>
            </w:pPr>
          </w:p>
        </w:tc>
      </w:tr>
      <w:tr>
        <w:trPr>
          <w:trHeight w:val="140"/>
        </w:trPr>
        <w:tc>
          <w:tcPr>
            <w:tcW w:w="1120" w:type="dxa"/>
            <w:vAlign w:val="bottom"/>
          </w:tcPr>
          <w:p>
            <w:pPr>
              <w:ind w:left="20"/>
              <w:spacing w:after="0"/>
              <w:rPr>
                <w:sz w:val="20"/>
                <w:szCs w:val="20"/>
                <w:color w:val="auto"/>
              </w:rPr>
            </w:pPr>
            <w:r>
              <w:rPr>
                <w:rFonts w:ascii="Arial" w:cs="Arial" w:eastAsia="Arial" w:hAnsi="Arial"/>
                <w:sz w:val="11"/>
                <w:szCs w:val="11"/>
                <w:color w:val="auto"/>
              </w:rPr>
              <w:t>Stock-based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rPr>
                <w:sz w:val="20"/>
                <w:szCs w:val="20"/>
                <w:color w:val="auto"/>
              </w:rPr>
            </w:pPr>
            <w:r>
              <w:rPr>
                <w:rFonts w:ascii="Arial" w:cs="Arial" w:eastAsia="Arial" w:hAnsi="Arial"/>
                <w:sz w:val="11"/>
                <w:szCs w:val="11"/>
                <w:color w:val="auto"/>
              </w:rPr>
              <w:t>compensation</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120" w:type="dxa"/>
            <w:vAlign w:val="bottom"/>
          </w:tcPr>
          <w:p>
            <w:pPr>
              <w:ind w:left="20"/>
              <w:spacing w:after="0"/>
              <w:rPr>
                <w:sz w:val="20"/>
                <w:szCs w:val="20"/>
                <w:color w:val="auto"/>
              </w:rPr>
            </w:pPr>
            <w:r>
              <w:rPr>
                <w:rFonts w:ascii="Arial" w:cs="Arial" w:eastAsia="Arial" w:hAnsi="Arial"/>
                <w:sz w:val="11"/>
                <w:szCs w:val="11"/>
                <w:color w:val="auto"/>
              </w:rPr>
              <w:t>expense</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40" w:type="dxa"/>
            <w:vAlign w:val="bottom"/>
          </w:tcPr>
          <w:p>
            <w:pPr>
              <w:jc w:val="center"/>
              <w:ind w:left="46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2,860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2,860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right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jc w:val="center"/>
              <w:ind w:left="46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(7,076 )</w:t>
            </w:r>
          </w:p>
        </w:tc>
        <w:tc>
          <w:tcPr>
            <w:tcW w:w="7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(7,076 )</w:t>
            </w:r>
          </w:p>
        </w:tc>
        <w:tc>
          <w:tcPr>
            <w:tcW w:w="0" w:type="dxa"/>
            <w:vAlign w:val="bottom"/>
          </w:tcPr>
          <w:p>
            <w:pPr>
              <w:spacing w:after="0"/>
              <w:rPr>
                <w:sz w:val="1"/>
                <w:szCs w:val="1"/>
                <w:color w:val="auto"/>
              </w:rPr>
            </w:pPr>
          </w:p>
        </w:tc>
      </w:tr>
      <w:tr>
        <w:trPr>
          <w:trHeight w:val="127"/>
        </w:trPr>
        <w:tc>
          <w:tcPr>
            <w:tcW w:w="1120" w:type="dxa"/>
            <w:vAlign w:val="bottom"/>
            <w:tcBorders>
              <w:top w:val="single" w:sz="8" w:color="CFF0FC"/>
            </w:tcBorders>
          </w:tcPr>
          <w:p>
            <w:pPr>
              <w:ind w:left="20"/>
              <w:spacing w:after="0"/>
              <w:rPr>
                <w:sz w:val="20"/>
                <w:szCs w:val="20"/>
                <w:color w:val="auto"/>
              </w:rPr>
            </w:pPr>
            <w:r>
              <w:rPr>
                <w:rFonts w:ascii="Arial" w:cs="Arial" w:eastAsia="Arial" w:hAnsi="Arial"/>
                <w:sz w:val="11"/>
                <w:szCs w:val="11"/>
                <w:b w:val="1"/>
                <w:bCs w:val="1"/>
                <w:color w:val="auto"/>
              </w:rPr>
              <w:t>Balances at</w:t>
            </w:r>
          </w:p>
        </w:tc>
        <w:tc>
          <w:tcPr>
            <w:tcW w:w="66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89"/>
              </w:rPr>
              <w:t>110,40</w:t>
            </w:r>
          </w:p>
        </w:tc>
        <w:tc>
          <w:tcPr>
            <w:tcW w:w="12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120" w:type="dxa"/>
            <w:vAlign w:val="bottom"/>
          </w:tcPr>
          <w:p>
            <w:pPr>
              <w:ind w:left="120"/>
              <w:spacing w:after="0" w:line="110" w:lineRule="exact"/>
              <w:rPr>
                <w:sz w:val="20"/>
                <w:szCs w:val="20"/>
                <w:color w:val="auto"/>
              </w:rPr>
            </w:pPr>
            <w:r>
              <w:rPr>
                <w:rFonts w:ascii="Arial" w:cs="Arial" w:eastAsia="Arial" w:hAnsi="Arial"/>
                <w:sz w:val="11"/>
                <w:szCs w:val="11"/>
                <w:b w:val="1"/>
                <w:bCs w:val="1"/>
                <w:color w:val="auto"/>
              </w:rPr>
              <w:t>September 30,</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20"/>
              <w:spacing w:after="0"/>
              <w:rPr>
                <w:sz w:val="20"/>
                <w:szCs w:val="20"/>
                <w:color w:val="auto"/>
              </w:rPr>
            </w:pPr>
            <w:r>
              <w:rPr>
                <w:rFonts w:ascii="Arial" w:cs="Arial" w:eastAsia="Arial" w:hAnsi="Arial"/>
                <w:sz w:val="11"/>
                <w:szCs w:val="11"/>
                <w:b w:val="1"/>
                <w:bCs w:val="1"/>
                <w:color w:val="auto"/>
              </w:rPr>
              <w:t>2020</w:t>
            </w:r>
          </w:p>
        </w:tc>
        <w:tc>
          <w:tcPr>
            <w:tcW w:w="660" w:type="dxa"/>
            <w:vAlign w:val="bottom"/>
          </w:tcPr>
          <w:p>
            <w:pPr>
              <w:jc w:val="right"/>
              <w:spacing w:after="0"/>
              <w:rPr>
                <w:sz w:val="20"/>
                <w:szCs w:val="20"/>
                <w:color w:val="auto"/>
              </w:rPr>
            </w:pPr>
            <w:r>
              <w:rPr>
                <w:rFonts w:ascii="Arial" w:cs="Arial" w:eastAsia="Arial" w:hAnsi="Arial"/>
                <w:sz w:val="11"/>
                <w:szCs w:val="11"/>
                <w:color w:val="auto"/>
              </w:rPr>
              <w:t>54,208,461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11,239,920</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119,765</w:t>
            </w:r>
          </w:p>
        </w:tc>
        <w:tc>
          <w:tcPr>
            <w:tcW w:w="880" w:type="dxa"/>
            <w:vAlign w:val="bottom"/>
            <w:gridSpan w:val="3"/>
          </w:tcPr>
          <w:p>
            <w:pPr>
              <w:jc w:val="right"/>
              <w:spacing w:after="0"/>
              <w:rPr>
                <w:sz w:val="20"/>
                <w:szCs w:val="20"/>
                <w:color w:val="auto"/>
              </w:rPr>
            </w:pPr>
            <w:r>
              <w:rPr>
                <w:rFonts w:ascii="Arial" w:cs="Arial" w:eastAsia="Arial" w:hAnsi="Arial"/>
                <w:sz w:val="11"/>
                <w:szCs w:val="11"/>
                <w:color w:val="auto"/>
              </w:rPr>
              <w:t>22,020,441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12"/>
                <w:szCs w:val="12"/>
                <w:color w:val="auto"/>
              </w:rPr>
            </w:pPr>
          </w:p>
        </w:tc>
        <w:tc>
          <w:tcPr>
            <w:tcW w:w="640" w:type="dxa"/>
            <w:vAlign w:val="bottom"/>
          </w:tcPr>
          <w:p>
            <w:pPr>
              <w:jc w:val="center"/>
              <w:ind w:left="46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860" w:type="dxa"/>
            <w:vAlign w:val="bottom"/>
            <w:gridSpan w:val="3"/>
          </w:tcPr>
          <w:p>
            <w:pPr>
              <w:jc w:val="right"/>
              <w:ind w:right="80"/>
              <w:spacing w:after="0"/>
              <w:rPr>
                <w:sz w:val="20"/>
                <w:szCs w:val="20"/>
                <w:color w:val="auto"/>
              </w:rPr>
            </w:pPr>
            <w:r>
              <w:rPr>
                <w:rFonts w:ascii="Arial" w:cs="Arial" w:eastAsia="Arial" w:hAnsi="Arial"/>
                <w:sz w:val="11"/>
                <w:szCs w:val="11"/>
                <w:color w:val="auto"/>
              </w:rPr>
              <w:t>(2,317,722 )</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(748 )</w:t>
            </w:r>
          </w:p>
        </w:tc>
        <w:tc>
          <w:tcPr>
            <w:tcW w:w="620" w:type="dxa"/>
            <w:vAlign w:val="bottom"/>
          </w:tcPr>
          <w:p>
            <w:pPr>
              <w:jc w:val="right"/>
              <w:spacing w:after="0"/>
              <w:rPr>
                <w:sz w:val="20"/>
                <w:szCs w:val="20"/>
                <w:color w:val="auto"/>
              </w:rPr>
            </w:pPr>
            <w:r>
              <w:rPr>
                <w:rFonts w:ascii="Arial" w:cs="Arial" w:eastAsia="Arial" w:hAnsi="Arial"/>
                <w:sz w:val="11"/>
                <w:szCs w:val="11"/>
                <w:color w:val="auto"/>
              </w:rPr>
              <w:t>15,823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(93,741 )</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(78,643 )</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2495550</wp:posOffset>
            </wp:positionH>
            <wp:positionV relativeFrom="paragraph">
              <wp:posOffset>-3749675</wp:posOffset>
            </wp:positionV>
            <wp:extent cx="34290" cy="5829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58293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-279400</wp:posOffset>
            </wp:positionV>
            <wp:extent cx="8572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-279400</wp:posOffset>
            </wp:positionV>
            <wp:extent cx="8572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-279400</wp:posOffset>
            </wp:positionV>
            <wp:extent cx="8572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-398145</wp:posOffset>
            </wp:positionV>
            <wp:extent cx="4705985" cy="411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05985" cy="411480"/>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9" w:name="page10"/>
    <w:bookmarkEnd w:id="9"/>
    <w:p>
      <w:pPr>
        <w:jc w:val="center"/>
        <w:ind w:right="60"/>
        <w:spacing w:after="0"/>
        <w:rPr>
          <w:sz w:val="20"/>
          <w:szCs w:val="20"/>
          <w:color w:val="auto"/>
        </w:rPr>
      </w:pPr>
      <w:r>
        <w:rPr>
          <w:rFonts w:ascii="Arial" w:cs="Arial" w:eastAsia="Arial" w:hAnsi="Arial"/>
          <w:sz w:val="18"/>
          <w:szCs w:val="18"/>
          <w:b w:val="1"/>
          <w:bCs w:val="1"/>
          <w:color w:val="auto"/>
        </w:rPr>
        <w:t>FLYWIRE CORPORATION</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(Unaudited) (Amounts in thousands)</w:t>
      </w:r>
    </w:p>
    <w:p>
      <w:pPr>
        <w:spacing w:after="0" w:line="240"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Nine Months Ended</w:t>
      </w:r>
    </w:p>
    <w:p>
      <w:pPr>
        <w:spacing w:after="0" w:line="29"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8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(16,804 )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(7,076 )</w:t>
            </w:r>
          </w:p>
        </w:tc>
      </w:tr>
      <w:tr>
        <w:trPr>
          <w:trHeight w:val="263"/>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3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6,571</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21"/>
                <w:szCs w:val="21"/>
                <w:color w:val="auto"/>
              </w:rPr>
            </w:pPr>
          </w:p>
        </w:tc>
      </w:tr>
      <w:tr>
        <w:trPr>
          <w:trHeight w:val="263"/>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15,538</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FF0FC"/>
          </w:tcPr>
          <w:p>
            <w:pPr>
              <w:spacing w:after="0"/>
              <w:rPr>
                <w:sz w:val="22"/>
                <w:szCs w:val="22"/>
                <w:color w:val="auto"/>
              </w:rPr>
            </w:pPr>
          </w:p>
        </w:tc>
      </w:tr>
      <w:tr>
        <w:trPr>
          <w:trHeight w:val="250"/>
        </w:trPr>
        <w:tc>
          <w:tcPr>
            <w:tcW w:w="7380" w:type="dxa"/>
            <w:vAlign w:val="bottom"/>
          </w:tcPr>
          <w:p>
            <w:pPr>
              <w:ind w:left="260"/>
              <w:spacing w:after="0"/>
              <w:rPr>
                <w:sz w:val="20"/>
                <w:szCs w:val="20"/>
                <w:color w:val="auto"/>
              </w:rPr>
            </w:pPr>
            <w:r>
              <w:rPr>
                <w:rFonts w:ascii="Arial" w:cs="Arial" w:eastAsia="Arial" w:hAnsi="Arial"/>
                <w:sz w:val="18"/>
                <w:szCs w:val="18"/>
                <w:color w:val="auto"/>
              </w:rPr>
              <w:t>Amortization of deferred contract costs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r>
      <w:tr>
        <w:trPr>
          <w:trHeight w:val="263"/>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preferred stock warrant liability</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10,758</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FF0FC"/>
          </w:tcPr>
          <w:p>
            <w:pPr>
              <w:spacing w:after="0"/>
              <w:rPr>
                <w:sz w:val="22"/>
                <w:szCs w:val="22"/>
                <w:color w:val="auto"/>
              </w:rPr>
            </w:pPr>
          </w:p>
        </w:tc>
      </w:tr>
      <w:tr>
        <w:trPr>
          <w:trHeight w:val="250"/>
        </w:trPr>
        <w:tc>
          <w:tcPr>
            <w:tcW w:w="738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4,576</w:t>
            </w:r>
          </w:p>
        </w:tc>
        <w:tc>
          <w:tcPr>
            <w:tcW w:w="100" w:type="dxa"/>
            <w:vAlign w:val="bottom"/>
          </w:tcPr>
          <w:p>
            <w:pPr>
              <w:spacing w:after="0"/>
              <w:rPr>
                <w:sz w:val="21"/>
                <w:szCs w:val="21"/>
                <w:color w:val="auto"/>
              </w:rPr>
            </w:pPr>
          </w:p>
        </w:tc>
      </w:tr>
      <w:tr>
        <w:trPr>
          <w:trHeight w:val="263"/>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provision</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(8,547 )</w:t>
            </w:r>
          </w:p>
        </w:tc>
      </w:tr>
      <w:tr>
        <w:trPr>
          <w:trHeight w:val="250"/>
        </w:trPr>
        <w:tc>
          <w:tcPr>
            <w:tcW w:w="7380" w:type="dxa"/>
            <w:vAlign w:val="bottom"/>
          </w:tcPr>
          <w:p>
            <w:pPr>
              <w:ind w:left="260"/>
              <w:spacing w:after="0"/>
              <w:rPr>
                <w:sz w:val="20"/>
                <w:szCs w:val="20"/>
                <w:color w:val="auto"/>
              </w:rPr>
            </w:pPr>
            <w:r>
              <w:rPr>
                <w:rFonts w:ascii="Arial" w:cs="Arial" w:eastAsia="Arial" w:hAnsi="Arial"/>
                <w:sz w:val="18"/>
                <w:szCs w:val="18"/>
                <w:color w:val="auto"/>
              </w:rPr>
              <w:t>Bad debt expense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r>
      <w:tr>
        <w:trPr>
          <w:trHeight w:val="263"/>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interest expense</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22"/>
                <w:szCs w:val="22"/>
                <w:color w:val="auto"/>
              </w:rPr>
            </w:pPr>
          </w:p>
        </w:tc>
      </w:tr>
      <w:tr>
        <w:trPr>
          <w:trHeight w:val="250"/>
        </w:trPr>
        <w:tc>
          <w:tcPr>
            <w:tcW w:w="7380" w:type="dxa"/>
            <w:vAlign w:val="bottom"/>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 net of acquisitions:</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38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(1,466 )</w:t>
            </w:r>
          </w:p>
        </w:tc>
        <w:tc>
          <w:tcPr>
            <w:tcW w:w="36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(3,873 )</w:t>
            </w:r>
          </w:p>
        </w:tc>
      </w:tr>
      <w:tr>
        <w:trPr>
          <w:trHeight w:val="263"/>
        </w:trPr>
        <w:tc>
          <w:tcPr>
            <w:tcW w:w="73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Unbilled receivables</w:t>
            </w:r>
          </w:p>
        </w:tc>
        <w:tc>
          <w:tcPr>
            <w:tcW w:w="36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(62 )</w:t>
            </w: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22"/>
                <w:szCs w:val="22"/>
                <w:color w:val="auto"/>
              </w:rPr>
            </w:pPr>
          </w:p>
        </w:tc>
      </w:tr>
      <w:tr>
        <w:trPr>
          <w:trHeight w:val="250"/>
        </w:trPr>
        <w:tc>
          <w:tcPr>
            <w:tcW w:w="7380" w:type="dxa"/>
            <w:vAlign w:val="bottom"/>
          </w:tcPr>
          <w:p>
            <w:pPr>
              <w:ind w:left="520"/>
              <w:spacing w:after="0"/>
              <w:rPr>
                <w:sz w:val="20"/>
                <w:szCs w:val="20"/>
                <w:color w:val="auto"/>
              </w:rPr>
            </w:pPr>
            <w:r>
              <w:rPr>
                <w:rFonts w:ascii="Arial" w:cs="Arial" w:eastAsia="Arial" w:hAnsi="Arial"/>
                <w:sz w:val="18"/>
                <w:szCs w:val="18"/>
                <w:color w:val="auto"/>
              </w:rPr>
              <w:t>Funds receivable from payment partners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585</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5,019</w:t>
            </w:r>
          </w:p>
        </w:tc>
        <w:tc>
          <w:tcPr>
            <w:tcW w:w="100" w:type="dxa"/>
            <w:vAlign w:val="bottom"/>
          </w:tcPr>
          <w:p>
            <w:pPr>
              <w:spacing w:after="0"/>
              <w:rPr>
                <w:sz w:val="21"/>
                <w:szCs w:val="21"/>
                <w:color w:val="auto"/>
              </w:rPr>
            </w:pPr>
          </w:p>
        </w:tc>
      </w:tr>
      <w:tr>
        <w:trPr>
          <w:trHeight w:val="263"/>
        </w:trPr>
        <w:tc>
          <w:tcPr>
            <w:tcW w:w="73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(7,410 )</w:t>
            </w:r>
          </w:p>
        </w:tc>
        <w:tc>
          <w:tcPr>
            <w:tcW w:w="3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(3,079 )</w:t>
            </w:r>
          </w:p>
        </w:tc>
      </w:tr>
      <w:tr>
        <w:trPr>
          <w:trHeight w:val="250"/>
        </w:trPr>
        <w:tc>
          <w:tcPr>
            <w:tcW w:w="7380" w:type="dxa"/>
            <w:vAlign w:val="bottom"/>
          </w:tcPr>
          <w:p>
            <w:pPr>
              <w:ind w:left="520"/>
              <w:spacing w:after="0"/>
              <w:rPr>
                <w:sz w:val="20"/>
                <w:szCs w:val="20"/>
                <w:color w:val="auto"/>
              </w:rPr>
            </w:pPr>
            <w:r>
              <w:rPr>
                <w:rFonts w:ascii="Arial" w:cs="Arial" w:eastAsia="Arial" w:hAnsi="Arial"/>
                <w:sz w:val="18"/>
                <w:szCs w:val="18"/>
                <w:color w:val="auto"/>
              </w:rPr>
              <w:t>Funds payable to clients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6,869</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(24,846 )</w:t>
            </w:r>
          </w:p>
        </w:tc>
      </w:tr>
      <w:tr>
        <w:trPr>
          <w:trHeight w:val="263"/>
        </w:trPr>
        <w:tc>
          <w:tcPr>
            <w:tcW w:w="73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Accounts payable, accrued expenses and other current liabilities</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10,903</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2,543</w:t>
            </w:r>
          </w:p>
        </w:tc>
        <w:tc>
          <w:tcPr>
            <w:tcW w:w="100" w:type="dxa"/>
            <w:vAlign w:val="bottom"/>
            <w:shd w:val="clear" w:color="auto" w:fill="CFF0FC"/>
          </w:tcPr>
          <w:p>
            <w:pPr>
              <w:spacing w:after="0"/>
              <w:rPr>
                <w:sz w:val="22"/>
                <w:szCs w:val="22"/>
                <w:color w:val="auto"/>
              </w:rPr>
            </w:pPr>
          </w:p>
        </w:tc>
      </w:tr>
      <w:tr>
        <w:trPr>
          <w:trHeight w:val="250"/>
        </w:trPr>
        <w:tc>
          <w:tcPr>
            <w:tcW w:w="7380" w:type="dxa"/>
            <w:vAlign w:val="bottom"/>
          </w:tcPr>
          <w:p>
            <w:pPr>
              <w:ind w:left="520"/>
              <w:spacing w:after="0"/>
              <w:rPr>
                <w:sz w:val="20"/>
                <w:szCs w:val="20"/>
                <w:color w:val="auto"/>
              </w:rPr>
            </w:pPr>
            <w:r>
              <w:rPr>
                <w:rFonts w:ascii="Arial" w:cs="Arial" w:eastAsia="Arial" w:hAnsi="Arial"/>
                <w:sz w:val="18"/>
                <w:szCs w:val="18"/>
                <w:color w:val="auto"/>
              </w:rPr>
              <w:t>Contingent consideration</w:t>
            </w:r>
          </w:p>
        </w:tc>
        <w:tc>
          <w:tcPr>
            <w:tcW w:w="36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(3,212 )</w:t>
            </w:r>
          </w:p>
        </w:tc>
        <w:tc>
          <w:tcPr>
            <w:tcW w:w="36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(693 )</w:t>
            </w:r>
          </w:p>
        </w:tc>
      </w:tr>
      <w:tr>
        <w:trPr>
          <w:trHeight w:val="263"/>
        </w:trPr>
        <w:tc>
          <w:tcPr>
            <w:tcW w:w="73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(364 )</w:t>
            </w:r>
          </w:p>
        </w:tc>
        <w:tc>
          <w:tcPr>
            <w:tcW w:w="3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(121 )</w:t>
            </w:r>
          </w:p>
        </w:tc>
      </w:tr>
      <w:tr>
        <w:trPr>
          <w:trHeight w:val="250"/>
        </w:trPr>
        <w:tc>
          <w:tcPr>
            <w:tcW w:w="7380" w:type="dxa"/>
            <w:vAlign w:val="bottom"/>
          </w:tcPr>
          <w:p>
            <w:pPr>
              <w:ind w:left="52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(410 )</w:t>
            </w:r>
          </w:p>
        </w:tc>
      </w:tr>
      <w:tr>
        <w:trPr>
          <w:trHeight w:val="20"/>
        </w:trPr>
        <w:tc>
          <w:tcPr>
            <w:tcW w:w="7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80" w:type="dxa"/>
            <w:vAlign w:val="bottom"/>
            <w:shd w:val="clear" w:color="auto" w:fill="CFF0FC"/>
          </w:tcPr>
          <w:p>
            <w:pPr>
              <w:ind w:left="76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(27,566 )</w:t>
            </w:r>
          </w:p>
        </w:tc>
      </w:tr>
      <w:tr>
        <w:trPr>
          <w:trHeight w:val="250"/>
        </w:trPr>
        <w:tc>
          <w:tcPr>
            <w:tcW w:w="73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(5,229 )</w:t>
            </w:r>
          </w:p>
        </w:tc>
        <w:tc>
          <w:tcPr>
            <w:tcW w:w="3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(1,812 )</w:t>
            </w:r>
          </w:p>
        </w:tc>
      </w:tr>
      <w:tr>
        <w:trPr>
          <w:trHeight w:val="250"/>
        </w:trPr>
        <w:tc>
          <w:tcPr>
            <w:tcW w:w="7380" w:type="dxa"/>
            <w:vAlign w:val="bottom"/>
          </w:tcPr>
          <w:p>
            <w:pPr>
              <w:ind w:left="20"/>
              <w:spacing w:after="0"/>
              <w:rPr>
                <w:sz w:val="20"/>
                <w:szCs w:val="20"/>
                <w:color w:val="auto"/>
              </w:rPr>
            </w:pPr>
            <w:r>
              <w:rPr>
                <w:rFonts w:ascii="Arial" w:cs="Arial" w:eastAsia="Arial" w:hAnsi="Arial"/>
                <w:sz w:val="18"/>
                <w:szCs w:val="18"/>
                <w:color w:val="auto"/>
              </w:rPr>
              <w:t>Asset acquisition, net of cash acquired</w:t>
            </w:r>
          </w:p>
        </w:tc>
        <w:tc>
          <w:tcPr>
            <w:tcW w:w="36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(119 )</w:t>
            </w:r>
          </w:p>
        </w:tc>
        <w:tc>
          <w:tcPr>
            <w:tcW w:w="3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 of businesses, net of cash acquired</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(79,401 )</w:t>
            </w:r>
          </w:p>
        </w:tc>
      </w:tr>
      <w:tr>
        <w:trPr>
          <w:trHeight w:val="20"/>
        </w:trPr>
        <w:tc>
          <w:tcPr>
            <w:tcW w:w="73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380" w:type="dxa"/>
            <w:vAlign w:val="bottom"/>
          </w:tcPr>
          <w:p>
            <w:pPr>
              <w:ind w:left="76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(5,348 )</w:t>
            </w:r>
          </w:p>
        </w:tc>
        <w:tc>
          <w:tcPr>
            <w:tcW w:w="36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(81,213 )</w:t>
            </w:r>
          </w:p>
        </w:tc>
      </w:tr>
      <w:tr>
        <w:trPr>
          <w:trHeight w:val="256"/>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top w:val="single" w:sz="8" w:color="auto"/>
            </w:tcBorders>
            <w:shd w:val="clear" w:color="auto" w:fill="CFF0FC"/>
          </w:tcPr>
          <w:p>
            <w:pPr>
              <w:spacing w:after="0"/>
              <w:rPr>
                <w:sz w:val="22"/>
                <w:szCs w:val="22"/>
                <w:color w:val="auto"/>
              </w:rPr>
            </w:pPr>
          </w:p>
        </w:tc>
        <w:tc>
          <w:tcPr>
            <w:tcW w:w="122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60" w:type="dxa"/>
            <w:vAlign w:val="bottom"/>
            <w:tcBorders>
              <w:top w:val="single" w:sz="8" w:color="auto"/>
            </w:tcBorders>
            <w:shd w:val="clear" w:color="auto" w:fill="CFF0FC"/>
          </w:tcPr>
          <w:p>
            <w:pPr>
              <w:spacing w:after="0"/>
              <w:rPr>
                <w:sz w:val="22"/>
                <w:szCs w:val="22"/>
                <w:color w:val="auto"/>
              </w:rPr>
            </w:pPr>
          </w:p>
        </w:tc>
        <w:tc>
          <w:tcPr>
            <w:tcW w:w="120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Proceeds from initial public offering, net of underwriting discounts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380" w:type="dxa"/>
            <w:vAlign w:val="bottom"/>
          </w:tcPr>
          <w:p>
            <w:pPr>
              <w:ind w:left="160"/>
              <w:spacing w:after="0"/>
              <w:rPr>
                <w:sz w:val="20"/>
                <w:szCs w:val="20"/>
                <w:color w:val="auto"/>
              </w:rPr>
            </w:pPr>
            <w:r>
              <w:rPr>
                <w:rFonts w:ascii="Arial" w:cs="Arial" w:eastAsia="Arial" w:hAnsi="Arial"/>
                <w:sz w:val="18"/>
                <w:szCs w:val="18"/>
                <w:color w:val="auto"/>
              </w:rPr>
              <w:t>and commissions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268,694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of costs related to initial public offering</w:t>
            </w:r>
          </w:p>
        </w:tc>
        <w:tc>
          <w:tcPr>
            <w:tcW w:w="36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(4,860 )</w:t>
            </w:r>
          </w:p>
        </w:tc>
        <w:tc>
          <w:tcPr>
            <w:tcW w:w="3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380" w:type="dxa"/>
            <w:vAlign w:val="bottom"/>
          </w:tcPr>
          <w:p>
            <w:pPr>
              <w:ind w:left="2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25,933</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4,167</w:t>
            </w:r>
          </w:p>
        </w:tc>
        <w:tc>
          <w:tcPr>
            <w:tcW w:w="100" w:type="dxa"/>
            <w:vAlign w:val="bottom"/>
          </w:tcPr>
          <w:p>
            <w:pPr>
              <w:spacing w:after="0"/>
              <w:rPr>
                <w:sz w:val="21"/>
                <w:szCs w:val="21"/>
                <w:color w:val="auto"/>
              </w:rPr>
            </w:pPr>
          </w:p>
        </w:tc>
      </w:tr>
      <w:tr>
        <w:trPr>
          <w:trHeight w:val="263"/>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of long-term debt issuance costs</w:t>
            </w:r>
          </w:p>
        </w:tc>
        <w:tc>
          <w:tcPr>
            <w:tcW w:w="36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(418 )</w:t>
            </w:r>
          </w:p>
        </w:tc>
        <w:tc>
          <w:tcPr>
            <w:tcW w:w="3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(172 )</w:t>
            </w:r>
          </w:p>
        </w:tc>
      </w:tr>
      <w:tr>
        <w:trPr>
          <w:trHeight w:val="250"/>
        </w:trPr>
        <w:tc>
          <w:tcPr>
            <w:tcW w:w="7380" w:type="dxa"/>
            <w:vAlign w:val="bottom"/>
          </w:tcPr>
          <w:p>
            <w:pPr>
              <w:ind w:left="20"/>
              <w:spacing w:after="0"/>
              <w:rPr>
                <w:sz w:val="20"/>
                <w:szCs w:val="20"/>
                <w:color w:val="auto"/>
              </w:rPr>
            </w:pPr>
            <w:r>
              <w:rPr>
                <w:rFonts w:ascii="Arial" w:cs="Arial" w:eastAsia="Arial" w:hAnsi="Arial"/>
                <w:sz w:val="18"/>
                <w:szCs w:val="18"/>
                <w:color w:val="auto"/>
              </w:rPr>
              <w:t>Repayment of long-term debt</w:t>
            </w:r>
          </w:p>
        </w:tc>
        <w:tc>
          <w:tcPr>
            <w:tcW w:w="36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(25,000 )</w:t>
            </w:r>
          </w:p>
        </w:tc>
        <w:tc>
          <w:tcPr>
            <w:tcW w:w="36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(4,167 )</w:t>
            </w:r>
          </w:p>
        </w:tc>
      </w:tr>
      <w:tr>
        <w:trPr>
          <w:trHeight w:val="250"/>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redeemable convertible preferred stock, net of</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3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issuance costs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59,735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119,755</w:t>
            </w:r>
          </w:p>
        </w:tc>
        <w:tc>
          <w:tcPr>
            <w:tcW w:w="100" w:type="dxa"/>
            <w:vAlign w:val="bottom"/>
            <w:shd w:val="clear" w:color="auto" w:fill="CFF0FC"/>
          </w:tcPr>
          <w:p>
            <w:pPr>
              <w:spacing w:after="0"/>
              <w:rPr>
                <w:sz w:val="21"/>
                <w:szCs w:val="21"/>
                <w:color w:val="auto"/>
              </w:rPr>
            </w:pPr>
          </w:p>
        </w:tc>
      </w:tr>
      <w:tr>
        <w:trPr>
          <w:trHeight w:val="250"/>
        </w:trPr>
        <w:tc>
          <w:tcPr>
            <w:tcW w:w="7380" w:type="dxa"/>
            <w:vAlign w:val="bottom"/>
          </w:tcPr>
          <w:p>
            <w:pPr>
              <w:ind w:left="20"/>
              <w:spacing w:after="0"/>
              <w:rPr>
                <w:sz w:val="20"/>
                <w:szCs w:val="20"/>
                <w:color w:val="auto"/>
              </w:rPr>
            </w:pPr>
            <w:r>
              <w:rPr>
                <w:rFonts w:ascii="Arial" w:cs="Arial" w:eastAsia="Arial" w:hAnsi="Arial"/>
                <w:sz w:val="18"/>
                <w:szCs w:val="18"/>
                <w:color w:val="auto"/>
              </w:rPr>
              <w:t>Proceeds from exercise of warrants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consideration paid for acquisitions</w:t>
            </w:r>
          </w:p>
        </w:tc>
        <w:tc>
          <w:tcPr>
            <w:tcW w:w="36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(3,800 )</w:t>
            </w:r>
          </w:p>
        </w:tc>
        <w:tc>
          <w:tcPr>
            <w:tcW w:w="3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(1,307 )</w:t>
            </w:r>
          </w:p>
        </w:tc>
      </w:tr>
      <w:tr>
        <w:trPr>
          <w:trHeight w:val="250"/>
        </w:trPr>
        <w:tc>
          <w:tcPr>
            <w:tcW w:w="738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r>
      <w:tr>
        <w:trPr>
          <w:trHeight w:val="250"/>
        </w:trPr>
        <w:tc>
          <w:tcPr>
            <w:tcW w:w="738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324,676</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380" w:type="dxa"/>
            <w:vAlign w:val="bottom"/>
          </w:tcPr>
          <w:p>
            <w:pPr>
              <w:ind w:left="20"/>
              <w:spacing w:after="0"/>
              <w:rPr>
                <w:sz w:val="20"/>
                <w:szCs w:val="20"/>
                <w:color w:val="auto"/>
              </w:rPr>
            </w:pPr>
            <w:r>
              <w:rPr>
                <w:rFonts w:ascii="Arial" w:cs="Arial" w:eastAsia="Arial" w:hAnsi="Arial"/>
                <w:sz w:val="18"/>
                <w:szCs w:val="18"/>
                <w:color w:val="auto"/>
              </w:rPr>
              <w:t>Effect of exchange rates changes on cash and cash equivalents</w:t>
            </w:r>
          </w:p>
        </w:tc>
        <w:tc>
          <w:tcPr>
            <w:tcW w:w="36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(55 )</w:t>
            </w:r>
          </w:p>
        </w:tc>
        <w:tc>
          <w:tcPr>
            <w:tcW w:w="36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(148 )</w:t>
            </w:r>
          </w:p>
        </w:tc>
      </w:tr>
      <w:tr>
        <w:trPr>
          <w:trHeight w:val="256"/>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360" w:type="dxa"/>
            <w:vAlign w:val="bottom"/>
            <w:tcBorders>
              <w:top w:val="single" w:sz="8" w:color="auto"/>
            </w:tcBorders>
            <w:shd w:val="clear" w:color="auto" w:fill="CFF0FC"/>
          </w:tcPr>
          <w:p>
            <w:pPr>
              <w:spacing w:after="0"/>
              <w:rPr>
                <w:sz w:val="22"/>
                <w:szCs w:val="22"/>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344,078</w:t>
            </w:r>
          </w:p>
        </w:tc>
        <w:tc>
          <w:tcPr>
            <w:tcW w:w="280" w:type="dxa"/>
            <w:vAlign w:val="bottom"/>
            <w:shd w:val="clear" w:color="auto" w:fill="CFF0FC"/>
          </w:tcPr>
          <w:p>
            <w:pPr>
              <w:spacing w:after="0"/>
              <w:rPr>
                <w:sz w:val="22"/>
                <w:szCs w:val="22"/>
                <w:color w:val="auto"/>
              </w:rPr>
            </w:pPr>
          </w:p>
        </w:tc>
        <w:tc>
          <w:tcPr>
            <w:tcW w:w="360" w:type="dxa"/>
            <w:vAlign w:val="bottom"/>
            <w:tcBorders>
              <w:top w:val="single" w:sz="8" w:color="auto"/>
            </w:tcBorders>
            <w:shd w:val="clear" w:color="auto" w:fill="CFF0FC"/>
          </w:tcPr>
          <w:p>
            <w:pPr>
              <w:spacing w:after="0"/>
              <w:rPr>
                <w:sz w:val="22"/>
                <w:szCs w:val="22"/>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9,955</w:t>
            </w:r>
          </w:p>
        </w:tc>
        <w:tc>
          <w:tcPr>
            <w:tcW w:w="100" w:type="dxa"/>
            <w:vAlign w:val="bottom"/>
            <w:shd w:val="clear" w:color="auto" w:fill="CFF0FC"/>
          </w:tcPr>
          <w:p>
            <w:pPr>
              <w:spacing w:after="0"/>
              <w:rPr>
                <w:sz w:val="22"/>
                <w:szCs w:val="22"/>
                <w:color w:val="auto"/>
              </w:rPr>
            </w:pPr>
          </w:p>
        </w:tc>
      </w:tr>
      <w:tr>
        <w:trPr>
          <w:trHeight w:val="250"/>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109,052</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86,027</w:t>
            </w:r>
          </w:p>
        </w:tc>
        <w:tc>
          <w:tcPr>
            <w:tcW w:w="100" w:type="dxa"/>
            <w:vAlign w:val="bottom"/>
          </w:tcPr>
          <w:p>
            <w:pPr>
              <w:spacing w:after="0"/>
              <w:rPr>
                <w:sz w:val="21"/>
                <w:szCs w:val="21"/>
                <w:color w:val="auto"/>
              </w:rPr>
            </w:pPr>
          </w:p>
        </w:tc>
      </w:tr>
      <w:tr>
        <w:trPr>
          <w:trHeight w:val="290"/>
        </w:trPr>
        <w:tc>
          <w:tcPr>
            <w:tcW w:w="7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453,130</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95,982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5685790</wp:posOffset>
            </wp:positionH>
            <wp:positionV relativeFrom="paragraph">
              <wp:posOffset>-3630930</wp:posOffset>
            </wp:positionV>
            <wp:extent cx="17970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6859905</wp:posOffset>
            </wp:positionH>
            <wp:positionV relativeFrom="paragraph">
              <wp:posOffset>-3630930</wp:posOffset>
            </wp:positionV>
            <wp:extent cx="6032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5685790</wp:posOffset>
            </wp:positionH>
            <wp:positionV relativeFrom="paragraph">
              <wp:posOffset>-2971165</wp:posOffset>
            </wp:positionV>
            <wp:extent cx="17970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6859905</wp:posOffset>
            </wp:positionH>
            <wp:positionV relativeFrom="paragraph">
              <wp:posOffset>-2971165</wp:posOffset>
            </wp:positionV>
            <wp:extent cx="6032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5685790</wp:posOffset>
            </wp:positionH>
            <wp:positionV relativeFrom="paragraph">
              <wp:posOffset>-699135</wp:posOffset>
            </wp:positionV>
            <wp:extent cx="17970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6859905</wp:posOffset>
            </wp:positionH>
            <wp:positionV relativeFrom="paragraph">
              <wp:posOffset>-699135</wp:posOffset>
            </wp:positionV>
            <wp:extent cx="6032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5685790</wp:posOffset>
            </wp:positionH>
            <wp:positionV relativeFrom="paragraph">
              <wp:posOffset>-24765</wp:posOffset>
            </wp:positionV>
            <wp:extent cx="1797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5685790</wp:posOffset>
            </wp:positionH>
            <wp:positionV relativeFrom="paragraph">
              <wp:posOffset>-8255</wp:posOffset>
            </wp:positionV>
            <wp:extent cx="1797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6859905</wp:posOffset>
            </wp:positionH>
            <wp:positionV relativeFrom="paragraph">
              <wp:posOffset>-24765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6859905</wp:posOffset>
            </wp:positionH>
            <wp:positionV relativeFrom="paragraph">
              <wp:posOffset>-8255</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2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360" w:right="49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(Amounts in thousands)</w:t>
      </w:r>
    </w:p>
    <w:p>
      <w:pPr>
        <w:spacing w:after="0" w:line="240"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Nine Months Ended</w:t>
      </w:r>
    </w:p>
    <w:p>
      <w:pPr>
        <w:spacing w:after="0" w:line="29"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6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disclosures of cash flow and noncash information</w:t>
            </w: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Cash paid during the period for interest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1,465</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Accretion of redeemable convertible preferred stock</w:t>
            </w:r>
          </w:p>
        </w:tc>
        <w:tc>
          <w:tcPr>
            <w:tcW w:w="38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(13 )</w:t>
            </w:r>
          </w:p>
        </w:tc>
        <w:tc>
          <w:tcPr>
            <w:tcW w:w="3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(10 )</w:t>
            </w: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Issuance of common stock warrants</w:t>
            </w:r>
          </w:p>
        </w:tc>
        <w:tc>
          <w:tcPr>
            <w:tcW w:w="380" w:type="dxa"/>
            <w:vAlign w:val="bottom"/>
          </w:tcPr>
          <w:p>
            <w:pPr>
              <w:spacing w:after="0"/>
              <w:rPr>
                <w:sz w:val="21"/>
                <w:szCs w:val="21"/>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Series C convertible preferred stock upon net exercise of warrants</w:t>
            </w: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6,417</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Conversion of preferred stock warrants to common stock warrants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6,272</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Conversion of convertible preferred stock to common stock upon initial</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6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public offering</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116,818</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Conversion of redeemable convertible preferred stock to common stock upon</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660" w:type="dxa"/>
            <w:vAlign w:val="bottom"/>
          </w:tcPr>
          <w:p>
            <w:pPr>
              <w:ind w:left="180"/>
              <w:spacing w:after="0"/>
              <w:rPr>
                <w:sz w:val="20"/>
                <w:szCs w:val="20"/>
                <w:color w:val="auto"/>
              </w:rPr>
            </w:pPr>
            <w:r>
              <w:rPr>
                <w:rFonts w:ascii="Arial" w:cs="Arial" w:eastAsia="Arial" w:hAnsi="Arial"/>
                <w:sz w:val="18"/>
                <w:szCs w:val="18"/>
                <w:color w:val="auto"/>
              </w:rPr>
              <w:t>initial public offering</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179,517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449,130</w:t>
            </w:r>
          </w:p>
        </w:tc>
        <w:tc>
          <w:tcPr>
            <w:tcW w:w="3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95,982</w:t>
            </w:r>
          </w:p>
        </w:tc>
        <w:tc>
          <w:tcPr>
            <w:tcW w:w="100" w:type="dxa"/>
            <w:vAlign w:val="bottom"/>
          </w:tcPr>
          <w:p>
            <w:pPr>
              <w:spacing w:after="0"/>
              <w:rPr>
                <w:sz w:val="21"/>
                <w:szCs w:val="21"/>
                <w:color w:val="auto"/>
              </w:rPr>
            </w:pPr>
          </w:p>
        </w:tc>
      </w:tr>
      <w:tr>
        <w:trPr>
          <w:trHeight w:val="257"/>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6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Cash, cash equivalents and restricted cash</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453,130</w:t>
            </w:r>
          </w:p>
        </w:tc>
        <w:tc>
          <w:tcPr>
            <w:tcW w:w="300" w:type="dxa"/>
            <w:vAlign w:val="bottom"/>
            <w:tcBorders>
              <w:top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95,982</w:t>
            </w:r>
          </w:p>
        </w:tc>
        <w:tc>
          <w:tcPr>
            <w:tcW w:w="100" w:type="dxa"/>
            <w:vAlign w:val="bottom"/>
            <w:tcBorders>
              <w:top w:val="single" w:sz="8" w:color="CFF0FC"/>
            </w:tcBorders>
          </w:tcPr>
          <w:p>
            <w:pPr>
              <w:spacing w:after="0"/>
              <w:rPr>
                <w:sz w:val="21"/>
                <w:szCs w:val="21"/>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-193675</wp:posOffset>
            </wp:positionV>
            <wp:extent cx="17970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Overview and Summary of Significant Accounting Policies</w:t>
      </w:r>
    </w:p>
    <w:p>
      <w:pPr>
        <w:spacing w:after="0" w:line="153" w:lineRule="exact"/>
        <w:rPr>
          <w:sz w:val="20"/>
          <w:szCs w:val="20"/>
          <w:color w:val="auto"/>
        </w:rPr>
      </w:pPr>
    </w:p>
    <w:p>
      <w:pPr>
        <w:ind w:right="580" w:firstLine="509"/>
        <w:spacing w:after="0" w:line="271" w:lineRule="auto"/>
        <w:rPr>
          <w:sz w:val="20"/>
          <w:szCs w:val="20"/>
          <w:color w:val="auto"/>
        </w:rPr>
      </w:pPr>
      <w:r>
        <w:rPr>
          <w:rFonts w:ascii="Arial" w:cs="Arial" w:eastAsia="Arial" w:hAnsi="Arial"/>
          <w:sz w:val="18"/>
          <w:szCs w:val="18"/>
          <w:color w:val="auto"/>
        </w:rPr>
        <w:t>Flywire Corporation (“Flywire” or the “Company”) was incorporated under the laws of the State of Delaware in July 2009 as peerTransfer Corporation. In 2016, the Company changed its name to Flywire Corporation. The Company is headquartered in Boston, Massachusetts and has a global footprint in 11 countries across 5 continents.</w:t>
      </w:r>
    </w:p>
    <w:p>
      <w:pPr>
        <w:spacing w:after="0" w:line="203" w:lineRule="exact"/>
        <w:rPr>
          <w:sz w:val="20"/>
          <w:szCs w:val="20"/>
          <w:color w:val="auto"/>
        </w:rPr>
      </w:pPr>
    </w:p>
    <w:p>
      <w:pPr>
        <w:ind w:right="320" w:firstLine="509"/>
        <w:spacing w:after="0" w:line="269" w:lineRule="auto"/>
        <w:rPr>
          <w:sz w:val="20"/>
          <w:szCs w:val="20"/>
          <w:color w:val="auto"/>
        </w:rPr>
      </w:pPr>
      <w:r>
        <w:rPr>
          <w:rFonts w:ascii="Arial" w:cs="Arial" w:eastAsia="Arial" w:hAnsi="Arial"/>
          <w:sz w:val="18"/>
          <w:szCs w:val="18"/>
          <w:color w:val="auto"/>
        </w:rPr>
        <w:t>Flywire provides a secure global payments platform, offering its clients an innovative and streamlined process to receive reconciled domestic and international payments in a more cost effective and efficient manner. The Company’s solutions are built on three core elements: (i) a payments platform, (ii) a proprietary global payment network, and (iii) vertical-specific software backed by its deep industry expertise.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53" w:lineRule="exact"/>
        <w:rPr>
          <w:sz w:val="20"/>
          <w:szCs w:val="20"/>
          <w:color w:val="auto"/>
        </w:rPr>
      </w:pPr>
    </w:p>
    <w:p>
      <w:pPr>
        <w:jc w:val="both"/>
        <w:ind w:right="620" w:firstLine="509"/>
        <w:spacing w:after="0" w:line="269" w:lineRule="auto"/>
        <w:rPr>
          <w:sz w:val="20"/>
          <w:szCs w:val="20"/>
          <w:color w:val="auto"/>
        </w:rPr>
      </w:pPr>
      <w:r>
        <w:rPr>
          <w:rFonts w:ascii="Arial" w:cs="Arial" w:eastAsia="Arial" w:hAnsi="Arial"/>
          <w:sz w:val="18"/>
          <w:szCs w:val="18"/>
          <w:color w:val="auto"/>
        </w:rPr>
        <w:t>On May 28, 2021, in connection with the Company’s initial public offering (“IPO”), the Company filed an amended and restated certificate of incorporation, which became effective on that date. The amended and restated certificate of incorporation authorized the issuance of 2,000,000,000 shares of voting common stock, 10,000,000 shares of non-voting common stock and 10,000,000 shares of preferred stock. Each class of stock has a par value of $0.0001 per share.</w:t>
      </w:r>
    </w:p>
    <w:p>
      <w:pPr>
        <w:spacing w:after="0" w:line="206" w:lineRule="exact"/>
        <w:rPr>
          <w:sz w:val="20"/>
          <w:szCs w:val="20"/>
          <w:color w:val="auto"/>
        </w:rPr>
      </w:pPr>
    </w:p>
    <w:p>
      <w:pPr>
        <w:ind w:right="40" w:firstLine="509"/>
        <w:spacing w:after="0" w:line="269" w:lineRule="auto"/>
        <w:rPr>
          <w:sz w:val="20"/>
          <w:szCs w:val="20"/>
          <w:color w:val="auto"/>
        </w:rPr>
      </w:pPr>
      <w:r>
        <w:rPr>
          <w:rFonts w:ascii="Arial" w:cs="Arial" w:eastAsia="Arial" w:hAnsi="Arial"/>
          <w:sz w:val="18"/>
          <w:szCs w:val="18"/>
          <w:color w:val="auto"/>
        </w:rPr>
        <w:t>On May 28, 2021, the Company completed its IPO, in which the Company issued and sold 12,006,000 shares of voting common stock at a public offering price of $24.00 per share, which included 1,566,000 shares of voting common stock issued pursuant to the exercise in full of the over-allotment option by the underwriters. The Company received $263.8 million in net proceeds from the IPO, after deducting underwriting discounts and commissions of $19.4 million and other offering costs of $4.9 million.</w:t>
      </w:r>
    </w:p>
    <w:p>
      <w:pPr>
        <w:spacing w:after="0" w:line="206" w:lineRule="exact"/>
        <w:rPr>
          <w:sz w:val="20"/>
          <w:szCs w:val="20"/>
          <w:color w:val="auto"/>
        </w:rPr>
      </w:pPr>
    </w:p>
    <w:p>
      <w:pPr>
        <w:ind w:right="100" w:firstLine="509"/>
        <w:spacing w:after="0" w:line="268" w:lineRule="auto"/>
        <w:rPr>
          <w:sz w:val="20"/>
          <w:szCs w:val="20"/>
          <w:color w:val="auto"/>
        </w:rPr>
      </w:pPr>
      <w:r>
        <w:rPr>
          <w:rFonts w:ascii="Arial" w:cs="Arial" w:eastAsia="Arial" w:hAnsi="Arial"/>
          <w:sz w:val="18"/>
          <w:szCs w:val="18"/>
          <w:color w:val="auto"/>
        </w:rPr>
        <w:t>Immediately prior to the closing of the IPO, all shares of the Company’s outstanding convertible preferred stock and redeemable convertible preferred stock, including 182,467 shares of preferred stock issued upon exercise of a warrant immediately prior to the closing of the IPO, were converted into 68,202,784 shares of common stock. Prior to the closing of the IPO, the Company had warrants to purchase 190,500 shares of its convertible preferred stock outstanding, such warrants were converted immediately prior to the closing of the IPO into warrants to purchase 190,500 shares of the Company’s voting common stock and the associated preferred stock warrant liabilities were re-measured to its fair value of $6.3 million and reclassified to additional paid-in capital.</w:t>
      </w:r>
    </w:p>
    <w:p>
      <w:pPr>
        <w:spacing w:after="0" w:line="206"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Prior to the IPO, deferred offering costs, which consist of legal, accounting, consulting and other direct fees and costs relating to the IPO, were capitalized in other long-term assets. Upon the completion of the IPO, these costs were offset against the proceeds from the IPO and recorded as a reduction to additional paid-in capital.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3" w:lineRule="exact"/>
        <w:rPr>
          <w:sz w:val="20"/>
          <w:szCs w:val="20"/>
          <w:color w:val="auto"/>
        </w:rPr>
      </w:pPr>
    </w:p>
    <w:p>
      <w:pPr>
        <w:ind w:right="20" w:firstLine="509"/>
        <w:spacing w:after="0" w:line="268"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 owned subsidiaries and have been prepared in accordance with generally accepted accounting principles in the United States (“GAAP”) and applicable rules and regulations of the Securities and Exchange Commission (“SEC”) regarding interim financial reporting. The interim unaudited condensed consolidated financial statements have been prepared on the same basis as the annual audited consolidated financial statements and, in the opinion of management, reflect all adjustments, which include only normal recurring adjustments, necessary for the fair statement of the Company’s financial position, results of operations, comprehensive loss, changes in convertible preferred stock, redeemable convertible preferred stock and stockholders’ equity (deficit), and its cash flows for the periods presented.</w:t>
      </w:r>
    </w:p>
    <w:p>
      <w:pPr>
        <w:spacing w:after="0" w:line="205"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The results of operations for the nine months ended September 30, 2021, are not necessarily indicative of results to be expected for the year ended December 31, 2021, any other interim periods or any future year or period. The accompanying consolidated balance sheet as of December 31, 2020 was derived from the Company’s audited consolidated financial statements for the year ended December 31, 2020. Certain information and note disclosures normally included in the annual consolidated financial statements prepared in accordance with GAAP have been condensed or omitted from the interim unaudited condensed consolidated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ind w:right="120" w:firstLine="509"/>
        <w:spacing w:after="0" w:line="271" w:lineRule="auto"/>
        <w:rPr>
          <w:sz w:val="20"/>
          <w:szCs w:val="20"/>
          <w:color w:val="auto"/>
        </w:rPr>
      </w:pPr>
      <w:r>
        <w:rPr>
          <w:rFonts w:ascii="Arial" w:cs="Arial" w:eastAsia="Arial" w:hAnsi="Arial"/>
          <w:sz w:val="18"/>
          <w:szCs w:val="18"/>
          <w:color w:val="auto"/>
        </w:rPr>
        <w:t>These condensed consolidated financial statements should be read in conjunction with the consolidated financial statements and notes included in the Company’s prospectus dated May 25, 2021 and filed with the SEC pursuant to Rule 424(b)(4) under the Securities Act of 1933, as amended on May 26, 2021 (Prospectus).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3"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condensed consolidated financial statements include the accounts of Flywire Corporation and its wholly-owned subsidiaries. All intercompany transactions and balances have been eliminated in consolidation.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53"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For information regarding the Company’s revenue by geographic area, see Note 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53" w:lineRule="exact"/>
        <w:rPr>
          <w:sz w:val="20"/>
          <w:szCs w:val="20"/>
          <w:color w:val="auto"/>
        </w:rPr>
      </w:pPr>
    </w:p>
    <w:p>
      <w:pPr>
        <w:ind w:right="160" w:firstLine="509"/>
        <w:spacing w:after="0" w:line="268" w:lineRule="auto"/>
        <w:rPr>
          <w:sz w:val="20"/>
          <w:szCs w:val="20"/>
          <w:color w:val="auto"/>
        </w:rPr>
      </w:pPr>
      <w:r>
        <w:rPr>
          <w:rFonts w:ascii="Arial" w:cs="Arial" w:eastAsia="Arial" w:hAnsi="Arial"/>
          <w:sz w:val="18"/>
          <w:szCs w:val="18"/>
          <w:color w:val="auto"/>
        </w:rPr>
        <w:t>On March 11, 2020, the World Health Organization (“WHO”) declared the outbreak of a novel coronavirus (“COVID-19”) as a global pandemic. The unprecedented and rapid spread of COVID-19 as well as the shelter-in-place orders, promotion of social distancing measures, restrictions to businesses deemed non-essential, and travel restrictions implemented throughout the United States and globally significantly impacted the verticals in which we have been predominantly focused over the last decade, including payment volumes, sales cycles and time to implementation in those verticals. However, during this period we have not experienced any significant client attrition and our net dollar based retention rate remained strong.</w:t>
      </w:r>
    </w:p>
    <w:p>
      <w:pPr>
        <w:spacing w:after="0" w:line="206" w:lineRule="exact"/>
        <w:rPr>
          <w:sz w:val="20"/>
          <w:szCs w:val="20"/>
          <w:color w:val="auto"/>
        </w:rPr>
      </w:pPr>
    </w:p>
    <w:p>
      <w:pPr>
        <w:ind w:right="80" w:firstLine="509"/>
        <w:spacing w:after="0" w:line="268" w:lineRule="auto"/>
        <w:rPr>
          <w:sz w:val="20"/>
          <w:szCs w:val="20"/>
          <w:color w:val="auto"/>
        </w:rPr>
      </w:pPr>
      <w:r>
        <w:rPr>
          <w:rFonts w:ascii="Arial" w:cs="Arial" w:eastAsia="Arial" w:hAnsi="Arial"/>
          <w:sz w:val="18"/>
          <w:szCs w:val="18"/>
          <w:color w:val="auto"/>
        </w:rPr>
        <w:t>In response to the COVID-19 pandemic, the Company executed a reduction in force in May of 2020, cut corporate bonus programs, eliminated corporate travel and reduced professional service and other fees. Further, the Company implemented remote working capabilities and measures focused on the safety of employees. During the nine-months ended September 30, 2021, the Company observed recoveries in total payment volume and revenue. The growth in both total payment volume and revenue is a result of economies re-opening. Additionally, the Company has resumed hiring across all departments to meet growth and public company challenges. The Company does not currently foresee the need to take additional actions; however, as variants of COVID-19 emerge, the Company continues to evaluate the nature and extent of these potential impacts to the Company's business, consolidated financial statements, and liquidity.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53"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In May 2021, the Company filed an amendment to its amended and restated certificate of incorporation to effect a 3-for-1 forward stock split of its common stock, convertible preferred stock and redeemable convertible preferred stock. In connection with the forward stock split, each issued and outstanding share of common stock, automatically and without action on the part of the holders, became three shares of common stock, each issued and outstanding share of convertible preferred stock, automatically and without action on the part of the holders, became three shares of convertible preferred stock and each issued and outstanding share of redeemable convertible preferred stock, automatically and without action on the part of the holders, became three shares of redeemable convertible preferred stock. The par value per share of common stock, convertible preferred stock and redeemable convertible preferred stock was not adjusted. All references to the convertible preferred stock, redeemable convertible preferred stock, common stock, treasury stock, options to purchase common stock, restricted stock awards, warrants to purchase convertible preferred stock, warrants to purchase common stock, per share amounts and related information contained in the condensed consolidated financial statements have been retroactively adjusted to reflect the effect of the stock split for all periods presented.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3" w:lineRule="exact"/>
        <w:rPr>
          <w:sz w:val="20"/>
          <w:szCs w:val="20"/>
          <w:color w:val="auto"/>
        </w:rPr>
      </w:pPr>
    </w:p>
    <w:p>
      <w:pPr>
        <w:ind w:right="100" w:firstLine="509"/>
        <w:spacing w:after="0" w:line="268"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estimates and assumptions that affect the amounts reported and disclosed in the condensed consolidated financial statements and the accompanying notes. Significant estimates and assumptions reflected in these financial statements include, but are not limited to, the valuation of common stock and stock-based awards prior to the Company’s IPO , the valuation of the preferred stock warrant liability up until the date of the Company’s IPO, impairment assessment of goodwill, intangibles and other long-lived assets, the valuation of acquired intangible assets and their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3" w:name="page14"/>
    <w:bookmarkEnd w:id="13"/>
    <w:p>
      <w:pPr>
        <w:ind w:right="80"/>
        <w:spacing w:after="0" w:line="269" w:lineRule="auto"/>
        <w:rPr>
          <w:sz w:val="20"/>
          <w:szCs w:val="20"/>
          <w:color w:val="auto"/>
        </w:rPr>
      </w:pPr>
      <w:r>
        <w:rPr>
          <w:rFonts w:ascii="Arial" w:cs="Arial" w:eastAsia="Arial" w:hAnsi="Arial"/>
          <w:sz w:val="18"/>
          <w:szCs w:val="18"/>
          <w:color w:val="auto"/>
        </w:rPr>
        <w:t>useful lives, and the valuation of contingent consideration. The Company bases its estimates on historical experience, known trends and other market-specific or other relevant factors that it believes to be reasonable under the circumstances. On an ongoing basis, the Company evaluates its estimates as there are changes in circumstances, facts and experience. Changes in estimates are recorded in the period in which they become known. Actual results may differ from those estimates or assumptions.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Financial Instruments and Significant Clients</w:t>
      </w:r>
    </w:p>
    <w:p>
      <w:pPr>
        <w:spacing w:after="0" w:line="153" w:lineRule="exact"/>
        <w:rPr>
          <w:sz w:val="20"/>
          <w:szCs w:val="20"/>
          <w:color w:val="auto"/>
        </w:rPr>
      </w:pPr>
    </w:p>
    <w:p>
      <w:pPr>
        <w:ind w:right="20" w:firstLine="509"/>
        <w:spacing w:after="0" w:line="268" w:lineRule="auto"/>
        <w:rPr>
          <w:sz w:val="20"/>
          <w:szCs w:val="20"/>
          <w:color w:val="auto"/>
        </w:rPr>
      </w:pPr>
      <w:r>
        <w:rPr>
          <w:rFonts w:ascii="Arial" w:cs="Arial" w:eastAsia="Arial" w:hAnsi="Arial"/>
          <w:sz w:val="18"/>
          <w:szCs w:val="18"/>
          <w:color w:val="auto"/>
        </w:rPr>
        <w:t>Financial instruments that potentially subject the Company to concentration of credit risk consists principally of cash, cash equivalents, accounts receivable and funds receivable from payment partners. The Company maintains its cash and cash equivalents with financial institutions that management believes are of high credit quality. To manage credit risk related to accounts receivable, the Company evaluates credit worthiness of its clients and maintains allowances, to the extent necessary, for potential credit losses based upon the aging of its accounts receivable balances and known collection issues. The Company has not experienced any material credit losses for the three and nine months ended September 30, 2021 and 2020.</w:t>
      </w:r>
    </w:p>
    <w:p>
      <w:pPr>
        <w:spacing w:after="0" w:line="206" w:lineRule="exact"/>
        <w:rPr>
          <w:sz w:val="20"/>
          <w:szCs w:val="20"/>
          <w:color w:val="auto"/>
        </w:rPr>
      </w:pPr>
    </w:p>
    <w:p>
      <w:pPr>
        <w:jc w:val="both"/>
        <w:ind w:right="460" w:firstLine="509"/>
        <w:spacing w:after="0" w:line="271" w:lineRule="auto"/>
        <w:rPr>
          <w:sz w:val="20"/>
          <w:szCs w:val="20"/>
          <w:color w:val="auto"/>
        </w:rPr>
      </w:pPr>
      <w:r>
        <w:rPr>
          <w:rFonts w:ascii="Arial" w:cs="Arial" w:eastAsia="Arial" w:hAnsi="Arial"/>
          <w:sz w:val="18"/>
          <w:szCs w:val="18"/>
          <w:color w:val="auto"/>
        </w:rPr>
        <w:t>The Company has corporate deposit balances with financial institutions which exceed the Federal Deposit Insurance Corporation (“FDIC”) insurance limit of $250,000. As part of the cash management process, the Company performs periodic reviews of the financial institution credit standing.</w:t>
      </w:r>
    </w:p>
    <w:p>
      <w:pPr>
        <w:spacing w:after="0" w:line="203"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Accounts receivable are derived from revenue earned from Clients located in the U.S. and internationally. Significant Clients are those that represent 10% or more of accounts receivable, net as set forth in the following table:</w:t>
      </w:r>
    </w:p>
    <w:p>
      <w:pPr>
        <w:spacing w:after="0" w:line="198"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740" w:type="dxa"/>
            <w:vAlign w:val="bottom"/>
          </w:tcPr>
          <w:p>
            <w:pPr>
              <w:spacing w:after="0"/>
              <w:rPr>
                <w:sz w:val="15"/>
                <w:szCs w:val="15"/>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4740" w:type="dxa"/>
            <w:vAlign w:val="bottom"/>
          </w:tcPr>
          <w:p>
            <w:pPr>
              <w:spacing w:after="0"/>
              <w:rPr>
                <w:sz w:val="17"/>
                <w:szCs w:val="17"/>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7"/>
                <w:szCs w:val="17"/>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7"/>
                <w:szCs w:val="17"/>
                <w:color w:val="auto"/>
              </w:rPr>
            </w:pPr>
          </w:p>
        </w:tc>
      </w:tr>
      <w:tr>
        <w:trPr>
          <w:trHeight w:val="25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Client A</w:t>
            </w: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27 %</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19 %</w:t>
            </w: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Client B</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12 %</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10 %</w:t>
            </w:r>
          </w:p>
        </w:tc>
      </w:tr>
    </w:tbl>
    <w:p>
      <w:pPr>
        <w:spacing w:after="0" w:line="296" w:lineRule="exact"/>
        <w:rPr>
          <w:sz w:val="20"/>
          <w:szCs w:val="20"/>
          <w:color w:val="auto"/>
        </w:rPr>
      </w:pPr>
    </w:p>
    <w:p>
      <w:pPr>
        <w:jc w:val="both"/>
        <w:ind w:right="380" w:firstLine="509"/>
        <w:spacing w:after="0" w:line="271" w:lineRule="auto"/>
        <w:rPr>
          <w:sz w:val="20"/>
          <w:szCs w:val="20"/>
          <w:color w:val="auto"/>
        </w:rPr>
      </w:pPr>
      <w:r>
        <w:rPr>
          <w:rFonts w:ascii="Arial" w:cs="Arial" w:eastAsia="Arial" w:hAnsi="Arial"/>
          <w:sz w:val="18"/>
          <w:szCs w:val="18"/>
          <w:color w:val="auto"/>
        </w:rPr>
        <w:t>Funds receivable from payment partners consist primarily of cash held by the Company’s global payment processing partners that have not yet been remitted to the Company. Significant partners are those that represent 10% or more of funds receivable from payment partners as set forth in the following table:</w:t>
      </w:r>
    </w:p>
    <w:p>
      <w:pPr>
        <w:spacing w:after="0" w:line="204"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740" w:type="dxa"/>
            <w:vAlign w:val="bottom"/>
          </w:tcPr>
          <w:p>
            <w:pPr>
              <w:spacing w:after="0"/>
              <w:rPr>
                <w:sz w:val="15"/>
                <w:szCs w:val="15"/>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4740" w:type="dxa"/>
            <w:vAlign w:val="bottom"/>
          </w:tcPr>
          <w:p>
            <w:pPr>
              <w:spacing w:after="0"/>
              <w:rPr>
                <w:sz w:val="17"/>
                <w:szCs w:val="17"/>
                <w:color w:val="auto"/>
              </w:rPr>
            </w:pPr>
          </w:p>
        </w:tc>
        <w:tc>
          <w:tcPr>
            <w:tcW w:w="12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7"/>
                <w:szCs w:val="17"/>
                <w:color w:val="auto"/>
              </w:rPr>
            </w:pP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7"/>
                <w:szCs w:val="17"/>
                <w:color w:val="auto"/>
              </w:rPr>
            </w:pPr>
          </w:p>
        </w:tc>
      </w:tr>
      <w:tr>
        <w:trPr>
          <w:trHeight w:val="25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Partner A</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24 %</w:t>
            </w:r>
          </w:p>
        </w:tc>
      </w:tr>
      <w:tr>
        <w:trPr>
          <w:trHeight w:val="250"/>
        </w:trPr>
        <w:tc>
          <w:tcPr>
            <w:tcW w:w="4740" w:type="dxa"/>
            <w:vAlign w:val="bottom"/>
          </w:tcPr>
          <w:p>
            <w:pPr>
              <w:spacing w:after="0"/>
              <w:rPr>
                <w:sz w:val="20"/>
                <w:szCs w:val="20"/>
                <w:color w:val="auto"/>
              </w:rPr>
            </w:pPr>
            <w:r>
              <w:rPr>
                <w:rFonts w:ascii="Arial" w:cs="Arial" w:eastAsia="Arial" w:hAnsi="Arial"/>
                <w:sz w:val="18"/>
                <w:szCs w:val="18"/>
                <w:color w:val="auto"/>
              </w:rPr>
              <w:t>Partner B</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10 %</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12 %</w:t>
            </w:r>
          </w:p>
        </w:tc>
      </w:tr>
      <w:tr>
        <w:trPr>
          <w:trHeight w:val="26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Partner C</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10 %</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12 %</w:t>
            </w:r>
          </w:p>
        </w:tc>
      </w:tr>
      <w:tr>
        <w:trPr>
          <w:trHeight w:val="250"/>
        </w:trPr>
        <w:tc>
          <w:tcPr>
            <w:tcW w:w="4740" w:type="dxa"/>
            <w:vAlign w:val="bottom"/>
          </w:tcPr>
          <w:p>
            <w:pPr>
              <w:spacing w:after="0"/>
              <w:rPr>
                <w:sz w:val="20"/>
                <w:szCs w:val="20"/>
                <w:color w:val="auto"/>
              </w:rPr>
            </w:pPr>
            <w:r>
              <w:rPr>
                <w:rFonts w:ascii="Arial" w:cs="Arial" w:eastAsia="Arial" w:hAnsi="Arial"/>
                <w:sz w:val="18"/>
                <w:szCs w:val="18"/>
                <w:color w:val="auto"/>
              </w:rPr>
              <w:t>Partner 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14 %</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r>
      <w:tr>
        <w:trPr>
          <w:trHeight w:val="26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Partner E</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35 %</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6686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9"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than 10% of total balance.</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and nine months ended September 30, 2021 and 2020, no clients accounted for 10% or more of revenue.</w:t>
      </w:r>
    </w:p>
    <w:p>
      <w:pPr>
        <w:spacing w:after="0" w:line="239"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During the three months ended September 30, 2021 and 2020, revenue from clients located outside of the United States in the aggregate accounted for 32.8% and 23.6% of the Company’s revenue, respectively, with the United Kingdom accounting for 18% and 14.9%, respectively and Canada accounting for 9.7% and 6.7%, respectively. No other countries accounted for 10% or more of revenue for the three months ended September 30, 2021 and 2020.</w:t>
      </w:r>
    </w:p>
    <w:p>
      <w:pPr>
        <w:spacing w:after="0" w:line="206"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During the nine months ended September 30, 2021 and 2020, revenue from clients located outside of the United States in the aggregate accounted for 31.8% and 23.3% of the Company’s revenue, respectively, with the United Kingdom accounting for 13% and 12.5%, respectively and Canada accounting for 13.4% and 8.2%, respectively. No other countries accounted for 10% or more of revenue for the nine months ended September 30, 2021 and 2020.</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53"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The Company’s significant accounting policies are discussed in “Index to Consolidated Financial Statements—Note 2. Summary of Significant Accounting Policies” in the Notes to Consolidated Financial Statements contained in the Prospectus. There have been no changes to these policies as described in the Prospectus.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53" w:lineRule="exact"/>
        <w:rPr>
          <w:sz w:val="20"/>
          <w:szCs w:val="20"/>
          <w:color w:val="auto"/>
        </w:rPr>
      </w:pPr>
    </w:p>
    <w:p>
      <w:pPr>
        <w:ind w:right="20" w:firstLine="509"/>
        <w:spacing w:after="0" w:line="269" w:lineRule="auto"/>
        <w:rPr>
          <w:sz w:val="20"/>
          <w:szCs w:val="20"/>
          <w:color w:val="auto"/>
        </w:rPr>
      </w:pPr>
      <w:r>
        <w:rPr>
          <w:rFonts w:ascii="Arial" w:cs="Arial" w:eastAsia="Arial" w:hAnsi="Arial"/>
          <w:sz w:val="18"/>
          <w:szCs w:val="18"/>
          <w:color w:val="auto"/>
        </w:rPr>
        <w:t>The Company capitalized certain legal, accounting and other third-party fees that were directly associated with in-process equity financings as deferred offering costs until such financings were consummated. After consummation of the IPO, these costs were recorded in stockholder’s equity as a reduction of the additional paid-in capital generated as a result of the IPO. There were no deferred offering costs as of September 30,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Developed for Internal Use</w:t>
      </w:r>
    </w:p>
    <w:p>
      <w:pPr>
        <w:spacing w:after="0" w:line="153"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The Company capitalizes costs related to internal-use software during the application development stage including third-party consulting costs and compensation expenses related to employees who devote time to the development of the projects. The Company records software development costs in property and equipment. Costs incurred in the preliminary stages of development activities and post implementation activities are expensed in the period incurred and are included in technology and development expense in the consolidated statements of operations and comprehensive loss. The Company also capitalizes costs related to specific upgrades and enhancements when it is probable the expenditures will result in additional functionality. Once the additional functionality is available for general use, capitalization ceases and the asset begins being amortized. The Company capitalized $6.4 million and $1.8 million in costs related to internal use software as of September 30, 2021 and December 31, 2020, respectively. The Company capitalized $4.6 million and $1.6 million in costs related to internal use software during the nine months ended September 30, 2021 and 2020, respectively. Software developed for internal use is amortized on a straight-line basis over its estimated useful life of five years.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53" w:lineRule="exact"/>
        <w:rPr>
          <w:sz w:val="20"/>
          <w:szCs w:val="20"/>
          <w:color w:val="auto"/>
        </w:rPr>
      </w:pPr>
    </w:p>
    <w:p>
      <w:pPr>
        <w:ind w:right="80" w:firstLine="509"/>
        <w:spacing w:after="0" w:line="269" w:lineRule="auto"/>
        <w:rPr>
          <w:sz w:val="20"/>
          <w:szCs w:val="20"/>
          <w:color w:val="auto"/>
        </w:rPr>
      </w:pPr>
      <w:r>
        <w:rPr>
          <w:rFonts w:ascii="Arial" w:cs="Arial" w:eastAsia="Arial" w:hAnsi="Arial"/>
          <w:sz w:val="18"/>
          <w:szCs w:val="18"/>
          <w:color w:val="auto"/>
        </w:rPr>
        <w:t>Advertising costs are expensed as incurred and are included in selling and marketing expenses in the consolidated statements of operations and comprehensive loss. Advertising expenses for the three months ended September 30, 2021 and 2020 were $0.9 million and $0.3 million, respectively. Advertising expenses for the nine months ended September 30, 2021 and 2020 were $2.0 million and $0.9 million,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53"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53"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following Accounting Standards Updates (“ASUs”) were issued by the Financial Accounting Standards Board (“FASB”) and not yet adopted by Flywire:</w:t>
      </w:r>
    </w:p>
    <w:p>
      <w:pPr>
        <w:spacing w:after="0" w:line="179" w:lineRule="exact"/>
        <w:rPr>
          <w:sz w:val="20"/>
          <w:szCs w:val="20"/>
          <w:color w:val="auto"/>
        </w:rPr>
      </w:pPr>
    </w:p>
    <w:p>
      <w:pPr>
        <w:ind w:right="120" w:firstLine="509"/>
        <w:spacing w:after="0" w:line="270" w:lineRule="auto"/>
        <w:rPr>
          <w:sz w:val="20"/>
          <w:szCs w:val="20"/>
          <w:color w:val="auto"/>
        </w:rPr>
      </w:pPr>
      <w:r>
        <w:rPr>
          <w:rFonts w:ascii="Arial" w:cs="Arial" w:eastAsia="Arial" w:hAnsi="Arial"/>
          <w:sz w:val="18"/>
          <w:szCs w:val="18"/>
          <w:color w:val="auto"/>
        </w:rPr>
        <w:t xml:space="preserve">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subsequent related ASUs: The new lease standard sets out the principles for the recognition, measurement, presentation and disclosure of leases for both parties to a contract (i.e., lessees and lessors). The standard requires lessees to apply a dual approach, classifying leases as either finance or operating leases based on the principle of whether the lease is effectively a financed purchase by the lessee. This classification determines whether lease expense is recognized based on an effective interest method or on a straight-line basis over the term of the lease. In addition, a lessee is required to record (i) a right-of-use asset and a lease liability on its balance sheet for all leases with accounting lease terms of more than 12 months regardless of whether it is an operating or financing lease and (ii) lease expense for operating leases and amortization and interest expense for financing leases. Leases with a term of 12 months or less may be accounted for similar to the prior guidance for operating leases. In 2018, the FASB issued ASU</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5" w:name="page16"/>
    <w:bookmarkEnd w:id="15"/>
    <w:p>
      <w:pPr>
        <w:ind w:right="120"/>
        <w:spacing w:after="0" w:line="269" w:lineRule="auto"/>
        <w:rPr>
          <w:sz w:val="20"/>
          <w:szCs w:val="20"/>
          <w:color w:val="auto"/>
        </w:rPr>
      </w:pPr>
      <w:r>
        <w:rPr>
          <w:rFonts w:ascii="Arial" w:cs="Arial" w:eastAsia="Arial" w:hAnsi="Arial"/>
          <w:sz w:val="18"/>
          <w:szCs w:val="18"/>
          <w:color w:val="auto"/>
        </w:rPr>
        <w:t>2018-11, which added an optional transition method under the new lease standard that allows companies to adopt the standard as of the beginning of the year of adoption as opposed to the earliest comparative period presented. ASU 2016-02 is effective for the Company on January 1, 2022, with early adoption permitted. The Company is currently evaluating the impact of this standard on its consolidated financial statements and disclosures.</w:t>
      </w:r>
    </w:p>
    <w:p>
      <w:pPr>
        <w:spacing w:after="0" w:line="188" w:lineRule="exact"/>
        <w:rPr>
          <w:sz w:val="20"/>
          <w:szCs w:val="20"/>
          <w:color w:val="auto"/>
        </w:rPr>
      </w:pPr>
    </w:p>
    <w:p>
      <w:pPr>
        <w:ind w:firstLine="509"/>
        <w:spacing w:after="0" w:line="274" w:lineRule="auto"/>
        <w:rPr>
          <w:sz w:val="20"/>
          <w:szCs w:val="20"/>
          <w:color w:val="auto"/>
        </w:rPr>
      </w:pPr>
      <w:r>
        <w:rPr>
          <w:rFonts w:ascii="Arial" w:cs="Arial" w:eastAsia="Arial" w:hAnsi="Arial"/>
          <w:sz w:val="18"/>
          <w:szCs w:val="18"/>
          <w:color w:val="auto"/>
        </w:rPr>
        <w:t xml:space="preserve">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ASU simplifies the accounting for income taxes by removing certain exceptions for intra period tax allocations and deferred tax liabilities for equity method investments and adds guidance on whether a step-up in tax basis of goodwill relates to a business combination or a separate transaction. ASU 2019-12 is effective for the Company on January 1, 2022, with early adoption permitted. The Company is currently evaluating the impact of this standard on its consolidated financial statements and disclosures.</w:t>
      </w:r>
    </w:p>
    <w:p>
      <w:pPr>
        <w:spacing w:after="0" w:line="182"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 xml:space="preserve">ASU 2021-04, </w:t>
      </w:r>
      <w:r>
        <w:rPr>
          <w:rFonts w:ascii="Arial" w:cs="Arial" w:eastAsia="Arial" w:hAnsi="Arial"/>
          <w:sz w:val="18"/>
          <w:szCs w:val="18"/>
          <w:i w:val="1"/>
          <w:iCs w:val="1"/>
          <w:color w:val="auto"/>
        </w:rPr>
        <w:t>Earnings Per Share (Topic 260), Debt - Modifications and Extinguishments (Subtopic 470-50), 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(Topic 718), and Derivatives and Hedging - Contracts in Entity’s Own Equity (Subtopic 815-40): </w:t>
      </w:r>
      <w:r>
        <w:rPr>
          <w:rFonts w:ascii="Arial" w:cs="Arial" w:eastAsia="Arial" w:hAnsi="Arial"/>
          <w:sz w:val="18"/>
          <w:szCs w:val="18"/>
          <w:color w:val="auto"/>
        </w:rPr>
        <w:t>ASU 2021-04 requires issuers</w:t>
      </w:r>
      <w:r>
        <w:rPr>
          <w:rFonts w:ascii="Arial" w:cs="Arial" w:eastAsia="Arial" w:hAnsi="Arial"/>
          <w:sz w:val="18"/>
          <w:szCs w:val="18"/>
          <w:i w:val="1"/>
          <w:iCs w:val="1"/>
          <w:color w:val="auto"/>
        </w:rPr>
        <w:t xml:space="preserve"> </w:t>
      </w:r>
      <w:r>
        <w:rPr>
          <w:rFonts w:ascii="Arial" w:cs="Arial" w:eastAsia="Arial" w:hAnsi="Arial"/>
          <w:sz w:val="18"/>
          <w:szCs w:val="18"/>
          <w:color w:val="auto"/>
        </w:rPr>
        <w:t>to account for modifications or exchanges of freestanding equity-classified written call options (e.g., warrants) that remain equity classified after the modification or exchange based on the substance of the modification or exchange (e.g., a financing transaction to raise equity versus one to raise debt). ASU 2021-04 is effective for Flywire on January 1, 2022, with early adoption permitted. The Company is currently evaluating the impact of this standard on its consolidated financial statements and disclosures.</w:t>
      </w:r>
    </w:p>
    <w:p>
      <w:pPr>
        <w:spacing w:after="0" w:line="186" w:lineRule="exact"/>
        <w:rPr>
          <w:sz w:val="20"/>
          <w:szCs w:val="20"/>
          <w:color w:val="auto"/>
        </w:rPr>
      </w:pPr>
    </w:p>
    <w:p>
      <w:pPr>
        <w:ind w:right="620" w:firstLine="509"/>
        <w:spacing w:after="0" w:line="274" w:lineRule="auto"/>
        <w:rPr>
          <w:sz w:val="20"/>
          <w:szCs w:val="20"/>
          <w:color w:val="auto"/>
        </w:rPr>
      </w:pPr>
      <w:r>
        <w:rPr>
          <w:rFonts w:ascii="Arial" w:cs="Arial" w:eastAsia="Arial" w:hAnsi="Arial"/>
          <w:sz w:val="18"/>
          <w:szCs w:val="18"/>
          <w:color w:val="auto"/>
        </w:rPr>
        <w:t xml:space="preserve">ASU 2016-13,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xml:space="preserve"> and subsequent related ASUs: ASU 2016-13 replaces the current incurred loss impairment model that recognizes losses when a probable threshold is met with a requirement to recognize lifetime expected credit losses immediately when a financial asset is originated or purchased. ASU 2016-13 is effective for the Company on January 1, 2023, with early adoption permitted. The Company is currently evaluating the impact of this standard on its consolidated financial statements and disclosures.</w:t>
      </w:r>
    </w:p>
    <w:p>
      <w:pPr>
        <w:spacing w:after="0" w:line="182" w:lineRule="exact"/>
        <w:rPr>
          <w:sz w:val="20"/>
          <w:szCs w:val="20"/>
          <w:color w:val="auto"/>
        </w:rPr>
      </w:pPr>
    </w:p>
    <w:p>
      <w:pPr>
        <w:ind w:right="240" w:firstLine="509"/>
        <w:spacing w:after="0" w:line="293" w:lineRule="auto"/>
        <w:rPr>
          <w:sz w:val="20"/>
          <w:szCs w:val="20"/>
          <w:color w:val="auto"/>
        </w:rPr>
      </w:pPr>
      <w:r>
        <w:rPr>
          <w:rFonts w:ascii="Arial" w:cs="Arial" w:eastAsia="Arial" w:hAnsi="Arial"/>
          <w:sz w:val="17"/>
          <w:szCs w:val="17"/>
          <w:color w:val="auto"/>
        </w:rPr>
        <w:t xml:space="preserve">ASU 2020-06, </w:t>
      </w:r>
      <w:r>
        <w:rPr>
          <w:rFonts w:ascii="Arial" w:cs="Arial" w:eastAsia="Arial" w:hAnsi="Arial"/>
          <w:sz w:val="17"/>
          <w:szCs w:val="17"/>
          <w:i w:val="1"/>
          <w:iCs w:val="1"/>
          <w:color w:val="auto"/>
        </w:rPr>
        <w:t>Debt - Debt with Conversion and Other Options (Subtopic 470-20) and Derivatives and Hedging -Contracts in Entity’s</w:t>
      </w:r>
      <w:r>
        <w:rPr>
          <w:rFonts w:ascii="Arial" w:cs="Arial" w:eastAsia="Arial" w:hAnsi="Arial"/>
          <w:sz w:val="17"/>
          <w:szCs w:val="17"/>
          <w:color w:val="auto"/>
        </w:rPr>
        <w:t xml:space="preserve"> </w:t>
      </w:r>
      <w:r>
        <w:rPr>
          <w:rFonts w:ascii="Arial" w:cs="Arial" w:eastAsia="Arial" w:hAnsi="Arial"/>
          <w:sz w:val="17"/>
          <w:szCs w:val="17"/>
          <w:i w:val="1"/>
          <w:iCs w:val="1"/>
          <w:color w:val="auto"/>
        </w:rPr>
        <w:t>Own Equity (Subtopic 815-40): Accounting for Convertible Instruments and Contracts in an Entity’s Own Equity</w:t>
      </w:r>
      <w:r>
        <w:rPr>
          <w:rFonts w:ascii="Arial" w:cs="Arial" w:eastAsia="Arial" w:hAnsi="Arial"/>
          <w:sz w:val="17"/>
          <w:szCs w:val="17"/>
          <w:color w:val="auto"/>
        </w:rPr>
        <w:t>: ASU 2020-06 reduces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accounting models for convertible debt instruments and convertible preferred stock as well as amends the derivatives scope exception for contracts in an entity’s own equity. ASU 2020-06 is effective for the Company on January 1, 2024, with early adoption permitted. The Company is currently evaluating the impact of this standard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and Recognition</w:t>
      </w:r>
    </w:p>
    <w:p>
      <w:pPr>
        <w:spacing w:after="0" w:line="153"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The following tables present revenue from contracts with clients disaggregated by geographical area and major solutions. The categorization of revenue by geographical location is determined based on where the client resides.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5"/>
                <w:szCs w:val="15"/>
                <w:color w:val="auto"/>
              </w:rPr>
            </w:pPr>
          </w:p>
        </w:tc>
      </w:tr>
      <w:tr>
        <w:trPr>
          <w:trHeight w:val="196"/>
        </w:trPr>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49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0"/>
        </w:trPr>
        <w:tc>
          <w:tcPr>
            <w:tcW w:w="580" w:type="dxa"/>
            <w:vAlign w:val="bottom"/>
          </w:tcPr>
          <w:p>
            <w:pPr>
              <w:spacing w:after="0"/>
              <w:rPr>
                <w:sz w:val="21"/>
                <w:szCs w:val="21"/>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Primary geographical markets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United States (“U.S.”)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45,555</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32,133</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102,093</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75,627</w:t>
            </w:r>
          </w:p>
        </w:tc>
        <w:tc>
          <w:tcPr>
            <w:tcW w:w="8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Canada</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w:t>
            </w:r>
          </w:p>
        </w:tc>
        <w:tc>
          <w:tcPr>
            <w:tcW w:w="2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2,820</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19,407</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8,062</w:t>
            </w:r>
          </w:p>
        </w:tc>
        <w:tc>
          <w:tcPr>
            <w:tcW w:w="80" w:type="dxa"/>
            <w:vAlign w:val="bottom"/>
            <w:shd w:val="clear" w:color="auto" w:fill="CFF0FC"/>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United Kingdom (“U.K.”)</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12,217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6,259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20,104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12,308</w:t>
            </w:r>
          </w:p>
        </w:tc>
        <w:tc>
          <w:tcPr>
            <w:tcW w:w="8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980" w:type="dxa"/>
            <w:vAlign w:val="bottom"/>
            <w:tcBorders>
              <w:bottom w:val="single" w:sz="8" w:color="CFF0FC"/>
            </w:tcBorders>
            <w:gridSpan w:val="2"/>
            <w:shd w:val="clear" w:color="auto" w:fill="CFF0FC"/>
          </w:tcPr>
          <w:p>
            <w:pPr>
              <w:spacing w:after="0" w:line="263" w:lineRule="exact"/>
              <w:rPr>
                <w:sz w:val="20"/>
                <w:szCs w:val="20"/>
                <w:color w:val="auto"/>
              </w:rPr>
            </w:pPr>
            <w:r>
              <w:rPr>
                <w:rFonts w:ascii="Arial" w:cs="Arial" w:eastAsia="Arial" w:hAnsi="Arial"/>
                <w:sz w:val="18"/>
                <w:szCs w:val="18"/>
                <w:color w:val="auto"/>
              </w:rPr>
              <w:t>Other Countries</w:t>
            </w:r>
            <w:r>
              <w:rPr>
                <w:rFonts w:ascii="Arial" w:cs="Arial" w:eastAsia="Arial" w:hAnsi="Arial"/>
                <w:sz w:val="24"/>
                <w:szCs w:val="24"/>
                <w:color w:val="auto"/>
                <w:vertAlign w:val="superscript"/>
              </w:rPr>
              <w:t>1</w:t>
            </w: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3,407</w:t>
            </w:r>
          </w:p>
        </w:tc>
        <w:tc>
          <w:tcPr>
            <w:tcW w:w="2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8,151</w:t>
            </w:r>
          </w:p>
        </w:tc>
        <w:tc>
          <w:tcPr>
            <w:tcW w:w="2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2,555</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4"/>
        </w:trPr>
        <w:tc>
          <w:tcPr>
            <w:tcW w:w="580" w:type="dxa"/>
            <w:vAlign w:val="bottom"/>
          </w:tcPr>
          <w:p>
            <w:pPr>
              <w:spacing w:after="0"/>
              <w:rPr>
                <w:sz w:val="21"/>
                <w:szCs w:val="21"/>
                <w:color w:val="auto"/>
              </w:rPr>
            </w:pPr>
          </w:p>
        </w:tc>
        <w:tc>
          <w:tcPr>
            <w:tcW w:w="4980" w:type="dxa"/>
            <w:vAlign w:val="bottom"/>
            <w:gridSpan w:val="2"/>
          </w:tcPr>
          <w:p>
            <w:pPr>
              <w:ind w:left="26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67,788</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42,086</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149,755</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98,552</w:t>
            </w:r>
          </w:p>
        </w:tc>
        <w:tc>
          <w:tcPr>
            <w:tcW w:w="8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580" w:type="dxa"/>
            <w:vAlign w:val="bottom"/>
          </w:tcPr>
          <w:p>
            <w:pPr>
              <w:spacing w:after="0"/>
              <w:rPr>
                <w:sz w:val="21"/>
                <w:szCs w:val="21"/>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Major solutions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Transactions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53,032</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30,669</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109,715</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67,110</w:t>
            </w:r>
          </w:p>
        </w:tc>
        <w:tc>
          <w:tcPr>
            <w:tcW w:w="80" w:type="dxa"/>
            <w:vAlign w:val="bottom"/>
          </w:tcPr>
          <w:p>
            <w:pPr>
              <w:spacing w:after="0"/>
              <w:rPr>
                <w:sz w:val="21"/>
                <w:szCs w:val="21"/>
                <w:color w:val="auto"/>
              </w:rPr>
            </w:pPr>
          </w:p>
        </w:tc>
      </w:tr>
      <w:tr>
        <w:trPr>
          <w:trHeight w:val="257"/>
        </w:trPr>
        <w:tc>
          <w:tcPr>
            <w:tcW w:w="580" w:type="dxa"/>
            <w:vAlign w:val="bottom"/>
          </w:tcPr>
          <w:p>
            <w:pPr>
              <w:spacing w:after="0"/>
              <w:rPr>
                <w:sz w:val="22"/>
                <w:szCs w:val="22"/>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Platform and usage-based fees</w:t>
            </w: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14,756</w:t>
            </w:r>
          </w:p>
        </w:tc>
        <w:tc>
          <w:tcPr>
            <w:tcW w:w="2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11,417</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40,040</w:t>
            </w:r>
          </w:p>
        </w:tc>
        <w:tc>
          <w:tcPr>
            <w:tcW w:w="2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31,442</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980" w:type="dxa"/>
            <w:vAlign w:val="bottom"/>
            <w:gridSpan w:val="2"/>
          </w:tcPr>
          <w:p>
            <w:pPr>
              <w:ind w:left="26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67,788</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42,086</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149,755</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98,552</w:t>
            </w:r>
          </w:p>
        </w:tc>
        <w:tc>
          <w:tcPr>
            <w:tcW w:w="8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5"/>
        </w:trPr>
        <w:tc>
          <w:tcPr>
            <w:tcW w:w="5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-982345</wp:posOffset>
            </wp:positionV>
            <wp:extent cx="13716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-982345</wp:posOffset>
            </wp:positionV>
            <wp:extent cx="13716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-982345</wp:posOffset>
            </wp:positionV>
            <wp:extent cx="12001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-982345</wp:posOffset>
            </wp:positionV>
            <wp:extent cx="5143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-296545</wp:posOffset>
            </wp:positionV>
            <wp:extent cx="13716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-296545</wp:posOffset>
            </wp:positionV>
            <wp:extent cx="13716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-296545</wp:posOffset>
            </wp:positionV>
            <wp:extent cx="12001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-296545</wp:posOffset>
            </wp:positionV>
            <wp:extent cx="5143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47" w:lineRule="exact"/>
        <w:rPr>
          <w:sz w:val="20"/>
          <w:szCs w:val="20"/>
          <w:color w:val="auto"/>
        </w:rPr>
      </w:pPr>
    </w:p>
    <w:p>
      <w:pPr>
        <w:ind w:left="5520" w:right="3380" w:hanging="5512"/>
        <w:spacing w:after="0" w:line="474" w:lineRule="auto"/>
        <w:tabs>
          <w:tab w:leader="none" w:pos="245"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No single country included in the other countries category represented 10% or more of revenue.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Contract Balances from Contracts with Clients</w:t>
      </w:r>
    </w:p>
    <w:p>
      <w:pPr>
        <w:spacing w:after="0" w:line="153"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The following table provides information about accounts receivable, unbilled receivables and deferred revenue from contracts with clients (in thousands):</w:t>
      </w:r>
    </w:p>
    <w:p>
      <w:pPr>
        <w:spacing w:after="0" w:line="198"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196"/>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ind w:right="196"/>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r>
      <w:tr>
        <w:trPr>
          <w:trHeight w:val="196"/>
        </w:trPr>
        <w:tc>
          <w:tcPr>
            <w:tcW w:w="4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 of allowances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12,949</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11,573</w:t>
            </w:r>
          </w:p>
        </w:tc>
        <w:tc>
          <w:tcPr>
            <w:tcW w:w="80" w:type="dxa"/>
            <w:vAlign w:val="bottom"/>
            <w:shd w:val="clear" w:color="auto" w:fill="CFF0FC"/>
          </w:tcPr>
          <w:p>
            <w:pPr>
              <w:spacing w:after="0"/>
              <w:rPr>
                <w:sz w:val="22"/>
                <w:szCs w:val="22"/>
                <w:color w:val="auto"/>
              </w:rPr>
            </w:pPr>
          </w:p>
        </w:tc>
      </w:tr>
      <w:tr>
        <w:trPr>
          <w:trHeight w:val="250"/>
        </w:trPr>
        <w:tc>
          <w:tcPr>
            <w:tcW w:w="4540" w:type="dxa"/>
            <w:vAlign w:val="bottom"/>
          </w:tcPr>
          <w:p>
            <w:pPr>
              <w:spacing w:after="0"/>
              <w:rPr>
                <w:sz w:val="20"/>
                <w:szCs w:val="20"/>
                <w:color w:val="auto"/>
              </w:rPr>
            </w:pPr>
            <w:r>
              <w:rPr>
                <w:rFonts w:ascii="Arial" w:cs="Arial" w:eastAsia="Arial" w:hAnsi="Arial"/>
                <w:sz w:val="18"/>
                <w:szCs w:val="18"/>
                <w:color w:val="auto"/>
              </w:rPr>
              <w:t>Unbilled receivables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1,698</w:t>
            </w:r>
          </w:p>
        </w:tc>
        <w:tc>
          <w:tcPr>
            <w:tcW w:w="80" w:type="dxa"/>
            <w:vAlign w:val="bottom"/>
          </w:tcPr>
          <w:p>
            <w:pPr>
              <w:spacing w:after="0"/>
              <w:rPr>
                <w:sz w:val="21"/>
                <w:szCs w:val="21"/>
                <w:color w:val="auto"/>
              </w:rPr>
            </w:pPr>
          </w:p>
        </w:tc>
      </w:tr>
      <w:tr>
        <w:trPr>
          <w:trHeight w:val="26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revenue—current</w:t>
            </w:r>
          </w:p>
        </w:tc>
        <w:tc>
          <w:tcPr>
            <w:tcW w:w="18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w:t>
            </w:r>
          </w:p>
        </w:tc>
        <w:tc>
          <w:tcPr>
            <w:tcW w:w="80" w:type="dxa"/>
            <w:vAlign w:val="bottom"/>
            <w:shd w:val="clear" w:color="auto" w:fill="CFF0FC"/>
          </w:tcPr>
          <w:p>
            <w:pPr>
              <w:spacing w:after="0"/>
              <w:rPr>
                <w:sz w:val="22"/>
                <w:szCs w:val="22"/>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Deferred revenue—non-current</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1"/>
                <w:szCs w:val="21"/>
                <w:color w:val="auto"/>
              </w:rPr>
            </w:pPr>
          </w:p>
        </w:tc>
      </w:tr>
    </w:tbl>
    <w:p>
      <w:pPr>
        <w:spacing w:after="0" w:line="256"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For the three months ended September 30, 2021 and 2020, the Company recognized $0.2 million and $0.3 million, respectively, of revenue from amounts that were included in deferred revenue as of June 30, 2021 and 2020. For the nine months ended September 30, 2021 and 2020, the Company recognized $0.9 million and $0.9 million, respectively of revenue from amounts that were included in deferred revenue as of December 31, 2020 and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Allowance for Doubtful Accounts</w:t>
      </w:r>
    </w:p>
    <w:p>
      <w:pPr>
        <w:spacing w:after="0" w:line="153"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Changes in the allowance for doubtful accounts for the three and nine months ended September 30, 2021 and 2020 were as follows (in thousands):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22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 at the beginning of</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the period</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(167 )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(496 )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(481 )</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Provisions</w:t>
            </w:r>
          </w:p>
        </w:tc>
        <w:tc>
          <w:tcPr>
            <w:tcW w:w="2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(10 )</w:t>
            </w:r>
          </w:p>
        </w:tc>
        <w:tc>
          <w:tcPr>
            <w:tcW w:w="36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(87 )</w:t>
            </w:r>
          </w:p>
        </w:tc>
        <w:tc>
          <w:tcPr>
            <w:tcW w:w="2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(90 )</w:t>
            </w:r>
          </w:p>
        </w:tc>
        <w:tc>
          <w:tcPr>
            <w:tcW w:w="38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(332 )</w:t>
            </w:r>
          </w:p>
        </w:tc>
        <w:tc>
          <w:tcPr>
            <w:tcW w:w="0" w:type="dxa"/>
            <w:vAlign w:val="bottom"/>
          </w:tcPr>
          <w:p>
            <w:pPr>
              <w:spacing w:after="0"/>
              <w:rPr>
                <w:sz w:val="1"/>
                <w:szCs w:val="1"/>
                <w:color w:val="auto"/>
              </w:rPr>
            </w:pPr>
          </w:p>
        </w:tc>
      </w:tr>
      <w:tr>
        <w:trPr>
          <w:trHeight w:val="25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Write-offs, net of recoveries</w:t>
            </w: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(8 )</w:t>
            </w: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Allowance for doubtful accounts at the end of the</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(26 )</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(591 )</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(26 )</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(591 )</w:t>
            </w:r>
          </w:p>
        </w:tc>
        <w:tc>
          <w:tcPr>
            <w:tcW w:w="0" w:type="dxa"/>
            <w:vAlign w:val="bottom"/>
          </w:tcPr>
          <w:p>
            <w:pPr>
              <w:spacing w:after="0"/>
              <w:rPr>
                <w:sz w:val="1"/>
                <w:szCs w:val="1"/>
                <w:color w:val="auto"/>
              </w:rPr>
            </w:pPr>
          </w:p>
        </w:tc>
      </w:tr>
      <w:tr>
        <w:trPr>
          <w:trHeight w:val="203"/>
        </w:trPr>
        <w:tc>
          <w:tcPr>
            <w:tcW w:w="4960" w:type="dxa"/>
            <w:vAlign w:val="bottom"/>
          </w:tcPr>
          <w:p>
            <w:pPr>
              <w:ind w:left="160"/>
              <w:spacing w:after="0" w:line="202" w:lineRule="exact"/>
              <w:rPr>
                <w:sz w:val="20"/>
                <w:szCs w:val="20"/>
                <w:color w:val="auto"/>
              </w:rPr>
            </w:pPr>
            <w:r>
              <w:rPr>
                <w:rFonts w:ascii="Arial" w:cs="Arial" w:eastAsia="Arial" w:hAnsi="Arial"/>
                <w:sz w:val="18"/>
                <w:szCs w:val="18"/>
                <w:color w:val="auto"/>
              </w:rPr>
              <w:t>period</w:t>
            </w:r>
          </w:p>
        </w:tc>
        <w:tc>
          <w:tcPr>
            <w:tcW w:w="26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-313690</wp:posOffset>
            </wp:positionV>
            <wp:extent cx="15430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-313690</wp:posOffset>
            </wp:positionV>
            <wp:extent cx="13716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-313690</wp:posOffset>
            </wp:positionV>
            <wp:extent cx="13716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-313690</wp:posOffset>
            </wp:positionV>
            <wp:extent cx="6858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53"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 as of September 30, 2021 and December 31, 2020 (in thousands):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Borders>
              <w:bottom w:val="single" w:sz="8" w:color="auto"/>
            </w:tcBorders>
            <w:gridSpan w:val="17"/>
          </w:tcPr>
          <w:p>
            <w:pPr>
              <w:jc w:val="right"/>
              <w:ind w:right="433"/>
              <w:spacing w:after="0"/>
              <w:rPr>
                <w:sz w:val="20"/>
                <w:szCs w:val="20"/>
                <w:color w:val="auto"/>
              </w:rPr>
            </w:pPr>
            <w:r>
              <w:rPr>
                <w:rFonts w:ascii="Arial" w:cs="Arial" w:eastAsia="Arial" w:hAnsi="Arial"/>
                <w:sz w:val="14"/>
                <w:szCs w:val="14"/>
                <w:b w:val="1"/>
                <w:bCs w:val="1"/>
                <w:color w:val="auto"/>
              </w:rPr>
              <w:t>Fair Value Measurements as of September 30, 2021 Using:</w:t>
            </w:r>
          </w:p>
        </w:tc>
        <w:tc>
          <w:tcPr>
            <w:tcW w:w="80" w:type="dxa"/>
            <w:vAlign w:val="bottom"/>
          </w:tcPr>
          <w:p>
            <w:pPr>
              <w:spacing w:after="0"/>
              <w:rPr>
                <w:sz w:val="17"/>
                <w:szCs w:val="17"/>
                <w:color w:val="auto"/>
              </w:rPr>
            </w:pPr>
          </w:p>
        </w:tc>
      </w:tr>
      <w:tr>
        <w:trPr>
          <w:trHeight w:val="196"/>
        </w:trPr>
        <w:tc>
          <w:tcPr>
            <w:tcW w:w="4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7"/>
                <w:szCs w:val="17"/>
                <w:color w:val="auto"/>
              </w:rPr>
            </w:pPr>
          </w:p>
        </w:tc>
      </w:tr>
      <w:tr>
        <w:trPr>
          <w:trHeight w:val="256"/>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40" w:type="dxa"/>
            <w:vAlign w:val="bottom"/>
          </w:tcPr>
          <w:p>
            <w:pPr>
              <w:spacing w:after="0"/>
              <w:rPr>
                <w:sz w:val="21"/>
                <w:szCs w:val="21"/>
                <w:color w:val="auto"/>
              </w:rPr>
            </w:pPr>
          </w:p>
        </w:tc>
        <w:tc>
          <w:tcPr>
            <w:tcW w:w="900" w:type="dxa"/>
            <w:vAlign w:val="bottom"/>
            <w:tcBorders>
              <w:bottom w:val="single" w:sz="8" w:color="auto"/>
            </w:tcBorders>
          </w:tcPr>
          <w:p>
            <w:pPr>
              <w:jc w:val="right"/>
              <w:ind w:right="702"/>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1"/>
                <w:szCs w:val="21"/>
                <w:color w:val="auto"/>
              </w:rPr>
            </w:pP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90"/>
        </w:trPr>
        <w:tc>
          <w:tcPr>
            <w:tcW w:w="4980" w:type="dxa"/>
            <w:vAlign w:val="bottom"/>
            <w:shd w:val="clear" w:color="auto" w:fill="CFF0FC"/>
          </w:tcPr>
          <w:p>
            <w:pPr>
              <w:spacing w:after="0"/>
              <w:rPr>
                <w:sz w:val="24"/>
                <w:szCs w:val="24"/>
                <w:color w:val="auto"/>
              </w:rPr>
            </w:pPr>
          </w:p>
        </w:tc>
        <w:tc>
          <w:tcPr>
            <w:tcW w:w="940" w:type="dxa"/>
            <w:vAlign w:val="bottom"/>
            <w:gridSpan w:val="2"/>
            <w:shd w:val="clear" w:color="auto" w:fill="CFF0FC"/>
          </w:tcPr>
          <w:p>
            <w:pPr>
              <w:jc w:val="right"/>
              <w:ind w:right="702"/>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FF0FC"/>
          </w:tcPr>
          <w:p>
            <w:pPr>
              <w:jc w:val="right"/>
              <w:ind w:right="659"/>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4"/>
                <w:szCs w:val="24"/>
                <w:color w:val="auto"/>
              </w:rPr>
            </w:pPr>
          </w:p>
        </w:tc>
      </w:tr>
      <w:tr>
        <w:trPr>
          <w:trHeight w:val="237"/>
        </w:trPr>
        <w:tc>
          <w:tcPr>
            <w:tcW w:w="498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Financial Liabilities:</w:t>
            </w:r>
          </w:p>
        </w:tc>
        <w:tc>
          <w:tcPr>
            <w:tcW w:w="40" w:type="dxa"/>
            <w:vAlign w:val="bottom"/>
            <w:tcBorders>
              <w:top w:val="single" w:sz="8" w:color="CFF0FC"/>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r>
      <w:tr>
        <w:trPr>
          <w:trHeight w:val="26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940" w:type="dxa"/>
            <w:vAlign w:val="bottom"/>
            <w:gridSpan w:val="2"/>
            <w:shd w:val="clear" w:color="auto" w:fill="CFF0FC"/>
          </w:tcPr>
          <w:p>
            <w:pPr>
              <w:jc w:val="right"/>
              <w:ind w:right="702"/>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FF0FC"/>
          </w:tcPr>
          <w:p>
            <w:pPr>
              <w:jc w:val="right"/>
              <w:ind w:right="659"/>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4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4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7,580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7,580</w:t>
            </w:r>
          </w:p>
        </w:tc>
        <w:tc>
          <w:tcPr>
            <w:tcW w:w="80" w:type="dxa"/>
            <w:vAlign w:val="bottom"/>
          </w:tcPr>
          <w:p>
            <w:pPr>
              <w:spacing w:after="0"/>
              <w:rPr>
                <w:sz w:val="21"/>
                <w:szCs w:val="21"/>
                <w:color w:val="auto"/>
              </w:rPr>
            </w:pPr>
          </w:p>
        </w:tc>
      </w:tr>
      <w:tr>
        <w:trPr>
          <w:trHeight w:val="290"/>
        </w:trPr>
        <w:tc>
          <w:tcPr>
            <w:tcW w:w="498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ind w:right="702"/>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gridSpan w:val="2"/>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gridSpan w:val="2"/>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7,606</w:t>
            </w:r>
          </w:p>
        </w:tc>
        <w:tc>
          <w:tcPr>
            <w:tcW w:w="180" w:type="dxa"/>
            <w:vAlign w:val="bottom"/>
            <w:tcBorders>
              <w:bottom w:val="single" w:sz="8" w:color="CFF0FC"/>
            </w:tcBorders>
            <w:gridSpan w:val="2"/>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7,606</w:t>
            </w:r>
          </w:p>
        </w:tc>
        <w:tc>
          <w:tcPr>
            <w:tcW w:w="80" w:type="dxa"/>
            <w:vAlign w:val="bottom"/>
            <w:tcBorders>
              <w:bottom w:val="single" w:sz="8" w:color="CFF0FC"/>
            </w:tcBorders>
            <w:shd w:val="clear" w:color="auto" w:fill="CFF0FC"/>
          </w:tcPr>
          <w:p>
            <w:pPr>
              <w:spacing w:after="0"/>
              <w:rPr>
                <w:sz w:val="24"/>
                <w:szCs w:val="24"/>
                <w:color w:val="auto"/>
              </w:rPr>
            </w:pPr>
          </w:p>
        </w:tc>
      </w:tr>
      <w:tr>
        <w:trPr>
          <w:trHeight w:val="413"/>
        </w:trPr>
        <w:tc>
          <w:tcPr>
            <w:tcW w:w="49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17"/>
          </w:tcPr>
          <w:p>
            <w:pPr>
              <w:jc w:val="right"/>
              <w:ind w:right="473"/>
              <w:spacing w:after="0"/>
              <w:rPr>
                <w:sz w:val="20"/>
                <w:szCs w:val="20"/>
                <w:color w:val="auto"/>
              </w:rPr>
            </w:pPr>
            <w:r>
              <w:rPr>
                <w:rFonts w:ascii="Arial" w:cs="Arial" w:eastAsia="Arial" w:hAnsi="Arial"/>
                <w:sz w:val="14"/>
                <w:szCs w:val="14"/>
                <w:b w:val="1"/>
                <w:bCs w:val="1"/>
                <w:color w:val="auto"/>
              </w:rPr>
              <w:t>Fair Value Measurements as of December 31, 2020 Using:</w:t>
            </w:r>
          </w:p>
        </w:tc>
        <w:tc>
          <w:tcPr>
            <w:tcW w:w="80" w:type="dxa"/>
            <w:vAlign w:val="bottom"/>
          </w:tcPr>
          <w:p>
            <w:pPr>
              <w:spacing w:after="0"/>
              <w:rPr>
                <w:sz w:val="24"/>
                <w:szCs w:val="24"/>
                <w:color w:val="auto"/>
              </w:rPr>
            </w:pPr>
          </w:p>
        </w:tc>
      </w:tr>
      <w:tr>
        <w:trPr>
          <w:trHeight w:val="196"/>
        </w:trPr>
        <w:tc>
          <w:tcPr>
            <w:tcW w:w="4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jc w:val="right"/>
              <w:ind w:right="62"/>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7"/>
                <w:szCs w:val="17"/>
                <w:color w:val="auto"/>
              </w:rPr>
            </w:pPr>
          </w:p>
        </w:tc>
      </w:tr>
      <w:tr>
        <w:trPr>
          <w:trHeight w:val="256"/>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40" w:type="dxa"/>
            <w:vAlign w:val="bottom"/>
            <w:tcBorders>
              <w:top w:val="single" w:sz="8" w:color="auto"/>
            </w:tcBorders>
            <w:shd w:val="clear" w:color="auto" w:fill="CFF0FC"/>
          </w:tcPr>
          <w:p>
            <w:pPr>
              <w:spacing w:after="0"/>
              <w:rPr>
                <w:sz w:val="22"/>
                <w:szCs w:val="22"/>
                <w:color w:val="auto"/>
              </w:rPr>
            </w:pPr>
          </w:p>
        </w:tc>
        <w:tc>
          <w:tcPr>
            <w:tcW w:w="900" w:type="dxa"/>
            <w:vAlign w:val="bottom"/>
            <w:tcBorders>
              <w:top w:val="single" w:sz="8" w:color="auto"/>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40" w:type="dxa"/>
            <w:vAlign w:val="bottom"/>
            <w:tcBorders>
              <w:top w:val="single" w:sz="8" w:color="auto"/>
            </w:tcBorders>
            <w:shd w:val="clear" w:color="auto" w:fill="CFF0FC"/>
          </w:tcPr>
          <w:p>
            <w:pPr>
              <w:spacing w:after="0"/>
              <w:rPr>
                <w:sz w:val="22"/>
                <w:szCs w:val="22"/>
                <w:color w:val="auto"/>
              </w:rPr>
            </w:pPr>
          </w:p>
        </w:tc>
        <w:tc>
          <w:tcPr>
            <w:tcW w:w="860" w:type="dxa"/>
            <w:vAlign w:val="bottom"/>
            <w:tcBorders>
              <w:top w:val="single" w:sz="8" w:color="auto"/>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40" w:type="dxa"/>
            <w:vAlign w:val="bottom"/>
            <w:tcBorders>
              <w:top w:val="single" w:sz="8" w:color="auto"/>
            </w:tcBorders>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880" w:type="dxa"/>
            <w:vAlign w:val="bottom"/>
            <w:tcBorders>
              <w:top w:val="single" w:sz="8" w:color="auto"/>
            </w:tcBorders>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0" w:type="dxa"/>
            <w:vAlign w:val="bottom"/>
            <w:tcBorders>
              <w:top w:val="single" w:sz="8" w:color="auto"/>
            </w:tcBorders>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spacing w:after="0"/>
              <w:rPr>
                <w:sz w:val="22"/>
                <w:szCs w:val="22"/>
                <w:color w:val="auto"/>
              </w:rPr>
            </w:pPr>
          </w:p>
        </w:tc>
        <w:tc>
          <w:tcPr>
            <w:tcW w:w="880" w:type="dxa"/>
            <w:vAlign w:val="bottom"/>
            <w:tcBorders>
              <w:top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940" w:type="dxa"/>
            <w:vAlign w:val="bottom"/>
            <w:tcBorders>
              <w:bottom w:val="single" w:sz="8" w:color="auto"/>
            </w:tcBorders>
            <w:gridSpan w:val="2"/>
          </w:tcPr>
          <w:p>
            <w:pPr>
              <w:jc w:val="right"/>
              <w:ind w:right="742"/>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1"/>
                <w:szCs w:val="21"/>
                <w:color w:val="auto"/>
              </w:rPr>
            </w:pPr>
          </w:p>
        </w:tc>
      </w:tr>
      <w:tr>
        <w:trPr>
          <w:trHeight w:val="290"/>
        </w:trPr>
        <w:tc>
          <w:tcPr>
            <w:tcW w:w="4980" w:type="dxa"/>
            <w:vAlign w:val="bottom"/>
            <w:shd w:val="clear" w:color="auto" w:fill="CFF0FC"/>
          </w:tcPr>
          <w:p>
            <w:pPr>
              <w:spacing w:after="0"/>
              <w:rPr>
                <w:sz w:val="24"/>
                <w:szCs w:val="24"/>
                <w:color w:val="auto"/>
              </w:rPr>
            </w:pPr>
          </w:p>
        </w:tc>
        <w:tc>
          <w:tcPr>
            <w:tcW w:w="940" w:type="dxa"/>
            <w:vAlign w:val="bottom"/>
            <w:gridSpan w:val="2"/>
            <w:shd w:val="clear" w:color="auto" w:fill="CFF0FC"/>
          </w:tcPr>
          <w:p>
            <w:pPr>
              <w:jc w:val="right"/>
              <w:ind w:right="74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4"/>
                <w:szCs w:val="24"/>
                <w:color w:val="auto"/>
              </w:rPr>
            </w:pPr>
          </w:p>
        </w:tc>
        <w:tc>
          <w:tcPr>
            <w:tcW w:w="1080" w:type="dxa"/>
            <w:vAlign w:val="bottom"/>
            <w:gridSpan w:val="3"/>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4"/>
                <w:szCs w:val="24"/>
                <w:color w:val="auto"/>
              </w:rPr>
            </w:pPr>
          </w:p>
        </w:tc>
        <w:tc>
          <w:tcPr>
            <w:tcW w:w="38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40" w:type="dxa"/>
            <w:vAlign w:val="bottom"/>
            <w:shd w:val="clear" w:color="auto" w:fill="CFF0FC"/>
          </w:tcPr>
          <w:p>
            <w:pPr>
              <w:spacing w:after="0"/>
              <w:rPr>
                <w:sz w:val="24"/>
                <w:szCs w:val="24"/>
                <w:color w:val="auto"/>
              </w:rPr>
            </w:pPr>
          </w:p>
        </w:tc>
        <w:tc>
          <w:tcPr>
            <w:tcW w:w="42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FF0FC"/>
          </w:tcPr>
          <w:p>
            <w:pPr>
              <w:spacing w:after="0"/>
              <w:rPr>
                <w:sz w:val="24"/>
                <w:szCs w:val="24"/>
                <w:color w:val="auto"/>
              </w:rPr>
            </w:pPr>
          </w:p>
        </w:tc>
      </w:tr>
      <w:tr>
        <w:trPr>
          <w:trHeight w:val="237"/>
        </w:trPr>
        <w:tc>
          <w:tcPr>
            <w:tcW w:w="498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Financial Liabilities:</w:t>
            </w:r>
          </w:p>
        </w:tc>
        <w:tc>
          <w:tcPr>
            <w:tcW w:w="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r>
      <w:tr>
        <w:trPr>
          <w:trHeight w:val="26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warrant liability</w:t>
            </w:r>
          </w:p>
        </w:tc>
        <w:tc>
          <w:tcPr>
            <w:tcW w:w="940" w:type="dxa"/>
            <w:vAlign w:val="bottom"/>
            <w:gridSpan w:val="2"/>
            <w:shd w:val="clear" w:color="auto" w:fill="CFF0FC"/>
          </w:tcPr>
          <w:p>
            <w:pPr>
              <w:jc w:val="right"/>
              <w:ind w:right="74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2"/>
                <w:szCs w:val="22"/>
                <w:color w:val="auto"/>
              </w:rPr>
            </w:pPr>
          </w:p>
        </w:tc>
        <w:tc>
          <w:tcPr>
            <w:tcW w:w="1080" w:type="dxa"/>
            <w:vAlign w:val="bottom"/>
            <w:gridSpan w:val="3"/>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2"/>
                <w:szCs w:val="22"/>
                <w:color w:val="auto"/>
              </w:rPr>
            </w:pPr>
          </w:p>
        </w:tc>
        <w:tc>
          <w:tcPr>
            <w:tcW w:w="38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1,932</w:t>
            </w:r>
          </w:p>
        </w:tc>
        <w:tc>
          <w:tcPr>
            <w:tcW w:w="40" w:type="dxa"/>
            <w:vAlign w:val="bottom"/>
            <w:shd w:val="clear" w:color="auto" w:fill="CFF0FC"/>
          </w:tcPr>
          <w:p>
            <w:pPr>
              <w:spacing w:after="0"/>
              <w:rPr>
                <w:sz w:val="22"/>
                <w:szCs w:val="22"/>
                <w:color w:val="auto"/>
              </w:rPr>
            </w:pPr>
          </w:p>
        </w:tc>
        <w:tc>
          <w:tcPr>
            <w:tcW w:w="42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1,932</w:t>
            </w:r>
          </w:p>
        </w:tc>
        <w:tc>
          <w:tcPr>
            <w:tcW w:w="80" w:type="dxa"/>
            <w:vAlign w:val="bottom"/>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80" w:type="dxa"/>
            <w:vAlign w:val="bottom"/>
          </w:tcPr>
          <w:p>
            <w:pPr>
              <w:spacing w:after="0"/>
              <w:rPr>
                <w:sz w:val="21"/>
                <w:szCs w:val="21"/>
                <w:color w:val="auto"/>
              </w:rPr>
            </w:pPr>
          </w:p>
        </w:tc>
      </w:tr>
      <w:tr>
        <w:trPr>
          <w:trHeight w:val="290"/>
        </w:trPr>
        <w:tc>
          <w:tcPr>
            <w:tcW w:w="49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gridSpan w:val="2"/>
            <w:shd w:val="clear" w:color="auto" w:fill="CFF0FC"/>
          </w:tcPr>
          <w:p>
            <w:pPr>
              <w:jc w:val="right"/>
              <w:ind w:right="742"/>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gridSpan w:val="2"/>
            <w:shd w:val="clear" w:color="auto" w:fill="CFF0FC"/>
          </w:tcPr>
          <w:p>
            <w:pPr>
              <w:jc w:val="right"/>
              <w:ind w:right="699"/>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14,432</w:t>
            </w:r>
          </w:p>
        </w:tc>
        <w:tc>
          <w:tcPr>
            <w:tcW w:w="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14,432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-2339340</wp:posOffset>
            </wp:positionV>
            <wp:extent cx="1371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-2322195</wp:posOffset>
            </wp:positionV>
            <wp:extent cx="137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-2339340</wp:posOffset>
            </wp:positionV>
            <wp:extent cx="1200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-2322195</wp:posOffset>
            </wp:positionV>
            <wp:extent cx="1200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-2339340</wp:posOffset>
            </wp:positionV>
            <wp:extent cx="1200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-2322195</wp:posOffset>
            </wp:positionV>
            <wp:extent cx="1200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-2339340</wp:posOffset>
            </wp:positionV>
            <wp:extent cx="51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-2322195</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-1653540</wp:posOffset>
            </wp:positionV>
            <wp:extent cx="137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-1636395</wp:posOffset>
            </wp:positionV>
            <wp:extent cx="137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-1653540</wp:posOffset>
            </wp:positionV>
            <wp:extent cx="1200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-1636395</wp:posOffset>
            </wp:positionV>
            <wp:extent cx="1200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-1653540</wp:posOffset>
            </wp:positionV>
            <wp:extent cx="1200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-1636395</wp:posOffset>
            </wp:positionV>
            <wp:extent cx="1200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-1653540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-1636395</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-710565</wp:posOffset>
            </wp:positionV>
            <wp:extent cx="137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-693420</wp:posOffset>
            </wp:positionV>
            <wp:extent cx="137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-710565</wp:posOffset>
            </wp:positionV>
            <wp:extent cx="1200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-693420</wp:posOffset>
            </wp:positionV>
            <wp:extent cx="1200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-710565</wp:posOffset>
            </wp:positionV>
            <wp:extent cx="12001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-693420</wp:posOffset>
            </wp:positionV>
            <wp:extent cx="1200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-710565</wp:posOffset>
            </wp:positionV>
            <wp:extent cx="51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-693420</wp:posOffset>
            </wp:positionV>
            <wp:extent cx="51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-24765</wp:posOffset>
            </wp:positionV>
            <wp:extent cx="137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1200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1200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1200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1200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63"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During the three and nine months ended September 30, 2021 and 2020, there were no transfers between Level 1, Level 2 or Level 3.</w:t>
      </w: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84" w:right="419" w:bottom="1118"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153"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Immediately prior to the completion of the IPO, 182,467 preferred stock warrants were exercised for Series C convertible preferred stock in a cashless net exercise. The preferred stock warrants were re-measured to their fair value of $6.4 million on the date of the exercise. The fair value of the warrants was reclassified to convertible preferred stock. Upon the completion of the IPO all of the outstanding convertible preferred stock were converted to common stock.</w:t>
      </w:r>
    </w:p>
    <w:p>
      <w:pPr>
        <w:spacing w:after="0" w:line="206"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Upon the completion of the IPO, the Company’s unexercised preferred stock warrants were converted into common stock warrants and the associated preferred stock warrant liabilities were re-measured to their fair value of $6.3 million and reclassified to additional paid-in capital.</w:t>
      </w:r>
    </w:p>
    <w:p>
      <w:pPr>
        <w:spacing w:after="0" w:line="203"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The preferred stock warrant liability in the table above consists of the pre-IPO fair value of warrants to purchase convertible preferred stock. The fair value of the preferred stock warrant liability was determined using significant inputs not observable in the market, which represent a Level 3 measurement within the fair value hierarchy.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unobservable inputs incorporated into the valuation of contingent consideration:</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3820" w:type="dxa"/>
            <w:vAlign w:val="bottom"/>
          </w:tcPr>
          <w:p>
            <w:pPr>
              <w:spacing w:after="0"/>
              <w:rPr>
                <w:sz w:val="15"/>
                <w:szCs w:val="15"/>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Three Months</w:t>
            </w: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Three Months</w:t>
            </w: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Nine Months</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Nine Months</w:t>
            </w:r>
          </w:p>
        </w:tc>
      </w:tr>
      <w:tr>
        <w:trPr>
          <w:trHeight w:val="175"/>
        </w:trPr>
        <w:tc>
          <w:tcPr>
            <w:tcW w:w="3820" w:type="dxa"/>
            <w:vAlign w:val="bottom"/>
          </w:tcPr>
          <w:p>
            <w:pPr>
              <w:spacing w:after="0"/>
              <w:rPr>
                <w:sz w:val="15"/>
                <w:szCs w:val="15"/>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Ended</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Ended</w:t>
            </w: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Ended</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Ended</w:t>
            </w:r>
          </w:p>
        </w:tc>
      </w:tr>
      <w:tr>
        <w:trPr>
          <w:trHeight w:val="176"/>
        </w:trPr>
        <w:tc>
          <w:tcPr>
            <w:tcW w:w="3820" w:type="dxa"/>
            <w:vAlign w:val="bottom"/>
          </w:tcPr>
          <w:p>
            <w:pPr>
              <w:spacing w:after="0"/>
              <w:rPr>
                <w:sz w:val="15"/>
                <w:szCs w:val="15"/>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September 30,</w:t>
            </w: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September 30,</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382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r>
      <w:tr>
        <w:trPr>
          <w:trHeight w:val="25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5.3 %</w:t>
            </w: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15.7 %</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5.3 %</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15.7 %</w:t>
            </w:r>
          </w:p>
        </w:tc>
      </w:tr>
      <w:tr>
        <w:trPr>
          <w:trHeight w:val="250"/>
        </w:trPr>
        <w:tc>
          <w:tcPr>
            <w:tcW w:w="3820" w:type="dxa"/>
            <w:vAlign w:val="bottom"/>
          </w:tcPr>
          <w:p>
            <w:pPr>
              <w:spacing w:after="0"/>
              <w:rPr>
                <w:sz w:val="20"/>
                <w:szCs w:val="20"/>
                <w:color w:val="auto"/>
              </w:rPr>
            </w:pPr>
            <w:r>
              <w:rPr>
                <w:rFonts w:ascii="Arial" w:cs="Arial" w:eastAsia="Arial" w:hAnsi="Arial"/>
                <w:sz w:val="18"/>
                <w:szCs w:val="18"/>
                <w:color w:val="auto"/>
              </w:rPr>
              <w:t>Probability of successful achievement *</w:t>
            </w:r>
          </w:p>
        </w:tc>
        <w:tc>
          <w:tcPr>
            <w:tcW w:w="1460" w:type="dxa"/>
            <w:vAlign w:val="bottom"/>
          </w:tcPr>
          <w:p>
            <w:pPr>
              <w:jc w:val="right"/>
              <w:spacing w:after="0"/>
              <w:rPr>
                <w:sz w:val="20"/>
                <w:szCs w:val="20"/>
                <w:color w:val="auto"/>
              </w:rPr>
            </w:pPr>
            <w:r>
              <w:rPr>
                <w:rFonts w:ascii="Arial" w:cs="Arial" w:eastAsia="Arial" w:hAnsi="Arial"/>
                <w:sz w:val="18"/>
                <w:szCs w:val="18"/>
                <w:color w:val="auto"/>
              </w:rPr>
              <w:t>0% - 100%</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 - 95%</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 - 100%</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 - 95%</w:t>
            </w:r>
          </w:p>
        </w:tc>
        <w:tc>
          <w:tcPr>
            <w:tcW w:w="280" w:type="dxa"/>
            <w:vAlign w:val="bottom"/>
          </w:tcPr>
          <w:p>
            <w:pPr>
              <w:spacing w:after="0"/>
              <w:rPr>
                <w:sz w:val="21"/>
                <w:szCs w:val="21"/>
                <w:color w:val="auto"/>
              </w:rPr>
            </w:pPr>
          </w:p>
        </w:tc>
      </w:tr>
      <w:tr>
        <w:trPr>
          <w:trHeight w:val="26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Performance period</w:t>
            </w:r>
          </w:p>
        </w:tc>
        <w:tc>
          <w:tcPr>
            <w:tcW w:w="18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 year</w:t>
            </w:r>
          </w:p>
        </w:tc>
        <w:tc>
          <w:tcPr>
            <w:tcW w:w="15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2 years</w:t>
            </w:r>
          </w:p>
        </w:tc>
        <w:tc>
          <w:tcPr>
            <w:tcW w:w="15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 year</w:t>
            </w: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6686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09"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Probability of successful achievement was set at different targets based on the Company’s best estimates on achieving them.</w:t>
      </w:r>
    </w:p>
    <w:p>
      <w:pPr>
        <w:spacing w:after="0" w:line="239" w:lineRule="exact"/>
        <w:rPr>
          <w:sz w:val="20"/>
          <w:szCs w:val="20"/>
          <w:color w:val="auto"/>
        </w:rPr>
      </w:pPr>
    </w:p>
    <w:p>
      <w:pPr>
        <w:jc w:val="both"/>
        <w:ind w:right="120" w:firstLine="509"/>
        <w:spacing w:after="0" w:line="271" w:lineRule="auto"/>
        <w:rPr>
          <w:sz w:val="20"/>
          <w:szCs w:val="20"/>
          <w:color w:val="auto"/>
        </w:rPr>
      </w:pPr>
      <w:r>
        <w:rPr>
          <w:rFonts w:ascii="Arial" w:cs="Arial" w:eastAsia="Arial" w:hAnsi="Arial"/>
          <w:sz w:val="18"/>
          <w:szCs w:val="18"/>
          <w:color w:val="auto"/>
        </w:rPr>
        <w:t>Increases or decreases in any of the probabilities of success in which revenue targets are expected to be achieved would result in a higher or lower fair value measurement, respectively. Increases or decreases in the discount rate would result in a lower or higher fair value measurement, respectively.</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the carrying value of the contingent consideration for the three and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8"/>
              <w:spacing w:after="0"/>
              <w:rPr>
                <w:sz w:val="20"/>
                <w:szCs w:val="20"/>
                <w:color w:val="auto"/>
              </w:rPr>
            </w:pPr>
            <w:r>
              <w:rPr>
                <w:rFonts w:ascii="Arial" w:cs="Arial" w:eastAsia="Arial" w:hAnsi="Arial"/>
                <w:sz w:val="14"/>
                <w:szCs w:val="14"/>
                <w:b w:val="1"/>
                <w:bCs w:val="1"/>
                <w:color w:val="auto"/>
              </w:rPr>
              <w:t>Three Months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58"/>
              <w:spacing w:after="0"/>
              <w:rPr>
                <w:sz w:val="20"/>
                <w:szCs w:val="20"/>
                <w:color w:val="auto"/>
              </w:rPr>
            </w:pPr>
            <w:r>
              <w:rPr>
                <w:rFonts w:ascii="Arial" w:cs="Arial" w:eastAsia="Arial" w:hAnsi="Arial"/>
                <w:sz w:val="14"/>
                <w:szCs w:val="14"/>
                <w:b w:val="1"/>
                <w:bCs w:val="1"/>
                <w:color w:val="auto"/>
              </w:rPr>
              <w:t>Three Months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Nine Months</w:t>
            </w:r>
          </w:p>
        </w:tc>
        <w:tc>
          <w:tcPr>
            <w:tcW w:w="12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Nine Months</w:t>
            </w:r>
          </w:p>
        </w:tc>
      </w:tr>
      <w:tr>
        <w:trPr>
          <w:trHeight w:val="176"/>
        </w:trPr>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38"/>
              <w:spacing w:after="0"/>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58"/>
              <w:spacing w:after="0"/>
              <w:rPr>
                <w:sz w:val="20"/>
                <w:szCs w:val="20"/>
                <w:color w:val="auto"/>
              </w:rPr>
            </w:pPr>
            <w:r>
              <w:rPr>
                <w:rFonts w:ascii="Arial" w:cs="Arial" w:eastAsia="Arial" w:hAnsi="Arial"/>
                <w:sz w:val="14"/>
                <w:szCs w:val="14"/>
                <w:b w:val="1"/>
                <w:bCs w:val="1"/>
                <w:color w:val="auto"/>
              </w:rPr>
              <w:t>Ended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Ended</w:t>
            </w:r>
          </w:p>
        </w:tc>
      </w:tr>
      <w:tr>
        <w:trPr>
          <w:trHeight w:val="175"/>
        </w:trPr>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58"/>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80" w:type="dxa"/>
            <w:vAlign w:val="bottom"/>
          </w:tcPr>
          <w:p>
            <w:pPr>
              <w:spacing w:after="0"/>
              <w:rPr>
                <w:sz w:val="22"/>
                <w:szCs w:val="22"/>
                <w:color w:val="auto"/>
              </w:rPr>
            </w:pPr>
          </w:p>
        </w:tc>
        <w:tc>
          <w:tcPr>
            <w:tcW w:w="4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FF0FC"/>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7,100</w:t>
            </w:r>
          </w:p>
        </w:tc>
        <w:tc>
          <w:tcPr>
            <w:tcW w:w="10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fair value</w:t>
            </w:r>
          </w:p>
        </w:tc>
        <w:tc>
          <w:tcPr>
            <w:tcW w:w="14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4,576</w:t>
            </w:r>
          </w:p>
        </w:tc>
        <w:tc>
          <w:tcPr>
            <w:tcW w:w="100" w:type="dxa"/>
            <w:vAlign w:val="bottom"/>
            <w:shd w:val="clear" w:color="auto" w:fill="CFF0FC"/>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Contingent consideration paid</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(7,012 )</w:t>
            </w:r>
          </w:p>
        </w:tc>
        <w:tc>
          <w:tcPr>
            <w:tcW w:w="12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(2,000 )</w:t>
            </w:r>
          </w:p>
        </w:tc>
      </w:tr>
      <w:tr>
        <w:trPr>
          <w:trHeight w:val="290"/>
        </w:trPr>
        <w:tc>
          <w:tcPr>
            <w:tcW w:w="580" w:type="dxa"/>
            <w:vAlign w:val="bottom"/>
          </w:tcPr>
          <w:p>
            <w:pPr>
              <w:spacing w:after="0"/>
              <w:rPr>
                <w:sz w:val="24"/>
                <w:szCs w:val="24"/>
                <w:color w:val="auto"/>
              </w:rPr>
            </w:pPr>
          </w:p>
        </w:tc>
        <w:tc>
          <w:tcPr>
            <w:tcW w:w="41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7,580</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11,676</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7,580</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49"/>
        </w:trPr>
        <w:tc>
          <w:tcPr>
            <w:tcW w:w="5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-136525</wp:posOffset>
            </wp:positionV>
            <wp:extent cx="137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-119380</wp:posOffset>
            </wp:positionV>
            <wp:extent cx="137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-136525</wp:posOffset>
            </wp:positionV>
            <wp:extent cx="1200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-119380</wp:posOffset>
            </wp:positionV>
            <wp:extent cx="12001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-136525</wp:posOffset>
            </wp:positionV>
            <wp:extent cx="137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-119380</wp:posOffset>
            </wp:positionV>
            <wp:extent cx="137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-136525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-119380</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47" w:lineRule="exact"/>
        <w:rPr>
          <w:sz w:val="20"/>
          <w:szCs w:val="20"/>
          <w:color w:val="auto"/>
        </w:rPr>
      </w:pPr>
    </w:p>
    <w:p>
      <w:pPr>
        <w:ind w:left="760" w:right="20" w:hanging="752"/>
        <w:spacing w:after="0" w:line="269" w:lineRule="auto"/>
        <w:tabs>
          <w:tab w:leader="none" w:pos="411"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of $3.2 million paid in excess of the fair value initially recorded in purchase accounting were classified as operating cash flows in the consolidated statements of cash flows during the nine months ended September 30, 2021. Amounts of $0.7 million paid in excess of fair value initially recorded in purchase accounting were classified as operating cash flows in the consolidated statements of cash flows during the nine months ended September 30, 2020.</w:t>
      </w:r>
    </w:p>
    <w:p>
      <w:pPr>
        <w:spacing w:after="0" w:line="220" w:lineRule="exact"/>
        <w:rPr>
          <w:sz w:val="20"/>
          <w:szCs w:val="20"/>
          <w:color w:val="auto"/>
        </w:rPr>
      </w:pPr>
    </w:p>
    <w:p>
      <w:pPr>
        <w:ind w:left="760" w:right="80" w:hanging="98"/>
        <w:spacing w:after="0" w:line="277" w:lineRule="auto"/>
        <w:rPr>
          <w:sz w:val="20"/>
          <w:szCs w:val="20"/>
          <w:color w:val="auto"/>
        </w:rPr>
      </w:pPr>
      <w:r>
        <w:rPr>
          <w:rFonts w:ascii="Arial" w:cs="Arial" w:eastAsia="Arial" w:hAnsi="Arial"/>
          <w:sz w:val="18"/>
          <w:szCs w:val="18"/>
          <w:color w:val="auto"/>
        </w:rPr>
        <w:t>During the three months ended September 30, 2021, less than $0.1 million was added to contingent consideration liability related to certain earn-out conditions being met in the period related to the asset acquisition completed in April 2021.</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5. Derivative Instruments</w:t>
      </w:r>
    </w:p>
    <w:p>
      <w:pPr>
        <w:spacing w:after="0" w:line="153" w:lineRule="exact"/>
        <w:rPr>
          <w:sz w:val="20"/>
          <w:szCs w:val="20"/>
          <w:color w:val="auto"/>
        </w:rPr>
      </w:pPr>
    </w:p>
    <w:p>
      <w:pPr>
        <w:ind w:right="140" w:firstLine="509"/>
        <w:spacing w:after="0" w:line="267" w:lineRule="auto"/>
        <w:rPr>
          <w:sz w:val="20"/>
          <w:szCs w:val="20"/>
          <w:color w:val="auto"/>
        </w:rPr>
      </w:pPr>
      <w:r>
        <w:rPr>
          <w:rFonts w:ascii="Arial" w:cs="Arial" w:eastAsia="Arial" w:hAnsi="Arial"/>
          <w:sz w:val="18"/>
          <w:szCs w:val="18"/>
          <w:color w:val="auto"/>
        </w:rPr>
        <w:t>As part of the Company’s foreign currency risk management program, the Company uses foreign currency forward contracts to mitigate the volatility related to fluctuations in the foreign exchange rates. These foreign currency forward contracts are not designated as hedging instruments. Derivative transactions such as foreign currency forward contracts are measured in terms of the notional amount; however, this amount is not recorded on the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September 30, 2021 and December 31, 2020, respectively, the Company had 1,305 and 3,647 open foreign exchange contracts. As of September 30, 2021 and December 31, 2020, the Company had foreign currency forward contracts outstanding with a notional amount of $8.9 million and $11.8 million, respectively.</w:t>
      </w:r>
    </w:p>
    <w:p>
      <w:pPr>
        <w:spacing w:after="0" w:line="210"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The Company records all derivative instruments in the condensed consolidated balance sheets at their fair values. As of September 30, 2021, the Company recorded a liability of less than $0.1 million and as of December 31, 2020, the Company recorded an asset of less than $0.1 million related to outstanding foreign exchange contracts. The Company recognized a loss of less than $0.1 million during the three and nine months ended September 30, 2021. The Company recognized a gain of less than $0.1 million during the three and nine months ended September 30, 2020. Gains and losses are included as a component of general and administrative expense within the consolidated statements of operations and comprehensive loss.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Accrued Expenses and Other Current Liabilities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as of the dates presented (in thousands):</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115"/>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r>
      <w:tr>
        <w:trPr>
          <w:trHeight w:val="196"/>
        </w:trPr>
        <w:tc>
          <w:tcPr>
            <w:tcW w:w="48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Accrued employee compensation and related taxes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10,562</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9,371</w:t>
            </w:r>
          </w:p>
        </w:tc>
        <w:tc>
          <w:tcPr>
            <w:tcW w:w="80" w:type="dxa"/>
            <w:vAlign w:val="bottom"/>
            <w:shd w:val="clear" w:color="auto" w:fill="CFF0FC"/>
          </w:tcPr>
          <w:p>
            <w:pPr>
              <w:spacing w:after="0"/>
              <w:rPr>
                <w:sz w:val="22"/>
                <w:szCs w:val="22"/>
                <w:color w:val="auto"/>
              </w:rPr>
            </w:pPr>
          </w:p>
        </w:tc>
      </w:tr>
      <w:tr>
        <w:trPr>
          <w:trHeight w:val="250"/>
        </w:trPr>
        <w:tc>
          <w:tcPr>
            <w:tcW w:w="4840" w:type="dxa"/>
            <w:vAlign w:val="bottom"/>
          </w:tcPr>
          <w:p>
            <w:pPr>
              <w:spacing w:after="0"/>
              <w:rPr>
                <w:sz w:val="20"/>
                <w:szCs w:val="20"/>
                <w:color w:val="auto"/>
              </w:rPr>
            </w:pPr>
            <w:r>
              <w:rPr>
                <w:rFonts w:ascii="Arial" w:cs="Arial" w:eastAsia="Arial" w:hAnsi="Arial"/>
                <w:sz w:val="18"/>
                <w:szCs w:val="18"/>
                <w:color w:val="auto"/>
              </w:rPr>
              <w:t>Accrued vendor liabilities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1,146</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2,542</w:t>
            </w:r>
          </w:p>
        </w:tc>
        <w:tc>
          <w:tcPr>
            <w:tcW w:w="80" w:type="dxa"/>
            <w:vAlign w:val="bottom"/>
          </w:tcPr>
          <w:p>
            <w:pPr>
              <w:spacing w:after="0"/>
              <w:rPr>
                <w:sz w:val="21"/>
                <w:szCs w:val="21"/>
                <w:color w:val="auto"/>
              </w:rPr>
            </w:pPr>
          </w:p>
        </w:tc>
      </w:tr>
      <w:tr>
        <w:trPr>
          <w:trHeight w:val="26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Accrued income taxes payable</w:t>
            </w:r>
          </w:p>
        </w:tc>
        <w:tc>
          <w:tcPr>
            <w:tcW w:w="16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80" w:type="dxa"/>
            <w:vAlign w:val="bottom"/>
            <w:shd w:val="clear" w:color="auto" w:fill="CFF0FC"/>
          </w:tcPr>
          <w:p>
            <w:pPr>
              <w:spacing w:after="0"/>
              <w:rPr>
                <w:sz w:val="22"/>
                <w:szCs w:val="22"/>
                <w:color w:val="auto"/>
              </w:rPr>
            </w:pPr>
          </w:p>
        </w:tc>
      </w:tr>
      <w:tr>
        <w:trPr>
          <w:trHeight w:val="250"/>
        </w:trPr>
        <w:tc>
          <w:tcPr>
            <w:tcW w:w="484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937</w:t>
            </w:r>
          </w:p>
        </w:tc>
        <w:tc>
          <w:tcPr>
            <w:tcW w:w="80" w:type="dxa"/>
            <w:vAlign w:val="bottom"/>
          </w:tcPr>
          <w:p>
            <w:pPr>
              <w:spacing w:after="0"/>
              <w:rPr>
                <w:sz w:val="21"/>
                <w:szCs w:val="21"/>
                <w:color w:val="auto"/>
              </w:rPr>
            </w:pPr>
          </w:p>
        </w:tc>
      </w:tr>
      <w:tr>
        <w:trPr>
          <w:trHeight w:val="257"/>
        </w:trPr>
        <w:tc>
          <w:tcPr>
            <w:tcW w:w="4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accrued expenses and current liabilities</w:t>
            </w:r>
          </w:p>
        </w:tc>
        <w:tc>
          <w:tcPr>
            <w:tcW w:w="16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4,971</w:t>
            </w: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8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18,531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14,991</w:t>
            </w:r>
          </w:p>
        </w:tc>
        <w:tc>
          <w:tcPr>
            <w:tcW w:w="80" w:type="dxa"/>
            <w:vAlign w:val="bottom"/>
          </w:tcPr>
          <w:p>
            <w:pPr>
              <w:spacing w:after="0"/>
              <w:rPr>
                <w:sz w:val="21"/>
                <w:szCs w:val="21"/>
                <w:color w:val="auto"/>
              </w:rPr>
            </w:pPr>
          </w:p>
        </w:tc>
      </w:tr>
      <w:tr>
        <w:trPr>
          <w:trHeight w:val="20"/>
        </w:trPr>
        <w:tc>
          <w:tcPr>
            <w:tcW w:w="4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-193675</wp:posOffset>
            </wp:positionV>
            <wp:extent cx="11112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-193675</wp:posOffset>
            </wp:positionV>
            <wp:extent cx="4318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and Equipment, net</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as of the dates presented (in thousands):</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4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5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FF0FC"/>
          </w:tcPr>
          <w:p>
            <w:pPr>
              <w:spacing w:after="0"/>
              <w:rPr>
                <w:sz w:val="22"/>
                <w:szCs w:val="22"/>
                <w:color w:val="auto"/>
              </w:rPr>
            </w:pPr>
          </w:p>
        </w:tc>
      </w:tr>
      <w:tr>
        <w:trPr>
          <w:trHeight w:val="250"/>
        </w:trPr>
        <w:tc>
          <w:tcPr>
            <w:tcW w:w="4740" w:type="dxa"/>
            <w:vAlign w:val="bottom"/>
          </w:tcPr>
          <w:p>
            <w:pPr>
              <w:spacing w:after="0"/>
              <w:rPr>
                <w:sz w:val="20"/>
                <w:szCs w:val="20"/>
                <w:color w:val="auto"/>
              </w:rPr>
            </w:pPr>
            <w:r>
              <w:rPr>
                <w:rFonts w:ascii="Arial" w:cs="Arial" w:eastAsia="Arial" w:hAnsi="Arial"/>
                <w:sz w:val="18"/>
                <w:szCs w:val="18"/>
                <w:color w:val="auto"/>
              </w:rPr>
              <w:t>Internal use software</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6,418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21"/>
                <w:szCs w:val="21"/>
                <w:color w:val="auto"/>
              </w:rPr>
            </w:pPr>
          </w:p>
        </w:tc>
      </w:tr>
      <w:tr>
        <w:trPr>
          <w:trHeight w:val="26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FF0FC"/>
          </w:tcPr>
          <w:p>
            <w:pPr>
              <w:spacing w:after="0"/>
              <w:rPr>
                <w:sz w:val="22"/>
                <w:szCs w:val="22"/>
                <w:color w:val="auto"/>
              </w:rPr>
            </w:pPr>
          </w:p>
        </w:tc>
      </w:tr>
      <w:tr>
        <w:trPr>
          <w:trHeight w:val="250"/>
        </w:trPr>
        <w:tc>
          <w:tcPr>
            <w:tcW w:w="4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120" w:type="dxa"/>
            <w:vAlign w:val="bottom"/>
          </w:tcPr>
          <w:p>
            <w:pPr>
              <w:spacing w:after="0"/>
              <w:rPr>
                <w:sz w:val="21"/>
                <w:szCs w:val="21"/>
                <w:color w:val="auto"/>
              </w:rPr>
            </w:pPr>
          </w:p>
        </w:tc>
      </w:tr>
      <w:tr>
        <w:trPr>
          <w:trHeight w:val="257"/>
        </w:trPr>
        <w:tc>
          <w:tcPr>
            <w:tcW w:w="47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13,031</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7,920</w:t>
            </w:r>
          </w:p>
        </w:tc>
        <w:tc>
          <w:tcPr>
            <w:tcW w:w="120" w:type="dxa"/>
            <w:vAlign w:val="bottom"/>
            <w:shd w:val="clear" w:color="auto" w:fill="CFF0FC"/>
          </w:tcPr>
          <w:p>
            <w:pPr>
              <w:spacing w:after="0"/>
              <w:rPr>
                <w:sz w:val="22"/>
                <w:szCs w:val="22"/>
                <w:color w:val="auto"/>
              </w:rPr>
            </w:pPr>
          </w:p>
        </w:tc>
      </w:tr>
      <w:tr>
        <w:trPr>
          <w:trHeight w:val="250"/>
        </w:trPr>
        <w:tc>
          <w:tcPr>
            <w:tcW w:w="47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(4,341 )</w:t>
            </w:r>
          </w:p>
        </w:tc>
        <w:tc>
          <w:tcPr>
            <w:tcW w:w="20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(2,819 )</w:t>
            </w:r>
          </w:p>
        </w:tc>
      </w:tr>
      <w:tr>
        <w:trPr>
          <w:trHeight w:val="250"/>
        </w:trPr>
        <w:tc>
          <w:tcPr>
            <w:tcW w:w="47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8,690</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5,101</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-5080</wp:posOffset>
            </wp:positionV>
            <wp:extent cx="13716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-5080</wp:posOffset>
            </wp:positionV>
            <wp:extent cx="685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2"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Depreciation and amortization expense for the three months ended September 30, 2021 and 2020 was $0.4 million and $0.6 million, respectively. Depreciation and amortization expense for the nine months ended September 30, 2021 and 2020 was $1.4 million and $1.6 million, respectively.</w:t>
      </w:r>
    </w:p>
    <w:p>
      <w:pPr>
        <w:spacing w:after="0" w:line="203" w:lineRule="exact"/>
        <w:rPr>
          <w:sz w:val="20"/>
          <w:szCs w:val="20"/>
          <w:color w:val="auto"/>
        </w:rPr>
      </w:pPr>
    </w:p>
    <w:p>
      <w:pPr>
        <w:ind w:right="60" w:firstLine="509"/>
        <w:spacing w:after="0" w:line="269" w:lineRule="auto"/>
        <w:rPr>
          <w:sz w:val="20"/>
          <w:szCs w:val="20"/>
          <w:color w:val="auto"/>
        </w:rPr>
      </w:pPr>
      <w:r>
        <w:rPr>
          <w:rFonts w:ascii="Arial" w:cs="Arial" w:eastAsia="Arial" w:hAnsi="Arial"/>
          <w:sz w:val="18"/>
          <w:szCs w:val="18"/>
          <w:color w:val="auto"/>
        </w:rPr>
        <w:t>There were no sales of property and equipment during the three months ended September 30, 2021. During the nine months ended September 30, 2021, the Company sold $0.1 million of property and equipment with accumulated depreciation of $0.1 million. The Company recognized a gain on the sale of the fixed assets of less than $0.1 million. There were no write offs of assets during the three and nine months ended September 30, 2020.</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9" w:name="page20"/>
    <w:bookmarkEnd w:id="19"/>
    <w:p>
      <w:pPr>
        <w:ind w:right="180" w:firstLine="509"/>
        <w:spacing w:after="0" w:line="269" w:lineRule="auto"/>
        <w:rPr>
          <w:sz w:val="20"/>
          <w:szCs w:val="20"/>
          <w:color w:val="auto"/>
        </w:rPr>
      </w:pPr>
      <w:r>
        <w:rPr>
          <w:rFonts w:ascii="Arial" w:cs="Arial" w:eastAsia="Arial" w:hAnsi="Arial"/>
          <w:sz w:val="18"/>
          <w:szCs w:val="18"/>
          <w:color w:val="auto"/>
        </w:rPr>
        <w:t>As of September 30, 2021 and December 31, 2020, the carrying value of internal-use software was $5.8 million and $1.7 million, respectively. Amortization expense related to internal-use software for the three months ended September 30, 2021 and 2020 was $0.2 million and less than $0.1 million, respectively. Amortization expense related to internal-use software for the nine months ended September 30, 2021 and 2020 was $0.4 million and less than $0.1million, respectively.</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Business Combinations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acquisitions accounted for as business combinations completed in the three and nine months ended September 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Acquisition Completed in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Simplificare Inc.</w:t>
      </w:r>
    </w:p>
    <w:p>
      <w:pPr>
        <w:spacing w:after="0" w:line="257"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On February 13, 2020, the Company completed its acquisition of Simplificare Inc. (“Simplee”), a provider of healthcare payment and collections software. The acquisition of Simplee was intended to further expand the capabilities of the Company and to acquire additional clients in the healthcare market. The acquisition of Simplee has been accounted for as a business combination.</w:t>
      </w:r>
    </w:p>
    <w:p>
      <w:pPr>
        <w:spacing w:after="0" w:line="203" w:lineRule="exact"/>
        <w:rPr>
          <w:sz w:val="20"/>
          <w:szCs w:val="20"/>
          <w:color w:val="auto"/>
        </w:rPr>
      </w:pPr>
    </w:p>
    <w:p>
      <w:pPr>
        <w:ind w:right="780" w:firstLine="509"/>
        <w:spacing w:after="0" w:line="277" w:lineRule="auto"/>
        <w:rPr>
          <w:sz w:val="20"/>
          <w:szCs w:val="20"/>
          <w:color w:val="auto"/>
        </w:rPr>
      </w:pPr>
      <w:r>
        <w:rPr>
          <w:rFonts w:ascii="Arial" w:cs="Arial" w:eastAsia="Arial" w:hAnsi="Arial"/>
          <w:sz w:val="18"/>
          <w:szCs w:val="18"/>
          <w:color w:val="auto"/>
        </w:rPr>
        <w:t>Pursuant to the terms of the agreement, the Company acquired all outstanding equity of Simplee for estimated total purchase consideration of $86.5 million, which consists of (in thousands):</w:t>
      </w:r>
    </w:p>
    <w:p>
      <w:pPr>
        <w:spacing w:after="0" w:line="198" w:lineRule="exact"/>
        <w:rPr>
          <w:sz w:val="20"/>
          <w:szCs w:val="20"/>
          <w:color w:val="auto"/>
        </w:rPr>
      </w:pPr>
    </w:p>
    <w:tbl>
      <w:tblPr>
        <w:tblLayout w:type="fixed"/>
        <w:tblInd w:w="2260" w:type="dxa"/>
        <w:tblCellMar>
          <w:top w:w="0" w:type="dxa"/>
          <w:left w:w="0" w:type="dxa"/>
          <w:bottom w:w="0" w:type="dxa"/>
          <w:right w:w="0" w:type="dxa"/>
        </w:tblCellMar>
      </w:tblPr>
      <w:tr>
        <w:trPr>
          <w:trHeight w:val="257"/>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Cash consideration, net of cash acquired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79,401</w:t>
            </w:r>
          </w:p>
        </w:tc>
        <w:tc>
          <w:tcPr>
            <w:tcW w:w="80" w:type="dxa"/>
            <w:vAlign w:val="bottom"/>
            <w:shd w:val="clear" w:color="auto" w:fill="CFF0FC"/>
          </w:tcPr>
          <w:p>
            <w:pPr>
              <w:spacing w:after="0"/>
              <w:rPr>
                <w:sz w:val="22"/>
                <w:szCs w:val="22"/>
                <w:color w:val="auto"/>
              </w:rPr>
            </w:pPr>
          </w:p>
        </w:tc>
      </w:tr>
      <w:tr>
        <w:trPr>
          <w:trHeight w:val="250"/>
        </w:trPr>
        <w:tc>
          <w:tcPr>
            <w:tcW w:w="5460" w:type="dxa"/>
            <w:vAlign w:val="bottom"/>
          </w:tcPr>
          <w:p>
            <w:pPr>
              <w:spacing w:after="0"/>
              <w:rPr>
                <w:sz w:val="20"/>
                <w:szCs w:val="20"/>
                <w:color w:val="auto"/>
              </w:rPr>
            </w:pPr>
            <w:r>
              <w:rPr>
                <w:rFonts w:ascii="Arial" w:cs="Arial" w:eastAsia="Arial" w:hAnsi="Arial"/>
                <w:sz w:val="18"/>
                <w:szCs w:val="18"/>
                <w:color w:val="auto"/>
              </w:rPr>
              <w:t>Estimated fair value of contingent consideration</w:t>
            </w: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w:t>
            </w:r>
          </w:p>
        </w:tc>
        <w:tc>
          <w:tcPr>
            <w:tcW w:w="80" w:type="dxa"/>
            <w:vAlign w:val="bottom"/>
          </w:tcPr>
          <w:p>
            <w:pPr>
              <w:spacing w:after="0"/>
              <w:rPr>
                <w:sz w:val="21"/>
                <w:szCs w:val="21"/>
                <w:color w:val="auto"/>
              </w:rPr>
            </w:pPr>
          </w:p>
        </w:tc>
      </w:tr>
      <w:tr>
        <w:trPr>
          <w:trHeight w:val="290"/>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consideration, net of cash acquired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86,501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63" w:lineRule="exact"/>
        <w:rPr>
          <w:sz w:val="20"/>
          <w:szCs w:val="20"/>
          <w:color w:val="auto"/>
        </w:rPr>
      </w:pPr>
    </w:p>
    <w:p>
      <w:pPr>
        <w:ind w:right="60" w:firstLine="509"/>
        <w:spacing w:after="0" w:line="267" w:lineRule="auto"/>
        <w:rPr>
          <w:sz w:val="20"/>
          <w:szCs w:val="20"/>
          <w:color w:val="auto"/>
        </w:rPr>
      </w:pPr>
      <w:r>
        <w:rPr>
          <w:rFonts w:ascii="Arial" w:cs="Arial" w:eastAsia="Arial" w:hAnsi="Arial"/>
          <w:sz w:val="18"/>
          <w:szCs w:val="18"/>
          <w:color w:val="auto"/>
        </w:rPr>
        <w:t>Contingent consideration represents additional payments that the Company may be required to make in the future, which totals up to $20.0 million depending on the Company reaching certain revenue and integration targets established for the years ended December 31, 2020 and 2021, as well as retaining key clients. A portion of the contingent consideration is also tied to continuing employment of certain key employees; accordingly, $2.1 million has been excluded from the purchase price allocation. During the three months ended September 30, 2021 and 2020, the Company expensed $0.3 million and $0.3 million, respectively in personnel costs associated with the contingent consideration. During the nine months ended September 30, 2021 and 2020, the Company expensed $0.8 million and $0.8 million, respectively. These personnel costs associated with contingent consideration are expensed in the Company’s consolidated statements of operations and comprehensive loss and a liability is included in accrued expenses and other current liabilities on the consolidated balance sheet. The contingent consideration is payable at the one-year and two-year acquisition anniversary dates based on the prior year results.</w:t>
      </w:r>
    </w:p>
    <w:p>
      <w:pPr>
        <w:spacing w:after="0" w:line="209"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The Company incurred $1.9 million in transaction costs related to the Simplee acquisition, of which $1.3 million was incurred during the nine months ended September 30, 2020. No costs were incurred during the three months ended September 30, 2021 and 2020, or nine months ended September 30, 2021. Additionally, the Company incurred retention costs to compensate employees of Simplee for future services. These costs were included in personnel expense in the Company’s consolidated statements of operations and comprehensive loss. During the three months ended September 30, 2021 and 2020, the Company incurred $0.7 million and $0.8 million of retention costs, respectively. During the nine months ended September 30, 2021 and 2020, the Company incurred $2.4 million and $2.7 million of retention costs, respectively.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0" w:name="page21"/>
    <w:bookmarkEnd w:id="20"/>
    <w:p>
      <w:pPr>
        <w:ind w:right="500" w:firstLine="509"/>
        <w:spacing w:after="0" w:line="277" w:lineRule="auto"/>
        <w:rPr>
          <w:sz w:val="20"/>
          <w:szCs w:val="20"/>
          <w:color w:val="auto"/>
        </w:rPr>
      </w:pPr>
      <w:r>
        <w:rPr>
          <w:rFonts w:ascii="Arial" w:cs="Arial" w:eastAsia="Arial" w:hAnsi="Arial"/>
          <w:sz w:val="18"/>
          <w:szCs w:val="18"/>
          <w:color w:val="auto"/>
        </w:rPr>
        <w:t>The following table summarizes the allocation of the purchase consideration to the fair value of the assets acquired and liabilities assumed (in thousands):</w:t>
      </w:r>
    </w:p>
    <w:p>
      <w:pPr>
        <w:spacing w:after="0" w:line="198" w:lineRule="exact"/>
        <w:rPr>
          <w:sz w:val="20"/>
          <w:szCs w:val="20"/>
          <w:color w:val="auto"/>
        </w:rPr>
      </w:pPr>
    </w:p>
    <w:tbl>
      <w:tblPr>
        <w:tblLayout w:type="fixed"/>
        <w:tblInd w:w="2260" w:type="dxa"/>
        <w:tblCellMar>
          <w:top w:w="0" w:type="dxa"/>
          <w:left w:w="0" w:type="dxa"/>
          <w:bottom w:w="0" w:type="dxa"/>
          <w:right w:w="0" w:type="dxa"/>
        </w:tblCellMar>
      </w:tblPr>
      <w:tr>
        <w:trPr>
          <w:trHeight w:val="257"/>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2,190</w:t>
            </w:r>
          </w:p>
        </w:tc>
        <w:tc>
          <w:tcPr>
            <w:tcW w:w="80" w:type="dxa"/>
            <w:vAlign w:val="bottom"/>
            <w:shd w:val="clear" w:color="auto" w:fill="CFF0FC"/>
          </w:tcPr>
          <w:p>
            <w:pPr>
              <w:spacing w:after="0"/>
              <w:rPr>
                <w:sz w:val="22"/>
                <w:szCs w:val="22"/>
                <w:color w:val="auto"/>
              </w:rPr>
            </w:pPr>
          </w:p>
        </w:tc>
      </w:tr>
      <w:tr>
        <w:trPr>
          <w:trHeight w:val="250"/>
        </w:trPr>
        <w:tc>
          <w:tcPr>
            <w:tcW w:w="546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8,555</w:t>
            </w:r>
          </w:p>
        </w:tc>
        <w:tc>
          <w:tcPr>
            <w:tcW w:w="80" w:type="dxa"/>
            <w:vAlign w:val="bottom"/>
          </w:tcPr>
          <w:p>
            <w:pPr>
              <w:spacing w:after="0"/>
              <w:rPr>
                <w:sz w:val="21"/>
                <w:szCs w:val="21"/>
                <w:color w:val="auto"/>
              </w:rPr>
            </w:pPr>
          </w:p>
        </w:tc>
      </w:tr>
      <w:tr>
        <w:trPr>
          <w:trHeight w:val="26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w:t>
            </w:r>
          </w:p>
        </w:tc>
        <w:tc>
          <w:tcPr>
            <w:tcW w:w="80" w:type="dxa"/>
            <w:vAlign w:val="bottom"/>
            <w:shd w:val="clear" w:color="auto" w:fill="CFF0FC"/>
          </w:tcPr>
          <w:p>
            <w:pPr>
              <w:spacing w:after="0"/>
              <w:rPr>
                <w:sz w:val="22"/>
                <w:szCs w:val="22"/>
                <w:color w:val="auto"/>
              </w:rPr>
            </w:pPr>
          </w:p>
        </w:tc>
      </w:tr>
      <w:tr>
        <w:trPr>
          <w:trHeight w:val="250"/>
        </w:trPr>
        <w:tc>
          <w:tcPr>
            <w:tcW w:w="54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1"/>
                <w:szCs w:val="21"/>
                <w:color w:val="auto"/>
              </w:rPr>
            </w:pPr>
          </w:p>
        </w:tc>
      </w:tr>
      <w:tr>
        <w:trPr>
          <w:trHeight w:val="26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6,587</w:t>
            </w:r>
          </w:p>
        </w:tc>
        <w:tc>
          <w:tcPr>
            <w:tcW w:w="80" w:type="dxa"/>
            <w:vAlign w:val="bottom"/>
            <w:shd w:val="clear" w:color="auto" w:fill="CFF0FC"/>
          </w:tcPr>
          <w:p>
            <w:pPr>
              <w:spacing w:after="0"/>
              <w:rPr>
                <w:sz w:val="22"/>
                <w:szCs w:val="22"/>
                <w:color w:val="auto"/>
              </w:rPr>
            </w:pPr>
          </w:p>
        </w:tc>
      </w:tr>
      <w:tr>
        <w:trPr>
          <w:trHeight w:val="250"/>
        </w:trPr>
        <w:tc>
          <w:tcPr>
            <w:tcW w:w="546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31,696</w:t>
            </w:r>
          </w:p>
        </w:tc>
        <w:tc>
          <w:tcPr>
            <w:tcW w:w="80" w:type="dxa"/>
            <w:vAlign w:val="bottom"/>
          </w:tcPr>
          <w:p>
            <w:pPr>
              <w:spacing w:after="0"/>
              <w:rPr>
                <w:sz w:val="21"/>
                <w:szCs w:val="21"/>
                <w:color w:val="auto"/>
              </w:rPr>
            </w:pPr>
          </w:p>
        </w:tc>
      </w:tr>
      <w:tr>
        <w:trPr>
          <w:trHeight w:val="26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58,800</w:t>
            </w:r>
          </w:p>
        </w:tc>
        <w:tc>
          <w:tcPr>
            <w:tcW w:w="80" w:type="dxa"/>
            <w:vAlign w:val="bottom"/>
            <w:shd w:val="clear" w:color="auto" w:fill="CFF0FC"/>
          </w:tcPr>
          <w:p>
            <w:pPr>
              <w:spacing w:after="0"/>
              <w:rPr>
                <w:sz w:val="22"/>
                <w:szCs w:val="22"/>
                <w:color w:val="auto"/>
              </w:rPr>
            </w:pPr>
          </w:p>
        </w:tc>
      </w:tr>
      <w:tr>
        <w:trPr>
          <w:trHeight w:val="250"/>
        </w:trPr>
        <w:tc>
          <w:tcPr>
            <w:tcW w:w="5460" w:type="dxa"/>
            <w:vAlign w:val="bottom"/>
          </w:tcPr>
          <w:p>
            <w:pPr>
              <w:ind w:left="260"/>
              <w:spacing w:after="0"/>
              <w:rPr>
                <w:sz w:val="20"/>
                <w:szCs w:val="20"/>
                <w:color w:val="auto"/>
              </w:rPr>
            </w:pPr>
            <w:r>
              <w:rPr>
                <w:rFonts w:ascii="Arial" w:cs="Arial" w:eastAsia="Arial" w:hAnsi="Arial"/>
                <w:sz w:val="18"/>
                <w:szCs w:val="18"/>
                <w:color w:val="auto"/>
              </w:rPr>
              <w:t>Total assets acquired</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109,513</w:t>
            </w:r>
          </w:p>
        </w:tc>
        <w:tc>
          <w:tcPr>
            <w:tcW w:w="80" w:type="dxa"/>
            <w:vAlign w:val="bottom"/>
          </w:tcPr>
          <w:p>
            <w:pPr>
              <w:spacing w:after="0"/>
              <w:rPr>
                <w:sz w:val="21"/>
                <w:szCs w:val="21"/>
                <w:color w:val="auto"/>
              </w:rPr>
            </w:pPr>
          </w:p>
        </w:tc>
      </w:tr>
      <w:tr>
        <w:trPr>
          <w:trHeight w:val="257"/>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15,092</w:t>
            </w:r>
          </w:p>
        </w:tc>
        <w:tc>
          <w:tcPr>
            <w:tcW w:w="80" w:type="dxa"/>
            <w:vAlign w:val="bottom"/>
            <w:shd w:val="clear" w:color="auto" w:fill="CFF0FC"/>
          </w:tcPr>
          <w:p>
            <w:pPr>
              <w:spacing w:after="0"/>
              <w:rPr>
                <w:sz w:val="22"/>
                <w:szCs w:val="22"/>
                <w:color w:val="auto"/>
              </w:rPr>
            </w:pPr>
          </w:p>
        </w:tc>
      </w:tr>
      <w:tr>
        <w:trPr>
          <w:trHeight w:val="250"/>
        </w:trPr>
        <w:tc>
          <w:tcPr>
            <w:tcW w:w="546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2,267</w:t>
            </w:r>
          </w:p>
        </w:tc>
        <w:tc>
          <w:tcPr>
            <w:tcW w:w="80" w:type="dxa"/>
            <w:vAlign w:val="bottom"/>
          </w:tcPr>
          <w:p>
            <w:pPr>
              <w:spacing w:after="0"/>
              <w:rPr>
                <w:sz w:val="21"/>
                <w:szCs w:val="21"/>
                <w:color w:val="auto"/>
              </w:rPr>
            </w:pPr>
          </w:p>
        </w:tc>
      </w:tr>
      <w:tr>
        <w:trPr>
          <w:trHeight w:val="26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3,463</w:t>
            </w:r>
          </w:p>
        </w:tc>
        <w:tc>
          <w:tcPr>
            <w:tcW w:w="80" w:type="dxa"/>
            <w:vAlign w:val="bottom"/>
            <w:shd w:val="clear" w:color="auto" w:fill="CFF0FC"/>
          </w:tcPr>
          <w:p>
            <w:pPr>
              <w:spacing w:after="0"/>
              <w:rPr>
                <w:sz w:val="22"/>
                <w:szCs w:val="22"/>
                <w:color w:val="auto"/>
              </w:rPr>
            </w:pPr>
          </w:p>
        </w:tc>
      </w:tr>
      <w:tr>
        <w:trPr>
          <w:trHeight w:val="250"/>
        </w:trPr>
        <w:tc>
          <w:tcPr>
            <w:tcW w:w="5460" w:type="dxa"/>
            <w:vAlign w:val="bottom"/>
          </w:tcPr>
          <w:p>
            <w:pPr>
              <w:ind w:left="260"/>
              <w:spacing w:after="0"/>
              <w:rPr>
                <w:sz w:val="20"/>
                <w:szCs w:val="20"/>
                <w:color w:val="auto"/>
              </w:rPr>
            </w:pPr>
            <w:r>
              <w:rPr>
                <w:rFonts w:ascii="Arial" w:cs="Arial" w:eastAsia="Arial" w:hAnsi="Arial"/>
                <w:sz w:val="18"/>
                <w:szCs w:val="18"/>
                <w:color w:val="auto"/>
              </w:rPr>
              <w:t>Total liabilities assumed</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20,822</w:t>
            </w:r>
          </w:p>
        </w:tc>
        <w:tc>
          <w:tcPr>
            <w:tcW w:w="80" w:type="dxa"/>
            <w:vAlign w:val="bottom"/>
          </w:tcPr>
          <w:p>
            <w:pPr>
              <w:spacing w:after="0"/>
              <w:rPr>
                <w:sz w:val="21"/>
                <w:szCs w:val="21"/>
                <w:color w:val="auto"/>
              </w:rPr>
            </w:pPr>
          </w:p>
        </w:tc>
      </w:tr>
      <w:tr>
        <w:trPr>
          <w:trHeight w:val="257"/>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3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88,691</w:t>
            </w:r>
          </w:p>
        </w:tc>
        <w:tc>
          <w:tcPr>
            <w:tcW w:w="80" w:type="dxa"/>
            <w:vAlign w:val="bottom"/>
            <w:shd w:val="clear" w:color="auto" w:fill="CFF0FC"/>
          </w:tcPr>
          <w:p>
            <w:pPr>
              <w:spacing w:after="0"/>
              <w:rPr>
                <w:sz w:val="22"/>
                <w:szCs w:val="22"/>
                <w:color w:val="auto"/>
              </w:rPr>
            </w:pPr>
          </w:p>
        </w:tc>
      </w:tr>
      <w:tr>
        <w:trPr>
          <w:trHeight w:val="250"/>
        </w:trPr>
        <w:tc>
          <w:tcPr>
            <w:tcW w:w="5460" w:type="dxa"/>
            <w:vAlign w:val="bottom"/>
          </w:tcPr>
          <w:p>
            <w:pPr>
              <w:ind w:left="260"/>
              <w:spacing w:after="0"/>
              <w:rPr>
                <w:sz w:val="20"/>
                <w:szCs w:val="20"/>
                <w:color w:val="auto"/>
              </w:rPr>
            </w:pPr>
            <w:r>
              <w:rPr>
                <w:rFonts w:ascii="Arial" w:cs="Arial" w:eastAsia="Arial" w:hAnsi="Arial"/>
                <w:sz w:val="18"/>
                <w:szCs w:val="18"/>
                <w:color w:val="auto"/>
              </w:rPr>
              <w:t>Less: cash acquired</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80" w:type="dxa"/>
            <w:vAlign w:val="bottom"/>
          </w:tcPr>
          <w:p>
            <w:pPr>
              <w:spacing w:after="0"/>
              <w:rPr>
                <w:sz w:val="21"/>
                <w:szCs w:val="21"/>
                <w:color w:val="auto"/>
              </w:rPr>
            </w:pPr>
          </w:p>
        </w:tc>
      </w:tr>
      <w:tr>
        <w:trPr>
          <w:trHeight w:val="290"/>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less cash acquired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86,501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63"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Goodwill arising from the acquisition of $31.7 million was attributable to the workforce of Simplee and the synergies expected to arise from the acquisition. The Company expects that no goodwill from this acquisition will be deductible for income tax purposes.</w:t>
      </w:r>
    </w:p>
    <w:p>
      <w:pPr>
        <w:spacing w:after="0" w:line="197"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The following table reflects the estimated fair values of the identified intangible assets of Simplee and their respective weighted-average estimated amortization periods.</w:t>
      </w:r>
    </w:p>
    <w:p>
      <w:pPr>
        <w:spacing w:after="0" w:line="198"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5"/>
                <w:szCs w:val="15"/>
                <w:color w:val="auto"/>
              </w:rPr>
            </w:pPr>
          </w:p>
        </w:tc>
      </w:tr>
      <w:tr>
        <w:trPr>
          <w:trHeight w:val="175"/>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5"/>
                <w:szCs w:val="15"/>
                <w:color w:val="auto"/>
              </w:rPr>
            </w:pPr>
          </w:p>
        </w:tc>
      </w:tr>
      <w:tr>
        <w:trPr>
          <w:trHeight w:val="176"/>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5"/>
                <w:szCs w:val="15"/>
                <w:color w:val="auto"/>
              </w:rPr>
            </w:pPr>
          </w:p>
        </w:tc>
      </w:tr>
      <w:tr>
        <w:trPr>
          <w:trHeight w:val="175"/>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59"/>
              <w:spacing w:after="0"/>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r>
      <w:tr>
        <w:trPr>
          <w:trHeight w:val="196"/>
        </w:trPr>
        <w:tc>
          <w:tcPr>
            <w:tcW w:w="5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Fair Values</w:t>
            </w:r>
          </w:p>
        </w:tc>
        <w:tc>
          <w:tcPr>
            <w:tcW w:w="22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Periods</w:t>
            </w:r>
          </w:p>
        </w:tc>
        <w:tc>
          <w:tcPr>
            <w:tcW w:w="120" w:type="dxa"/>
            <w:vAlign w:val="bottom"/>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59"/>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7"/>
                <w:szCs w:val="17"/>
                <w:color w:val="auto"/>
              </w:rPr>
            </w:pPr>
          </w:p>
        </w:tc>
      </w:tr>
      <w:tr>
        <w:trPr>
          <w:trHeight w:val="262"/>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10,500</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22"/>
                <w:szCs w:val="22"/>
                <w:color w:val="auto"/>
              </w:rPr>
            </w:pPr>
          </w:p>
        </w:tc>
      </w:tr>
      <w:tr>
        <w:trPr>
          <w:trHeight w:val="257"/>
        </w:trPr>
        <w:tc>
          <w:tcPr>
            <w:tcW w:w="5040" w:type="dxa"/>
            <w:vAlign w:val="bottom"/>
          </w:tcPr>
          <w:p>
            <w:pPr>
              <w:spacing w:after="0"/>
              <w:rPr>
                <w:sz w:val="20"/>
                <w:szCs w:val="20"/>
                <w:color w:val="auto"/>
              </w:rPr>
            </w:pPr>
            <w:r>
              <w:rPr>
                <w:rFonts w:ascii="Arial" w:cs="Arial" w:eastAsia="Arial" w:hAnsi="Arial"/>
                <w:sz w:val="18"/>
                <w:szCs w:val="18"/>
                <w:color w:val="auto"/>
              </w:rPr>
              <w:t>Client relationships</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r>
      <w:tr>
        <w:trPr>
          <w:trHeight w:val="283"/>
        </w:trPr>
        <w:tc>
          <w:tcPr>
            <w:tcW w:w="50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58,800</w:t>
            </w:r>
          </w:p>
        </w:tc>
        <w:tc>
          <w:tcPr>
            <w:tcW w:w="2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-24765</wp:posOffset>
            </wp:positionV>
            <wp:extent cx="1454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1454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263" w:lineRule="exact"/>
        <w:rPr>
          <w:sz w:val="20"/>
          <w:szCs w:val="20"/>
          <w:color w:val="auto"/>
        </w:rPr>
      </w:pPr>
    </w:p>
    <w:p>
      <w:pPr>
        <w:ind w:right="160" w:firstLine="509"/>
        <w:spacing w:after="0" w:line="268" w:lineRule="auto"/>
        <w:rPr>
          <w:sz w:val="20"/>
          <w:szCs w:val="20"/>
          <w:color w:val="auto"/>
        </w:rPr>
      </w:pPr>
      <w:r>
        <w:rPr>
          <w:rFonts w:ascii="Arial" w:cs="Arial" w:eastAsia="Arial" w:hAnsi="Arial"/>
          <w:sz w:val="18"/>
          <w:szCs w:val="18"/>
          <w:color w:val="auto"/>
        </w:rPr>
        <w:t>The results of Simplee have been included in the consolidated financial statements since the date of acquisition. Simplee’s consolidated revenue included in the consolidated financial statements for the three months ended September 30, 2020 was $9.1 million. Simplee’s consolidated revenue included in the consolidated financial statements since the acquisition date for the nine months ended September 30, 2020 was $25.3 million. The Company has not disclosed net loss since the acquisition date through September 30, 2020 as the business was fully integrated into the consolidated Company’s operations and therefore it was impracticable to determine this amount.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Unaudited Pro Forma Financial Information</w:t>
      </w:r>
    </w:p>
    <w:p>
      <w:pPr>
        <w:spacing w:after="0" w:line="131"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The following unaudited pro forma financial information shows the results of the Company’s operations for the three and nine months ended September 30, 2020 as if the acquisition had occurred on January 1, 2019.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Simplee. The unaudited pro forma information reflects the effects of applying the Company’s accounting policies and certain pro forma adjustments to the combined historical financial information of the Company and Simplee. The pro forma adjustments include:</w:t>
      </w:r>
    </w:p>
    <w:p>
      <w:pPr>
        <w:spacing w:after="0" w:line="98" w:lineRule="exact"/>
        <w:rPr>
          <w:sz w:val="20"/>
          <w:szCs w:val="20"/>
          <w:color w:val="auto"/>
        </w:rPr>
      </w:pPr>
    </w:p>
    <w:p>
      <w:pPr>
        <w:ind w:left="1600" w:right="320"/>
        <w:spacing w:after="0" w:line="277" w:lineRule="auto"/>
        <w:rPr>
          <w:sz w:val="20"/>
          <w:szCs w:val="20"/>
          <w:color w:val="auto"/>
        </w:rPr>
      </w:pPr>
      <w:r>
        <w:rPr>
          <w:rFonts w:ascii="Arial" w:cs="Arial" w:eastAsia="Arial" w:hAnsi="Arial"/>
          <w:sz w:val="18"/>
          <w:szCs w:val="18"/>
          <w:color w:val="auto"/>
        </w:rPr>
        <w:t>incremental amortization expense associated with the estimated fair value of identified intangible assets and property and equipment;</w:t>
      </w:r>
    </w:p>
    <w:p>
      <w:pPr>
        <w:spacing w:after="0" w:line="89" w:lineRule="exact"/>
        <w:rPr>
          <w:sz w:val="20"/>
          <w:szCs w:val="20"/>
          <w:color w:val="auto"/>
        </w:rPr>
      </w:pPr>
    </w:p>
    <w:p>
      <w:pPr>
        <w:ind w:left="1600" w:right="320"/>
        <w:spacing w:after="0" w:line="277" w:lineRule="auto"/>
        <w:rPr>
          <w:sz w:val="20"/>
          <w:szCs w:val="20"/>
          <w:color w:val="auto"/>
        </w:rPr>
      </w:pPr>
      <w:r>
        <w:rPr>
          <w:rFonts w:ascii="Arial" w:cs="Arial" w:eastAsia="Arial" w:hAnsi="Arial"/>
          <w:sz w:val="18"/>
          <w:szCs w:val="18"/>
          <w:color w:val="auto"/>
        </w:rPr>
        <w:t>revenue and cost of revenue adjustments as a result of the reduction in deferred revenue and the cost related to their estimated fair value;</w:t>
      </w:r>
    </w:p>
    <w:p>
      <w:pPr>
        <w:spacing w:after="0" w:line="8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incremental employee compensation expense for Simplee employees; and</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21" w:name="page22"/>
    <w:bookmarkEnd w:id="21"/>
    <w:p>
      <w:pPr>
        <w:ind w:left="1600"/>
        <w:spacing w:after="0"/>
        <w:rPr>
          <w:sz w:val="20"/>
          <w:szCs w:val="20"/>
          <w:color w:val="auto"/>
        </w:rPr>
      </w:pPr>
      <w:r>
        <w:rPr>
          <w:rFonts w:ascii="Arial" w:cs="Arial" w:eastAsia="Arial" w:hAnsi="Arial"/>
          <w:sz w:val="18"/>
          <w:szCs w:val="18"/>
          <w:color w:val="auto"/>
        </w:rPr>
        <w:t>the estimated tax impact of the above items.</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center"/>
              <w:ind w:right="199"/>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17"/>
                <w:szCs w:val="17"/>
                <w:color w:val="auto"/>
              </w:rPr>
            </w:pPr>
          </w:p>
        </w:tc>
      </w:tr>
      <w:tr>
        <w:trPr>
          <w:trHeight w:val="175"/>
        </w:trPr>
        <w:tc>
          <w:tcPr>
            <w:tcW w:w="4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Pro</w:t>
            </w:r>
          </w:p>
        </w:tc>
      </w:tr>
      <w:tr>
        <w:trPr>
          <w:trHeight w:val="196"/>
        </w:trPr>
        <w:tc>
          <w:tcPr>
            <w:tcW w:w="4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Actual</w:t>
            </w: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Forma</w:t>
            </w:r>
          </w:p>
        </w:tc>
        <w:tc>
          <w:tcPr>
            <w:tcW w:w="120" w:type="dxa"/>
            <w:vAlign w:val="bottom"/>
          </w:tcPr>
          <w:p>
            <w:pPr>
              <w:spacing w:after="0"/>
              <w:rPr>
                <w:sz w:val="17"/>
                <w:szCs w:val="17"/>
                <w:color w:val="auto"/>
              </w:rPr>
            </w:pPr>
          </w:p>
        </w:tc>
      </w:tr>
      <w:tr>
        <w:trPr>
          <w:trHeight w:val="196"/>
        </w:trPr>
        <w:tc>
          <w:tcPr>
            <w:tcW w:w="4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3"/>
          </w:tcPr>
          <w:p>
            <w:pPr>
              <w:jc w:val="center"/>
              <w:ind w:left="542"/>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98,552</w:t>
            </w:r>
          </w:p>
        </w:tc>
        <w:tc>
          <w:tcPr>
            <w:tcW w:w="20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103,038</w:t>
            </w:r>
          </w:p>
        </w:tc>
        <w:tc>
          <w:tcPr>
            <w:tcW w:w="120" w:type="dxa"/>
            <w:vAlign w:val="bottom"/>
            <w:shd w:val="clear" w:color="auto" w:fill="CFF0FC"/>
          </w:tcPr>
          <w:p>
            <w:pPr>
              <w:spacing w:after="0"/>
              <w:rPr>
                <w:sz w:val="22"/>
                <w:szCs w:val="22"/>
                <w:color w:val="auto"/>
              </w:rPr>
            </w:pP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(7,076 )</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(8,631 )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Acquired Intangible Assets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changes in the carrying amount of goodwill for the three and nine months ended September 30,</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2021 and 2020 (in thousands):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820" w:type="dxa"/>
            <w:vAlign w:val="bottom"/>
          </w:tcPr>
          <w:p>
            <w:pPr>
              <w:spacing w:after="0"/>
              <w:rPr>
                <w:sz w:val="15"/>
                <w:szCs w:val="15"/>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Three Months</w:t>
            </w: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Nine Months</w:t>
            </w:r>
          </w:p>
        </w:tc>
        <w:tc>
          <w:tcPr>
            <w:tcW w:w="120" w:type="dxa"/>
            <w:vAlign w:val="bottom"/>
          </w:tcPr>
          <w:p>
            <w:pPr>
              <w:spacing w:after="0"/>
              <w:rPr>
                <w:sz w:val="15"/>
                <w:szCs w:val="15"/>
                <w:color w:val="auto"/>
              </w:rPr>
            </w:pPr>
          </w:p>
        </w:tc>
        <w:tc>
          <w:tcPr>
            <w:tcW w:w="1000" w:type="dxa"/>
            <w:vAlign w:val="bottom"/>
          </w:tcPr>
          <w:p>
            <w:pPr>
              <w:jc w:val="center"/>
              <w:ind w:right="38"/>
              <w:spacing w:after="0"/>
              <w:rPr>
                <w:sz w:val="20"/>
                <w:szCs w:val="20"/>
                <w:color w:val="auto"/>
              </w:rPr>
            </w:pPr>
            <w:r>
              <w:rPr>
                <w:rFonts w:ascii="Arial" w:cs="Arial" w:eastAsia="Arial" w:hAnsi="Arial"/>
                <w:sz w:val="14"/>
                <w:szCs w:val="14"/>
                <w:b w:val="1"/>
                <w:bCs w:val="1"/>
                <w:color w:val="auto"/>
              </w:rPr>
              <w:t>Nine Months</w:t>
            </w:r>
          </w:p>
        </w:tc>
        <w:tc>
          <w:tcPr>
            <w:tcW w:w="80" w:type="dxa"/>
            <w:vAlign w:val="bottom"/>
          </w:tcPr>
          <w:p>
            <w:pPr>
              <w:spacing w:after="0"/>
              <w:rPr>
                <w:sz w:val="15"/>
                <w:szCs w:val="15"/>
                <w:color w:val="auto"/>
              </w:rPr>
            </w:pPr>
          </w:p>
        </w:tc>
      </w:tr>
      <w:tr>
        <w:trPr>
          <w:trHeight w:val="176"/>
        </w:trPr>
        <w:tc>
          <w:tcPr>
            <w:tcW w:w="4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5"/>
                <w:szCs w:val="15"/>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5"/>
                <w:szCs w:val="15"/>
                <w:color w:val="auto"/>
              </w:rPr>
            </w:pPr>
          </w:p>
        </w:tc>
        <w:tc>
          <w:tcPr>
            <w:tcW w:w="1000" w:type="dxa"/>
            <w:vAlign w:val="bottom"/>
          </w:tcPr>
          <w:p>
            <w:pPr>
              <w:jc w:val="center"/>
              <w:ind w:right="38"/>
              <w:spacing w:after="0"/>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5"/>
                <w:szCs w:val="15"/>
                <w:color w:val="auto"/>
              </w:rPr>
            </w:pPr>
          </w:p>
        </w:tc>
      </w:tr>
      <w:tr>
        <w:trPr>
          <w:trHeight w:val="175"/>
        </w:trPr>
        <w:tc>
          <w:tcPr>
            <w:tcW w:w="4820" w:type="dxa"/>
            <w:vAlign w:val="bottom"/>
          </w:tcPr>
          <w:p>
            <w:pPr>
              <w:spacing w:after="0"/>
              <w:rPr>
                <w:sz w:val="15"/>
                <w:szCs w:val="15"/>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13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r>
      <w:tr>
        <w:trPr>
          <w:trHeight w:val="196"/>
        </w:trPr>
        <w:tc>
          <w:tcPr>
            <w:tcW w:w="4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44,656</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44,833</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44,650</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12,924</w:t>
            </w:r>
          </w:p>
        </w:tc>
        <w:tc>
          <w:tcPr>
            <w:tcW w:w="80" w:type="dxa"/>
            <w:vAlign w:val="bottom"/>
            <w:shd w:val="clear" w:color="auto" w:fill="CFF0FC"/>
          </w:tcPr>
          <w:p>
            <w:pPr>
              <w:spacing w:after="0"/>
              <w:rPr>
                <w:sz w:val="22"/>
                <w:szCs w:val="22"/>
                <w:color w:val="auto"/>
              </w:rPr>
            </w:pPr>
          </w:p>
        </w:tc>
      </w:tr>
      <w:tr>
        <w:trPr>
          <w:trHeight w:val="250"/>
        </w:trPr>
        <w:tc>
          <w:tcPr>
            <w:tcW w:w="4820" w:type="dxa"/>
            <w:vAlign w:val="bottom"/>
          </w:tcPr>
          <w:p>
            <w:pPr>
              <w:spacing w:after="0"/>
              <w:rPr>
                <w:sz w:val="20"/>
                <w:szCs w:val="20"/>
                <w:color w:val="auto"/>
              </w:rPr>
            </w:pPr>
            <w:r>
              <w:rPr>
                <w:rFonts w:ascii="Arial" w:cs="Arial" w:eastAsia="Arial" w:hAnsi="Arial"/>
                <w:sz w:val="18"/>
                <w:szCs w:val="18"/>
                <w:color w:val="auto"/>
              </w:rPr>
              <w:t>Goodwill related to Simplee acquisition</w:t>
            </w:r>
          </w:p>
        </w:tc>
        <w:tc>
          <w:tcPr>
            <w:tcW w:w="2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31,696</w:t>
            </w:r>
          </w:p>
        </w:tc>
        <w:tc>
          <w:tcPr>
            <w:tcW w:w="80" w:type="dxa"/>
            <w:vAlign w:val="bottom"/>
          </w:tcPr>
          <w:p>
            <w:pPr>
              <w:spacing w:after="0"/>
              <w:rPr>
                <w:sz w:val="21"/>
                <w:szCs w:val="21"/>
                <w:color w:val="auto"/>
              </w:rPr>
            </w:pPr>
          </w:p>
        </w:tc>
      </w:tr>
      <w:tr>
        <w:trPr>
          <w:trHeight w:val="257"/>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(24 )</w:t>
            </w:r>
          </w:p>
        </w:tc>
        <w:tc>
          <w:tcPr>
            <w:tcW w:w="24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(81 )</w:t>
            </w:r>
          </w:p>
        </w:tc>
        <w:tc>
          <w:tcPr>
            <w:tcW w:w="1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(18 )</w:t>
            </w: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FF0FC"/>
          </w:tcPr>
          <w:p>
            <w:pPr>
              <w:spacing w:after="0"/>
              <w:rPr>
                <w:sz w:val="22"/>
                <w:szCs w:val="22"/>
                <w:color w:val="auto"/>
              </w:rPr>
            </w:pPr>
          </w:p>
        </w:tc>
      </w:tr>
      <w:tr>
        <w:trPr>
          <w:trHeight w:val="250"/>
        </w:trPr>
        <w:tc>
          <w:tcPr>
            <w:tcW w:w="48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44,632</w:t>
            </w:r>
          </w:p>
        </w:tc>
        <w:tc>
          <w:tcPr>
            <w:tcW w:w="22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44,752</w:t>
            </w:r>
          </w:p>
        </w:tc>
        <w:tc>
          <w:tcPr>
            <w:tcW w:w="20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44,632</w:t>
            </w:r>
          </w:p>
        </w:tc>
        <w:tc>
          <w:tcPr>
            <w:tcW w:w="22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44,752</w:t>
            </w:r>
          </w:p>
        </w:tc>
        <w:tc>
          <w:tcPr>
            <w:tcW w:w="80" w:type="dxa"/>
            <w:vAlign w:val="bottom"/>
            <w:tcBorders>
              <w:top w:val="single" w:sz="8" w:color="CFF0FC"/>
            </w:tcBorders>
          </w:tcPr>
          <w:p>
            <w:pPr>
              <w:spacing w:after="0"/>
              <w:rPr>
                <w:sz w:val="21"/>
                <w:szCs w:val="21"/>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-193675</wp:posOffset>
            </wp:positionV>
            <wp:extent cx="14605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-193675</wp:posOffset>
            </wp:positionV>
            <wp:extent cx="13716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-193675</wp:posOffset>
            </wp:positionV>
            <wp:extent cx="12890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-193675</wp:posOffset>
            </wp:positionV>
            <wp:extent cx="4318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goodwill impairment was recorded during the nine months ended September 30, 2021 and 2020.</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Acquired intangible assets subject to amortization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3"/>
              </w:rPr>
              <w:t>Average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50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120" w:type="dxa"/>
            <w:vAlign w:val="bottom"/>
            <w:gridSpan w:val="2"/>
          </w:tcPr>
          <w:p>
            <w:pPr>
              <w:jc w:val="right"/>
              <w:ind w:right="22"/>
              <w:spacing w:after="0"/>
              <w:rPr>
                <w:sz w:val="20"/>
                <w:szCs w:val="20"/>
                <w:color w:val="auto"/>
              </w:rPr>
            </w:pPr>
            <w:r>
              <w:rPr>
                <w:rFonts w:ascii="Arial" w:cs="Arial" w:eastAsia="Arial" w:hAnsi="Arial"/>
                <w:sz w:val="13"/>
                <w:szCs w:val="13"/>
                <w:b w:val="1"/>
                <w:bCs w:val="1"/>
                <w:color w:val="auto"/>
              </w:rPr>
              <w:t>Gross Carrying</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4"/>
                <w:szCs w:val="14"/>
                <w:color w:val="auto"/>
              </w:rPr>
            </w:pPr>
          </w:p>
        </w:tc>
        <w:tc>
          <w:tcPr>
            <w:tcW w:w="960" w:type="dxa"/>
            <w:vAlign w:val="bottom"/>
          </w:tcPr>
          <w:p>
            <w:pPr>
              <w:jc w:val="right"/>
              <w:ind w:right="84"/>
              <w:spacing w:after="0"/>
              <w:rPr>
                <w:sz w:val="20"/>
                <w:szCs w:val="20"/>
                <w:color w:val="auto"/>
              </w:rPr>
            </w:pPr>
            <w:r>
              <w:rPr>
                <w:rFonts w:ascii="Arial" w:cs="Arial" w:eastAsia="Arial" w:hAnsi="Arial"/>
                <w:sz w:val="13"/>
                <w:szCs w:val="13"/>
                <w:b w:val="1"/>
                <w:bCs w:val="1"/>
                <w:color w:val="auto"/>
                <w:w w:val="99"/>
              </w:rPr>
              <w:t>Net Carrying</w:t>
            </w: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8"/>
              </w:rPr>
              <w:t>Remaining Life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000" w:type="dxa"/>
            <w:vAlign w:val="bottom"/>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Value*</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98"/>
              </w:rPr>
              <w:t>Amortization</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(Years)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Developed Technology</w:t>
            </w:r>
          </w:p>
        </w:tc>
        <w:tc>
          <w:tcPr>
            <w:tcW w:w="24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25,201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(9,630 )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15,571</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Client Relationships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52,348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(4,666 )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47,682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Trade Name/Trademark</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(511 )</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Non-Compete Agreement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(343 )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80" w:type="dxa"/>
            <w:vAlign w:val="bottom"/>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452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78,529</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(15,150 )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63,379</w:t>
            </w:r>
          </w:p>
        </w:tc>
        <w:tc>
          <w:tcPr>
            <w:tcW w:w="1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580" w:type="dxa"/>
            <w:vAlign w:val="bottom"/>
            <w:tcBorders>
              <w:bottom w:val="single" w:sz="8" w:color="auto"/>
            </w:tcBorders>
          </w:tcPr>
          <w:p>
            <w:pPr>
              <w:spacing w:after="0"/>
              <w:rPr>
                <w:sz w:val="11"/>
                <w:szCs w:val="11"/>
                <w:color w:val="auto"/>
              </w:rPr>
            </w:pPr>
          </w:p>
        </w:tc>
        <w:tc>
          <w:tcPr>
            <w:tcW w:w="480" w:type="dxa"/>
            <w:vAlign w:val="bottom"/>
            <w:tcBorders>
              <w:top w:val="single" w:sz="8" w:color="CFF0FC"/>
              <w:bottom w:val="single" w:sz="8" w:color="auto"/>
            </w:tcBorders>
          </w:tcPr>
          <w:p>
            <w:pPr>
              <w:spacing w:after="0"/>
              <w:rPr>
                <w:sz w:val="11"/>
                <w:szCs w:val="11"/>
                <w:color w:val="auto"/>
              </w:rPr>
            </w:pPr>
          </w:p>
        </w:tc>
        <w:tc>
          <w:tcPr>
            <w:tcW w:w="452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08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-128270</wp:posOffset>
            </wp:positionV>
            <wp:extent cx="12890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-111125</wp:posOffset>
            </wp:positionV>
            <wp:extent cx="12890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-128270</wp:posOffset>
            </wp:positionV>
            <wp:extent cx="137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-111125</wp:posOffset>
            </wp:positionV>
            <wp:extent cx="1371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-128270</wp:posOffset>
            </wp:positionV>
            <wp:extent cx="1111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-111125</wp:posOffset>
            </wp:positionV>
            <wp:extent cx="1111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47" w:lineRule="exact"/>
        <w:rPr>
          <w:sz w:val="20"/>
          <w:szCs w:val="20"/>
          <w:color w:val="auto"/>
        </w:rPr>
      </w:pPr>
    </w:p>
    <w:p>
      <w:pPr>
        <w:ind w:left="520" w:right="120" w:hanging="512"/>
        <w:spacing w:after="0" w:line="277" w:lineRule="auto"/>
        <w:tabs>
          <w:tab w:leader="none" w:pos="411"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less than $0.1 million of foreign currency translation adjustments and $0.1 million in acquired developed technology assets during the nine months ended September 30,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7"/>
        </w:trPr>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8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Average</w:t>
            </w:r>
          </w:p>
        </w:tc>
        <w:tc>
          <w:tcPr>
            <w:tcW w:w="8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100" w:type="dxa"/>
            <w:vAlign w:val="bottom"/>
            <w:gridSpan w:val="2"/>
          </w:tcPr>
          <w:p>
            <w:pPr>
              <w:jc w:val="right"/>
              <w:ind w:right="22"/>
              <w:spacing w:after="0"/>
              <w:rPr>
                <w:sz w:val="20"/>
                <w:szCs w:val="20"/>
                <w:color w:val="auto"/>
              </w:rPr>
            </w:pPr>
            <w:r>
              <w:rPr>
                <w:rFonts w:ascii="Arial" w:cs="Arial" w:eastAsia="Arial" w:hAnsi="Arial"/>
                <w:sz w:val="13"/>
                <w:szCs w:val="13"/>
                <w:b w:val="1"/>
                <w:bCs w:val="1"/>
                <w:color w:val="auto"/>
              </w:rPr>
              <w:t>Gross Carrying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14"/>
                <w:szCs w:val="14"/>
                <w:color w:val="auto"/>
              </w:rPr>
            </w:pPr>
          </w:p>
        </w:tc>
        <w:tc>
          <w:tcPr>
            <w:tcW w:w="920" w:type="dxa"/>
            <w:vAlign w:val="bottom"/>
          </w:tcPr>
          <w:p>
            <w:pPr>
              <w:jc w:val="right"/>
              <w:ind w:right="64"/>
              <w:spacing w:after="0"/>
              <w:rPr>
                <w:sz w:val="20"/>
                <w:szCs w:val="20"/>
                <w:color w:val="auto"/>
              </w:rPr>
            </w:pPr>
            <w:r>
              <w:rPr>
                <w:rFonts w:ascii="Arial" w:cs="Arial" w:eastAsia="Arial" w:hAnsi="Arial"/>
                <w:sz w:val="13"/>
                <w:szCs w:val="13"/>
                <w:b w:val="1"/>
                <w:bCs w:val="1"/>
                <w:color w:val="auto"/>
                <w:w w:val="97"/>
              </w:rPr>
              <w:t>Net Carrying</w:t>
            </w:r>
          </w:p>
        </w:tc>
        <w:tc>
          <w:tcPr>
            <w:tcW w:w="2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Remaining Life</w:t>
            </w:r>
          </w:p>
        </w:tc>
        <w:tc>
          <w:tcPr>
            <w:tcW w:w="80" w:type="dxa"/>
            <w:vAlign w:val="bottom"/>
          </w:tcPr>
          <w:p>
            <w:pPr>
              <w:spacing w:after="0"/>
              <w:rPr>
                <w:sz w:val="14"/>
                <w:szCs w:val="14"/>
                <w:color w:val="auto"/>
              </w:rPr>
            </w:pPr>
          </w:p>
        </w:tc>
      </w:tr>
      <w:tr>
        <w:trPr>
          <w:trHeight w:val="177"/>
        </w:trPr>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b w:val="1"/>
                <w:bCs w:val="1"/>
                <w:color w:val="auto"/>
              </w:rPr>
              <w:t>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w w:val="95"/>
              </w:rPr>
              <w:t>Amortization</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(Years)</w:t>
            </w:r>
          </w:p>
        </w:tc>
        <w:tc>
          <w:tcPr>
            <w:tcW w:w="80" w:type="dxa"/>
            <w:vAlign w:val="bottom"/>
          </w:tcPr>
          <w:p>
            <w:pPr>
              <w:spacing w:after="0"/>
              <w:rPr>
                <w:sz w:val="15"/>
                <w:szCs w:val="15"/>
                <w:color w:val="auto"/>
              </w:rPr>
            </w:pPr>
          </w:p>
        </w:tc>
      </w:tr>
      <w:tr>
        <w:trPr>
          <w:trHeight w:val="230"/>
        </w:trPr>
        <w:tc>
          <w:tcPr>
            <w:tcW w:w="580" w:type="dxa"/>
            <w:vAlign w:val="bottom"/>
          </w:tcPr>
          <w:p>
            <w:pPr>
              <w:spacing w:after="0"/>
              <w:rPr>
                <w:sz w:val="19"/>
                <w:szCs w:val="19"/>
                <w:color w:val="auto"/>
              </w:rPr>
            </w:pPr>
          </w:p>
        </w:tc>
        <w:tc>
          <w:tcPr>
            <w:tcW w:w="5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Developed Technology</w:t>
            </w:r>
          </w:p>
        </w:tc>
        <w:tc>
          <w:tcPr>
            <w:tcW w:w="24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25,063</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(6,595 )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18,468</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6.13</w:t>
            </w:r>
          </w:p>
        </w:tc>
        <w:tc>
          <w:tcPr>
            <w:tcW w:w="80" w:type="dxa"/>
            <w:vAlign w:val="bottom"/>
            <w:shd w:val="clear" w:color="auto" w:fill="CFF0FC"/>
          </w:tcPr>
          <w:p>
            <w:pPr>
              <w:spacing w:after="0"/>
              <w:rPr>
                <w:sz w:val="19"/>
                <w:szCs w:val="19"/>
                <w:color w:val="auto"/>
              </w:rPr>
            </w:pPr>
          </w:p>
        </w:tc>
      </w:tr>
      <w:tr>
        <w:trPr>
          <w:trHeight w:val="220"/>
        </w:trPr>
        <w:tc>
          <w:tcPr>
            <w:tcW w:w="58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Client Relationships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52,312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(2,772 )</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49,540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10.88</w:t>
            </w:r>
          </w:p>
        </w:tc>
        <w:tc>
          <w:tcPr>
            <w:tcW w:w="80" w:type="dxa"/>
            <w:vAlign w:val="bottom"/>
          </w:tcPr>
          <w:p>
            <w:pPr>
              <w:spacing w:after="0"/>
              <w:rPr>
                <w:sz w:val="19"/>
                <w:szCs w:val="19"/>
                <w:color w:val="auto"/>
              </w:rPr>
            </w:pPr>
          </w:p>
        </w:tc>
      </w:tr>
      <w:tr>
        <w:trPr>
          <w:trHeight w:val="239"/>
        </w:trPr>
        <w:tc>
          <w:tcPr>
            <w:tcW w:w="580" w:type="dxa"/>
            <w:vAlign w:val="bottom"/>
          </w:tcPr>
          <w:p>
            <w:pPr>
              <w:spacing w:after="0"/>
              <w:rPr>
                <w:sz w:val="20"/>
                <w:szCs w:val="20"/>
                <w:color w:val="auto"/>
              </w:rPr>
            </w:pPr>
          </w:p>
        </w:tc>
        <w:tc>
          <w:tcPr>
            <w:tcW w:w="5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Trade Name/Trademark</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(504 )</w:t>
            </w: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0.04</w:t>
            </w:r>
          </w:p>
        </w:tc>
        <w:tc>
          <w:tcPr>
            <w:tcW w:w="80" w:type="dxa"/>
            <w:vAlign w:val="bottom"/>
            <w:shd w:val="clear" w:color="auto" w:fill="CFF0FC"/>
          </w:tcPr>
          <w:p>
            <w:pPr>
              <w:spacing w:after="0"/>
              <w:rPr>
                <w:sz w:val="20"/>
                <w:szCs w:val="20"/>
                <w:color w:val="auto"/>
              </w:rPr>
            </w:pPr>
          </w:p>
        </w:tc>
      </w:tr>
      <w:tr>
        <w:trPr>
          <w:trHeight w:val="226"/>
        </w:trPr>
        <w:tc>
          <w:tcPr>
            <w:tcW w:w="58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Non-Compete Agreement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(273 )</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2.05</w:t>
            </w:r>
          </w:p>
        </w:tc>
        <w:tc>
          <w:tcPr>
            <w:tcW w:w="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9"/>
        </w:trPr>
        <w:tc>
          <w:tcPr>
            <w:tcW w:w="580" w:type="dxa"/>
            <w:vAlign w:val="bottom"/>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46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78,355</w:t>
            </w:r>
          </w:p>
        </w:tc>
        <w:tc>
          <w:tcPr>
            <w:tcW w:w="220" w:type="dxa"/>
            <w:vAlign w:val="bottom"/>
            <w:gridSpan w:val="2"/>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(10,144 )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68,211</w:t>
            </w:r>
          </w:p>
        </w:tc>
        <w:tc>
          <w:tcPr>
            <w:tcW w:w="2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149"/>
        </w:trPr>
        <w:tc>
          <w:tcPr>
            <w:tcW w:w="580" w:type="dxa"/>
            <w:vAlign w:val="bottom"/>
            <w:tcBorders>
              <w:bottom w:val="single" w:sz="8" w:color="auto"/>
            </w:tcBorders>
          </w:tcPr>
          <w:p>
            <w:pPr>
              <w:spacing w:after="0"/>
              <w:rPr>
                <w:sz w:val="12"/>
                <w:szCs w:val="12"/>
                <w:color w:val="auto"/>
              </w:rPr>
            </w:pPr>
          </w:p>
        </w:tc>
        <w:tc>
          <w:tcPr>
            <w:tcW w:w="480" w:type="dxa"/>
            <w:vAlign w:val="bottom"/>
            <w:tcBorders>
              <w:top w:val="single" w:sz="8" w:color="CFF0FC"/>
              <w:bottom w:val="single" w:sz="8" w:color="auto"/>
            </w:tcBorders>
          </w:tcPr>
          <w:p>
            <w:pPr>
              <w:spacing w:after="0"/>
              <w:rPr>
                <w:sz w:val="12"/>
                <w:szCs w:val="12"/>
                <w:color w:val="auto"/>
              </w:rPr>
            </w:pPr>
          </w:p>
        </w:tc>
        <w:tc>
          <w:tcPr>
            <w:tcW w:w="460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06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-136525</wp:posOffset>
            </wp:positionV>
            <wp:extent cx="137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-119380</wp:posOffset>
            </wp:positionV>
            <wp:extent cx="1371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-136525</wp:posOffset>
            </wp:positionV>
            <wp:extent cx="137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-119380</wp:posOffset>
            </wp:positionV>
            <wp:extent cx="1371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-136525</wp:posOffset>
            </wp:positionV>
            <wp:extent cx="1200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-119380</wp:posOffset>
            </wp:positionV>
            <wp:extent cx="12001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47" w:lineRule="exact"/>
        <w:rPr>
          <w:sz w:val="20"/>
          <w:szCs w:val="20"/>
          <w:color w:val="auto"/>
        </w:rPr>
      </w:pPr>
    </w:p>
    <w:p>
      <w:pPr>
        <w:ind w:left="5520" w:right="4740" w:hanging="5512"/>
        <w:spacing w:after="0" w:line="406" w:lineRule="auto"/>
        <w:tabs>
          <w:tab w:leader="none" w:pos="404"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less than $0.1million of foreign currency translation adjustments.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490" w:right="59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Amortization expense for the three months ended September 30, 2021 and 2020 was $1.7 million and $1.3 million, respectively.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nine months ended September 30, 2021 and 2020 was $5.0 million and $3.5 million, respectively.</w:t>
      </w:r>
    </w:p>
    <w:p>
      <w:pPr>
        <w:spacing w:after="0" w:line="239" w:lineRule="exact"/>
        <w:rPr>
          <w:sz w:val="20"/>
          <w:szCs w:val="20"/>
          <w:color w:val="auto"/>
        </w:rPr>
      </w:pPr>
    </w:p>
    <w:p>
      <w:pPr>
        <w:ind w:right="760" w:firstLine="509"/>
        <w:spacing w:after="0" w:line="277" w:lineRule="auto"/>
        <w:rPr>
          <w:sz w:val="20"/>
          <w:szCs w:val="20"/>
          <w:color w:val="auto"/>
        </w:rPr>
      </w:pPr>
      <w:r>
        <w:rPr>
          <w:rFonts w:ascii="Arial" w:cs="Arial" w:eastAsia="Arial" w:hAnsi="Arial"/>
          <w:sz w:val="18"/>
          <w:szCs w:val="18"/>
          <w:color w:val="auto"/>
        </w:rPr>
        <w:t>As of September 30, 2021, the estimated annual amortization expense of intangible assets for each of the next five years and thereafter is expected to be as follows (in thousands):</w:t>
      </w:r>
    </w:p>
    <w:p>
      <w:pPr>
        <w:spacing w:after="0" w:line="198" w:lineRule="exact"/>
        <w:rPr>
          <w:sz w:val="20"/>
          <w:szCs w:val="20"/>
          <w:color w:val="auto"/>
        </w:rPr>
      </w:pPr>
    </w:p>
    <w:tbl>
      <w:tblPr>
        <w:tblLayout w:type="fixed"/>
        <w:tblInd w:w="2260" w:type="dxa"/>
        <w:tblCellMar>
          <w:top w:w="0" w:type="dxa"/>
          <w:left w:w="0" w:type="dxa"/>
          <w:bottom w:w="0" w:type="dxa"/>
          <w:right w:w="0" w:type="dxa"/>
        </w:tblCellMar>
      </w:tblPr>
      <w:tr>
        <w:trPr>
          <w:trHeight w:val="176"/>
        </w:trPr>
        <w:tc>
          <w:tcPr>
            <w:tcW w:w="5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center"/>
              <w:ind w:right="135"/>
              <w:spacing w:after="0"/>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5"/>
                <w:szCs w:val="15"/>
                <w:color w:val="auto"/>
              </w:rPr>
            </w:pPr>
          </w:p>
        </w:tc>
      </w:tr>
      <w:tr>
        <w:trPr>
          <w:trHeight w:val="175"/>
        </w:trPr>
        <w:tc>
          <w:tcPr>
            <w:tcW w:w="5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center"/>
              <w:ind w:right="135"/>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5"/>
                <w:szCs w:val="15"/>
                <w:color w:val="auto"/>
              </w:rPr>
            </w:pPr>
          </w:p>
        </w:tc>
      </w:tr>
      <w:tr>
        <w:trPr>
          <w:trHeight w:val="196"/>
        </w:trPr>
        <w:tc>
          <w:tcPr>
            <w:tcW w:w="5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Expense</w:t>
            </w:r>
          </w:p>
        </w:tc>
        <w:tc>
          <w:tcPr>
            <w:tcW w:w="60" w:type="dxa"/>
            <w:vAlign w:val="bottom"/>
          </w:tcPr>
          <w:p>
            <w:pPr>
              <w:spacing w:after="0"/>
              <w:rPr>
                <w:sz w:val="17"/>
                <w:szCs w:val="17"/>
                <w:color w:val="auto"/>
              </w:rPr>
            </w:pPr>
          </w:p>
        </w:tc>
      </w:tr>
      <w:tr>
        <w:trPr>
          <w:trHeight w:val="256"/>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Remaining of fiscal year 2021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60" w:type="dxa"/>
            <w:vAlign w:val="bottom"/>
            <w:shd w:val="clear" w:color="auto" w:fill="CFF0FC"/>
          </w:tcPr>
          <w:p>
            <w:pPr>
              <w:spacing w:after="0"/>
              <w:rPr>
                <w:sz w:val="22"/>
                <w:szCs w:val="22"/>
                <w:color w:val="auto"/>
              </w:rPr>
            </w:pPr>
          </w:p>
        </w:tc>
      </w:tr>
      <w:tr>
        <w:trPr>
          <w:trHeight w:val="250"/>
        </w:trPr>
        <w:tc>
          <w:tcPr>
            <w:tcW w:w="514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7,157</w:t>
            </w:r>
          </w:p>
        </w:tc>
        <w:tc>
          <w:tcPr>
            <w:tcW w:w="60" w:type="dxa"/>
            <w:vAlign w:val="bottom"/>
          </w:tcPr>
          <w:p>
            <w:pPr>
              <w:spacing w:after="0"/>
              <w:rPr>
                <w:sz w:val="21"/>
                <w:szCs w:val="21"/>
                <w:color w:val="auto"/>
              </w:rPr>
            </w:pPr>
          </w:p>
        </w:tc>
      </w:tr>
      <w:tr>
        <w:trPr>
          <w:trHeight w:val="26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7,629</w:t>
            </w:r>
          </w:p>
        </w:tc>
        <w:tc>
          <w:tcPr>
            <w:tcW w:w="60" w:type="dxa"/>
            <w:vAlign w:val="bottom"/>
            <w:shd w:val="clear" w:color="auto" w:fill="CFF0FC"/>
          </w:tcPr>
          <w:p>
            <w:pPr>
              <w:spacing w:after="0"/>
              <w:rPr>
                <w:sz w:val="22"/>
                <w:szCs w:val="22"/>
                <w:color w:val="auto"/>
              </w:rPr>
            </w:pPr>
          </w:p>
        </w:tc>
      </w:tr>
      <w:tr>
        <w:trPr>
          <w:trHeight w:val="250"/>
        </w:trPr>
        <w:tc>
          <w:tcPr>
            <w:tcW w:w="514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7,610</w:t>
            </w:r>
          </w:p>
        </w:tc>
        <w:tc>
          <w:tcPr>
            <w:tcW w:w="60" w:type="dxa"/>
            <w:vAlign w:val="bottom"/>
          </w:tcPr>
          <w:p>
            <w:pPr>
              <w:spacing w:after="0"/>
              <w:rPr>
                <w:sz w:val="21"/>
                <w:szCs w:val="21"/>
                <w:color w:val="auto"/>
              </w:rPr>
            </w:pPr>
          </w:p>
        </w:tc>
      </w:tr>
      <w:tr>
        <w:trPr>
          <w:trHeight w:val="26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7,164</w:t>
            </w:r>
          </w:p>
        </w:tc>
        <w:tc>
          <w:tcPr>
            <w:tcW w:w="60" w:type="dxa"/>
            <w:vAlign w:val="bottom"/>
            <w:shd w:val="clear" w:color="auto" w:fill="CFF0FC"/>
          </w:tcPr>
          <w:p>
            <w:pPr>
              <w:spacing w:after="0"/>
              <w:rPr>
                <w:sz w:val="22"/>
                <w:szCs w:val="22"/>
                <w:color w:val="auto"/>
              </w:rPr>
            </w:pPr>
          </w:p>
        </w:tc>
      </w:tr>
      <w:tr>
        <w:trPr>
          <w:trHeight w:val="250"/>
        </w:trPr>
        <w:tc>
          <w:tcPr>
            <w:tcW w:w="5140" w:type="dxa"/>
            <w:vAlign w:val="bottom"/>
          </w:tcPr>
          <w:p>
            <w:pPr>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5,388</w:t>
            </w:r>
          </w:p>
        </w:tc>
        <w:tc>
          <w:tcPr>
            <w:tcW w:w="60" w:type="dxa"/>
            <w:vAlign w:val="bottom"/>
          </w:tcPr>
          <w:p>
            <w:pPr>
              <w:spacing w:after="0"/>
              <w:rPr>
                <w:sz w:val="21"/>
                <w:szCs w:val="21"/>
                <w:color w:val="auto"/>
              </w:rPr>
            </w:pPr>
          </w:p>
        </w:tc>
      </w:tr>
      <w:tr>
        <w:trPr>
          <w:trHeight w:val="257"/>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26,791</w:t>
            </w:r>
          </w:p>
        </w:tc>
        <w:tc>
          <w:tcPr>
            <w:tcW w:w="60" w:type="dxa"/>
            <w:vAlign w:val="bottom"/>
            <w:tcBorders>
              <w:bottom w:val="single" w:sz="8" w:color="CFF0FC"/>
            </w:tcBorders>
            <w:shd w:val="clear" w:color="auto" w:fill="CFF0FC"/>
          </w:tcPr>
          <w:p>
            <w:pPr>
              <w:spacing w:after="0"/>
              <w:rPr>
                <w:sz w:val="22"/>
                <w:szCs w:val="22"/>
                <w:color w:val="auto"/>
              </w:rPr>
            </w:pPr>
          </w:p>
        </w:tc>
      </w:tr>
      <w:tr>
        <w:trPr>
          <w:trHeight w:val="250"/>
        </w:trPr>
        <w:tc>
          <w:tcPr>
            <w:tcW w:w="514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63,379</w:t>
            </w:r>
          </w:p>
        </w:tc>
        <w:tc>
          <w:tcPr>
            <w:tcW w:w="60" w:type="dxa"/>
            <w:vAlign w:val="bottom"/>
          </w:tcPr>
          <w:p>
            <w:pPr>
              <w:spacing w:after="0"/>
              <w:rPr>
                <w:sz w:val="21"/>
                <w:szCs w:val="21"/>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-193675</wp:posOffset>
            </wp:positionV>
            <wp:extent cx="4318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Syndication Loan</w:t>
      </w:r>
    </w:p>
    <w:p>
      <w:pPr>
        <w:spacing w:after="0" w:line="153"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On July 29, 2021, the Company entered into a three-year senior secured revolving credit syndication loan (the “Revolving Credit Facility”) with three banks for a total commitment of $50.0 million. The Revolving Credit Facility includes a $5 million letter of credit sub-facility and a $5 million swingline sub-facility, with available borrowings under the Revolving Credit Facility reduced by the amount of any letters of credit and swingline borrowings outstanding from time to time. The Revolving Credit Facility is guaranteed by Flywire’s material domestic subsidiaries. One of the lenders in the syndicate was the existing debt holder under the Loan and Security Agreement (the “LSA”) entered into in 2018 and amended in 2020.</w:t>
      </w:r>
    </w:p>
    <w:p>
      <w:pPr>
        <w:spacing w:after="0" w:line="206"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 xml:space="preserve">The Revolving Credit Facility consists of Alternate Base Rate ("ABR") loans or Eurodollar Borrowings, at the Company’s option. ABR loans bear interest at the ABR plus the applicable rate. Eurodollar Borrowings bear interest at the Adjusted LIBO Rate plus the applicable rate. The ABR rate is based on the greatest of (a) the Prime Rate (b) the Federal Funds Effective Rate plus </w:t>
      </w:r>
      <w:r>
        <w:rPr>
          <w:rFonts w:ascii="Arial" w:cs="Arial" w:eastAsia="Arial" w:hAnsi="Arial"/>
          <w:sz w:val="24"/>
          <w:szCs w:val="24"/>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xml:space="preserve"> of 1% and (c) the Adjusted LIBO Rate for a one-month Interest Period plus 1%. The adjusted LIBO rate is based on (a) the LIBO Rate multiplied by (b) the Statutory Reserve Rate. The applicable rate is based upon the Company’s liquidity as of the most recent consolidated financial information and ranges from 0.75% to 2.25%. The Revolving Credit Facility incurs a commitment fee ranging from 0.25% to 0.35% based upon the Company’s liquidity as of the most recent consolidated financial information assessed on the average undrawn portion of the available commitment.</w:t>
      </w:r>
    </w:p>
    <w:p>
      <w:pPr>
        <w:spacing w:after="0" w:line="222" w:lineRule="exact"/>
        <w:rPr>
          <w:sz w:val="20"/>
          <w:szCs w:val="20"/>
          <w:color w:val="auto"/>
        </w:rPr>
      </w:pPr>
    </w:p>
    <w:p>
      <w:pPr>
        <w:ind w:right="20" w:firstLine="509"/>
        <w:spacing w:after="0" w:line="268" w:lineRule="auto"/>
        <w:rPr>
          <w:sz w:val="20"/>
          <w:szCs w:val="20"/>
          <w:color w:val="auto"/>
        </w:rPr>
      </w:pPr>
      <w:r>
        <w:rPr>
          <w:rFonts w:ascii="Arial" w:cs="Arial" w:eastAsia="Arial" w:hAnsi="Arial"/>
          <w:sz w:val="18"/>
          <w:szCs w:val="18"/>
          <w:color w:val="auto"/>
        </w:rPr>
        <w:t>The Revolving Credit Facility contains customary affirmative and negative covenants and restrictions typical for a financing of this type that, among other things, require the Company to satisfy certain financial covenants and restrict the Company’s ability to incur additional debt, pay dividends and make distributions, make certain investments and acquisitions, repurchase its stock and prepay certain indebtedness, create liens, enter into agreements with affiliates, modify the nature of its business, enter into sale-leaseback transactions, transfer and sell material assets and merge or consolidate. Non-compliance with one or more of the covenants and restrictions could result in the full or partial principal balance of the Revolving Credit Facility becoming immediately due and payable and termination of the commitments. The Company was in compliance with all covenants associated with the Revolving Credit Facility as of September 30, 2021.</w:t>
      </w:r>
    </w:p>
    <w:p>
      <w:pPr>
        <w:spacing w:after="0" w:line="97" w:lineRule="exact"/>
        <w:rPr>
          <w:sz w:val="20"/>
          <w:szCs w:val="20"/>
          <w:color w:val="auto"/>
        </w:rPr>
      </w:pPr>
    </w:p>
    <w:p>
      <w:pPr>
        <w:ind w:right="40" w:firstLine="509"/>
        <w:spacing w:after="0" w:line="268" w:lineRule="auto"/>
        <w:rPr>
          <w:sz w:val="20"/>
          <w:szCs w:val="20"/>
          <w:color w:val="auto"/>
        </w:rPr>
      </w:pPr>
      <w:r>
        <w:rPr>
          <w:rFonts w:ascii="Arial" w:cs="Arial" w:eastAsia="Arial" w:hAnsi="Arial"/>
          <w:sz w:val="18"/>
          <w:szCs w:val="18"/>
          <w:color w:val="auto"/>
        </w:rPr>
        <w:t>On July 29, 2021, the Company drew $25.9 million on the Revolving Credit Facility and used the proceeds to early prepay the LSA $25.0 million term loan. In connection with the transaction, the Company incurred $0.4 million in prepayment costs and $0.3 million in debt issuance costs. Debt issuance costs related to new lenders in the syndication are amortized on a straight-line basis over the term of the Revolving Credit Facility. Debt issuance costs related to the existing lender in the syndication were expensed. The exchange of the LSA term loan with the Revolving Credit Facility from the same lender was accounted for as a modification. Prior to the closing of the Revolving Credit Facility, debt issuance costs and debt discounts were presented as an offset to the outstanding debt balance on the Consolidated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3" w:name="page24"/>
    <w:bookmarkEnd w:id="23"/>
    <w:p>
      <w:pPr>
        <w:ind w:right="100"/>
        <w:spacing w:after="0" w:line="277" w:lineRule="auto"/>
        <w:rPr>
          <w:sz w:val="20"/>
          <w:szCs w:val="20"/>
          <w:color w:val="auto"/>
        </w:rPr>
      </w:pPr>
      <w:r>
        <w:rPr>
          <w:rFonts w:ascii="Arial" w:cs="Arial" w:eastAsia="Arial" w:hAnsi="Arial"/>
          <w:sz w:val="18"/>
          <w:szCs w:val="18"/>
          <w:color w:val="auto"/>
        </w:rPr>
        <w:t>Balance Sheets. Upon the closing of the Revolving Credit Facility the debt issuance costs and debt discount are presented as a component of other assets on the Company's Consolidated Balance Sheets.</w:t>
      </w:r>
    </w:p>
    <w:p>
      <w:pPr>
        <w:spacing w:after="0" w:line="89"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As of September 30, 2021, the Company had $25.9 million outstanding under the Revolving Credit Facility. Total interest expense related to the Revolving Credit Facility was $0.1 million for the three months ended September 30, 2021.</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outstanding debt as of each period, consisted of the following (in thousands):</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156"/>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4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r>
      <w:tr>
        <w:trPr>
          <w:trHeight w:val="25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Long term debt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25,933</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FF0FC"/>
          </w:tcPr>
          <w:p>
            <w:pPr>
              <w:spacing w:after="0"/>
              <w:rPr>
                <w:sz w:val="22"/>
                <w:szCs w:val="22"/>
                <w:color w:val="auto"/>
              </w:rPr>
            </w:pPr>
          </w:p>
        </w:tc>
      </w:tr>
      <w:tr>
        <w:trPr>
          <w:trHeight w:val="250"/>
        </w:trPr>
        <w:tc>
          <w:tcPr>
            <w:tcW w:w="4540" w:type="dxa"/>
            <w:vAlign w:val="bottom"/>
          </w:tcPr>
          <w:p>
            <w:pPr>
              <w:ind w:left="520"/>
              <w:spacing w:after="0"/>
              <w:rPr>
                <w:sz w:val="20"/>
                <w:szCs w:val="20"/>
                <w:color w:val="auto"/>
              </w:rPr>
            </w:pPr>
            <w:r>
              <w:rPr>
                <w:rFonts w:ascii="Arial" w:cs="Arial" w:eastAsia="Arial" w:hAnsi="Arial"/>
                <w:sz w:val="18"/>
                <w:szCs w:val="18"/>
                <w:color w:val="auto"/>
              </w:rPr>
              <w:t>Less unamortized debt discount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(430 )</w:t>
            </w:r>
          </w:p>
        </w:tc>
      </w:tr>
      <w:tr>
        <w:trPr>
          <w:trHeight w:val="257"/>
        </w:trPr>
        <w:tc>
          <w:tcPr>
            <w:tcW w:w="45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(218 )</w:t>
            </w:r>
          </w:p>
        </w:tc>
      </w:tr>
      <w:tr>
        <w:trPr>
          <w:trHeight w:val="250"/>
        </w:trPr>
        <w:tc>
          <w:tcPr>
            <w:tcW w:w="45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carrying amount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25,933</w:t>
            </w:r>
          </w:p>
        </w:tc>
        <w:tc>
          <w:tcPr>
            <w:tcW w:w="26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24,352</w:t>
            </w:r>
          </w:p>
        </w:tc>
        <w:tc>
          <w:tcPr>
            <w:tcW w:w="140" w:type="dxa"/>
            <w:vAlign w:val="bottom"/>
            <w:tcBorders>
              <w:top w:val="single" w:sz="8" w:color="CFF0FC"/>
            </w:tcBorders>
          </w:tcPr>
          <w:p>
            <w:pPr>
              <w:spacing w:after="0"/>
              <w:rPr>
                <w:sz w:val="21"/>
                <w:szCs w:val="21"/>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-193675</wp:posOffset>
            </wp:positionV>
            <wp:extent cx="15430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-193675</wp:posOffset>
            </wp:positionV>
            <wp:extent cx="8572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53"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On January 16, 2018, the Company entered into the LSA with a financial institution for a $25.0 million loan with interest at a rate of 8.5% per annum. The proceeds of the LSA were used to fund the acquisition of OnPlan. The LSA could be drawn down in three tranches. The first tranche of $15.0 million was drawn in January 2018, while the remaining two tranches were drawn in February 2019 and August 2019 for $5.0 million each. The LSA maturity date was January 22, 2022. The Company was obligated to make monthly interest payments on the loan. The LSA was interest only until either August 1, 2019 or February 1, 2020 pending on achieving certain revenue and margin targets. The Company incurred debt issuance costs of $0.2 million in connection with the issuance of the LSA. These issuance costs were amortized to interest expense, using the effective interest method, over the term of the loan.</w:t>
      </w:r>
    </w:p>
    <w:p>
      <w:pPr>
        <w:spacing w:after="0" w:line="205"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On December 31, 2018, the Company achieved the required targets, and deemed that the principal payments would not commence until February 1, 2020.</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April 25, 2020, the Company entered into a Joinder and First Amendment to the LSA for administrative matters.</w:t>
      </w:r>
    </w:p>
    <w:p>
      <w:pPr>
        <w:spacing w:after="0" w:line="239" w:lineRule="exact"/>
        <w:rPr>
          <w:sz w:val="20"/>
          <w:szCs w:val="20"/>
          <w:color w:val="auto"/>
        </w:rPr>
      </w:pPr>
    </w:p>
    <w:p>
      <w:pPr>
        <w:ind w:right="60" w:firstLine="509"/>
        <w:spacing w:after="0" w:line="268" w:lineRule="auto"/>
        <w:rPr>
          <w:sz w:val="20"/>
          <w:szCs w:val="20"/>
          <w:color w:val="auto"/>
        </w:rPr>
      </w:pPr>
      <w:r>
        <w:rPr>
          <w:rFonts w:ascii="Arial" w:cs="Arial" w:eastAsia="Arial" w:hAnsi="Arial"/>
          <w:sz w:val="18"/>
          <w:szCs w:val="18"/>
          <w:color w:val="auto"/>
        </w:rPr>
        <w:t>On May 18, 2020, the Company entered into a Joinder and Second Amendment to the LSA to refinance the LSA. As part of the amendment, the financial institution re-advanced $4.2 million of principal paid on the loan through May 1, 2020. The final maturity date of the LSA was extended to May 2025. The new stated interest rate was at a floating per annum rate equal to the greater of (i) 5.25% above the prime rate; or (ii) 8.50%. The LSA was interest only until May 2023. Beginning on June 1, 2023, the Company would make 24 equal principal payments. The Company incurred $0.2 million in commitment fees from the financial institution to close the refinancing. These commitment fees were recorded as a reduction to the loan balance on the balance sheet.</w:t>
      </w:r>
    </w:p>
    <w:p>
      <w:pPr>
        <w:spacing w:after="0" w:line="206" w:lineRule="exact"/>
        <w:rPr>
          <w:sz w:val="20"/>
          <w:szCs w:val="20"/>
          <w:color w:val="auto"/>
        </w:rPr>
      </w:pPr>
    </w:p>
    <w:p>
      <w:pPr>
        <w:ind w:right="1020" w:firstLine="509"/>
        <w:spacing w:after="0" w:line="277" w:lineRule="auto"/>
        <w:rPr>
          <w:sz w:val="20"/>
          <w:szCs w:val="20"/>
          <w:color w:val="auto"/>
        </w:rPr>
      </w:pPr>
      <w:r>
        <w:rPr>
          <w:rFonts w:ascii="Arial" w:cs="Arial" w:eastAsia="Arial" w:hAnsi="Arial"/>
          <w:sz w:val="18"/>
          <w:szCs w:val="18"/>
          <w:color w:val="auto"/>
        </w:rPr>
        <w:t>On June 2, 2020, December 9, 2020 and May 19, 2021, the Company entered into a Third, Fourth and Fifth Amendments, respectively, to the LSA for administrative matters.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amendments were accounted for as debt modifications.</w:t>
      </w:r>
    </w:p>
    <w:p>
      <w:pPr>
        <w:spacing w:after="0" w:line="239"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On July 29, 2021, the Company drew $25.9 million on its new Revolving Credit Facility and used the proceeds to early prepay the LSA $25.0 million term loan. In connection with the transaction, the Company incurred $0.4 million of prepayment costs.</w:t>
      </w:r>
    </w:p>
    <w:p>
      <w:pPr>
        <w:spacing w:after="0" w:line="197" w:lineRule="exact"/>
        <w:rPr>
          <w:sz w:val="20"/>
          <w:szCs w:val="20"/>
          <w:color w:val="auto"/>
        </w:rPr>
      </w:pPr>
    </w:p>
    <w:p>
      <w:pPr>
        <w:ind w:right="60" w:firstLine="509"/>
        <w:spacing w:after="0" w:line="268" w:lineRule="auto"/>
        <w:rPr>
          <w:sz w:val="20"/>
          <w:szCs w:val="20"/>
          <w:color w:val="auto"/>
        </w:rPr>
      </w:pPr>
      <w:r>
        <w:rPr>
          <w:rFonts w:ascii="Arial" w:cs="Arial" w:eastAsia="Arial" w:hAnsi="Arial"/>
          <w:sz w:val="18"/>
          <w:szCs w:val="18"/>
          <w:color w:val="auto"/>
        </w:rPr>
        <w:t>Interest expense related to the LSA for the three months ended September 30, 2021 and 2020 was $0.3 million and $0.6 million, respectively. Interest expense for the nine months ended September 30, 2021 and 2020 was $1.5 million and $1.9 million, respectively. Included in interest expense for the three months ended September 30, 2021 and 2020 is $0.1million and $0.1 million of amortization of debt issuance costs and debt discount. Included in interest expense for the nine months ended September 30, 2021 and 2020 is $0.2 million and $0.2 million of amortization of debt issuance costs and debt discount.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11. Stockholders’ (Deficit) Equity</w:t>
      </w:r>
    </w:p>
    <w:p>
      <w:pPr>
        <w:spacing w:after="0" w:line="131" w:lineRule="exact"/>
        <w:rPr>
          <w:sz w:val="20"/>
          <w:szCs w:val="20"/>
          <w:color w:val="auto"/>
        </w:rPr>
      </w:pPr>
    </w:p>
    <w:p>
      <w:pPr>
        <w:jc w:val="both"/>
        <w:ind w:right="220" w:firstLine="509"/>
        <w:spacing w:after="0" w:line="284"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In connection with the IPO, the Company’s amended and restated certificate of incorporation became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authorized the issuance of 10,000,000 shares of undesignated preferred stock with a par value of $0.0001 per share with rights and preferences, including voting rights, designated from time to time by the board of directors.</w:t>
      </w:r>
    </w:p>
    <w:p>
      <w:pPr>
        <w:spacing w:after="0" w:line="170" w:lineRule="exact"/>
        <w:rPr>
          <w:sz w:val="20"/>
          <w:szCs w:val="20"/>
          <w:color w:val="auto"/>
        </w:rPr>
      </w:pPr>
    </w:p>
    <w:p>
      <w:pPr>
        <w:ind w:firstLine="509"/>
        <w:spacing w:after="0" w:line="273"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 In connection with the IPO, the Company’s current amended and restated certificate of incorporation authorized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issuance of 2,000,000,000 shares of voting common stock with a par value of $0.0001 per share and 10,000,000 shares of non-voting common stock with a par value of $0.0001 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2021, the Company had reserved shares of common stock for future issuance as follows: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57"/>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Issued and outstanding stock options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16,390,325</w:t>
            </w:r>
          </w:p>
        </w:tc>
        <w:tc>
          <w:tcPr>
            <w:tcW w:w="140" w:type="dxa"/>
            <w:vAlign w:val="bottom"/>
            <w:shd w:val="clear" w:color="auto" w:fill="CFF0FC"/>
          </w:tcPr>
          <w:p>
            <w:pPr>
              <w:spacing w:after="0"/>
              <w:rPr>
                <w:sz w:val="22"/>
                <w:szCs w:val="22"/>
                <w:color w:val="auto"/>
              </w:rPr>
            </w:pPr>
          </w:p>
        </w:tc>
      </w:tr>
      <w:tr>
        <w:trPr>
          <w:trHeight w:val="250"/>
        </w:trPr>
        <w:tc>
          <w:tcPr>
            <w:tcW w:w="5400" w:type="dxa"/>
            <w:vAlign w:val="bottom"/>
          </w:tcPr>
          <w:p>
            <w:pPr>
              <w:spacing w:after="0"/>
              <w:rPr>
                <w:sz w:val="20"/>
                <w:szCs w:val="20"/>
                <w:color w:val="auto"/>
              </w:rPr>
            </w:pPr>
            <w:r>
              <w:rPr>
                <w:rFonts w:ascii="Arial" w:cs="Arial" w:eastAsia="Arial" w:hAnsi="Arial"/>
                <w:sz w:val="18"/>
                <w:szCs w:val="18"/>
                <w:color w:val="auto"/>
              </w:rPr>
              <w:t>Issued and outstanding restricted stock units</w:t>
            </w:r>
          </w:p>
        </w:tc>
        <w:tc>
          <w:tcPr>
            <w:tcW w:w="1200" w:type="dxa"/>
            <w:vAlign w:val="bottom"/>
          </w:tcPr>
          <w:p>
            <w:pPr>
              <w:jc w:val="right"/>
              <w:spacing w:after="0"/>
              <w:rPr>
                <w:sz w:val="20"/>
                <w:szCs w:val="20"/>
                <w:color w:val="auto"/>
              </w:rPr>
            </w:pPr>
            <w:r>
              <w:rPr>
                <w:rFonts w:ascii="Arial" w:cs="Arial" w:eastAsia="Arial" w:hAnsi="Arial"/>
                <w:sz w:val="18"/>
                <w:szCs w:val="18"/>
                <w:color w:val="auto"/>
              </w:rPr>
              <w:t>29,176</w:t>
            </w:r>
          </w:p>
        </w:tc>
        <w:tc>
          <w:tcPr>
            <w:tcW w:w="140" w:type="dxa"/>
            <w:vAlign w:val="bottom"/>
          </w:tcPr>
          <w:p>
            <w:pPr>
              <w:spacing w:after="0"/>
              <w:rPr>
                <w:sz w:val="21"/>
                <w:szCs w:val="21"/>
                <w:color w:val="auto"/>
              </w:rPr>
            </w:pPr>
          </w:p>
        </w:tc>
      </w:tr>
      <w:tr>
        <w:trPr>
          <w:trHeight w:val="257"/>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 issuance under stock plans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9,605,743</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50"/>
        </w:trPr>
        <w:tc>
          <w:tcPr>
            <w:tcW w:w="540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26,025,244</w:t>
            </w:r>
          </w:p>
        </w:tc>
        <w:tc>
          <w:tcPr>
            <w:tcW w:w="140" w:type="dxa"/>
            <w:vAlign w:val="bottom"/>
          </w:tcPr>
          <w:p>
            <w:pPr>
              <w:spacing w:after="0"/>
              <w:rPr>
                <w:sz w:val="21"/>
                <w:szCs w:val="21"/>
                <w:color w:val="auto"/>
              </w:rPr>
            </w:pPr>
          </w:p>
        </w:tc>
      </w:tr>
      <w:tr>
        <w:trPr>
          <w:trHeight w:val="20"/>
        </w:trPr>
        <w:tc>
          <w:tcPr>
            <w:tcW w:w="54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-193675</wp:posOffset>
            </wp:positionV>
            <wp:extent cx="8572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53" w:lineRule="exact"/>
        <w:rPr>
          <w:sz w:val="20"/>
          <w:szCs w:val="20"/>
          <w:color w:val="auto"/>
        </w:rPr>
      </w:pPr>
    </w:p>
    <w:p>
      <w:pPr>
        <w:ind w:right="120" w:firstLine="509"/>
        <w:spacing w:after="0" w:line="268" w:lineRule="auto"/>
        <w:rPr>
          <w:sz w:val="20"/>
          <w:szCs w:val="20"/>
          <w:color w:val="auto"/>
        </w:rPr>
      </w:pPr>
      <w:r>
        <w:rPr>
          <w:rFonts w:ascii="Arial" w:cs="Arial" w:eastAsia="Arial" w:hAnsi="Arial"/>
          <w:sz w:val="18"/>
          <w:szCs w:val="18"/>
          <w:color w:val="auto"/>
        </w:rPr>
        <w:t>The Company has stock-based compensation plans that provide for the award of equity incentives, including stock options, restricted stock awards (RSAs), restricted stock units (RSUs), performance shares, performance units and other stock-based awards. No further awards can be made under the 2009 Equity Incentive Plan (2009 Plan) or 2018 Equity Incentive Plan (2018 Plan); however, awards outstanding under the 2009 Plan and 2018 Plan will continue to be governed by their existing terms. With the establishment of the 2021 Equity Incentive Plan (the 2021 Plan) as further discussed below, upon the expiration, forfeiture, cancellation, or reacquisition of any stock-based awards granted under the 2009 Plan or 2018 Plan, and equal number of shares will become available for grant under the 2021 Plan.</w:t>
      </w:r>
    </w:p>
    <w:p>
      <w:pPr>
        <w:spacing w:after="0" w:line="206" w:lineRule="exact"/>
        <w:rPr>
          <w:sz w:val="20"/>
          <w:szCs w:val="20"/>
          <w:color w:val="auto"/>
        </w:rPr>
      </w:pPr>
    </w:p>
    <w:p>
      <w:pPr>
        <w:ind w:right="60" w:firstLine="509"/>
        <w:spacing w:after="0" w:line="268" w:lineRule="auto"/>
        <w:rPr>
          <w:sz w:val="20"/>
          <w:szCs w:val="20"/>
          <w:color w:val="auto"/>
        </w:rPr>
      </w:pPr>
      <w:r>
        <w:rPr>
          <w:rFonts w:ascii="Arial" w:cs="Arial" w:eastAsia="Arial" w:hAnsi="Arial"/>
          <w:sz w:val="18"/>
          <w:szCs w:val="18"/>
          <w:color w:val="auto"/>
        </w:rPr>
        <w:t>In April 2021, the Company’s board of directors adopted, and in May 2021 its stockholders approved, the 2021 Plan, which became effective in connection with the IPO. The 2021 Plan provides for the grant of incentive stock options, nonqualified stock options, stock appreciation rights, RSAs, RSU awards, performance awards and other forms of equity compensation (collectively, equity awards). A total of 9,201,156 shares of the Company’s common stock have been reserved for issuance under the 2021 Plan in addition to (i) any annual automatic evergreen increases in the number of shares of common stock reserved for issuance under the 2021 Plan and (ii) upon the expiration, forfeiture, cancellation, or reacquisition of any shares of common stock underlying outstanding stock awards granted under the 2009 Plan and 2018 Plan, an equal number of shares of common stock.</w:t>
      </w:r>
    </w:p>
    <w:p>
      <w:pPr>
        <w:spacing w:after="0" w:line="205" w:lineRule="exact"/>
        <w:rPr>
          <w:sz w:val="20"/>
          <w:szCs w:val="20"/>
          <w:color w:val="auto"/>
        </w:rPr>
      </w:pPr>
    </w:p>
    <w:p>
      <w:pPr>
        <w:ind w:right="40" w:firstLine="509"/>
        <w:spacing w:after="0" w:line="267" w:lineRule="auto"/>
        <w:rPr>
          <w:sz w:val="20"/>
          <w:szCs w:val="20"/>
          <w:color w:val="auto"/>
        </w:rPr>
      </w:pPr>
      <w:r>
        <w:rPr>
          <w:rFonts w:ascii="Arial" w:cs="Arial" w:eastAsia="Arial" w:hAnsi="Arial"/>
          <w:sz w:val="18"/>
          <w:szCs w:val="18"/>
          <w:color w:val="auto"/>
        </w:rPr>
        <w:t>In April 2021, the Company’s board of directors adopted, and in May 2021 its stockholders approved, the 2021 Employee Stock Purchase Plan (the 2021 ESPP), which became effective in connection with the IPO. The 2021 ESPP authorizes the issuance of shares of common stock pursuant to purchase rights granted to employees. A total of 1,639,810 shares of the Company’s common stock have been reserved for future issuance under the 2021 ESPP, in addition to any annual automatic evergreen increases in the number of shares of common stock reserved for future issuance under the 2021 ESPP. The price at which common stock is purchased under the 2021 ESPP is equal to 85% of the fair market value of a share of the Company’s common stock on the first or last day of the offering period, whichever is lower. Offering periods are generally 3 months long. As of September 30, 2021, the Company has not commenced any offering period under the ESPP.</w:t>
      </w:r>
    </w:p>
    <w:p>
      <w:pPr>
        <w:spacing w:after="0" w:line="188" w:lineRule="exact"/>
        <w:rPr>
          <w:sz w:val="20"/>
          <w:szCs w:val="20"/>
          <w:color w:val="auto"/>
        </w:rPr>
      </w:pPr>
    </w:p>
    <w:p>
      <w:pPr>
        <w:ind w:right="40" w:firstLine="509"/>
        <w:spacing w:after="0" w:line="303"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 Stock options granted under the 2009 Plan, 2018 Plan and the 2021 Plan generally vest based on continued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four years and expire ten years from the date of grant.</w:t>
      </w:r>
    </w:p>
    <w:p>
      <w:pPr>
        <w:spacing w:after="0" w:line="174"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During the three and nine months ended September 30, 2021, the Company granted an aggregate of 263,050 and 4,160,200 shares of stock options with weighted average exercise prices of $31.30 and $10.41 per share, respectively.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25" w:name="page26"/>
    <w:bookmarkEnd w:id="25"/>
    <w:p>
      <w:pPr>
        <w:ind w:right="300"/>
        <w:spacing w:after="0" w:line="271" w:lineRule="auto"/>
        <w:rPr>
          <w:sz w:val="20"/>
          <w:szCs w:val="20"/>
          <w:color w:val="auto"/>
        </w:rPr>
      </w:pPr>
      <w:r>
        <w:rPr>
          <w:rFonts w:ascii="Arial" w:cs="Arial" w:eastAsia="Arial" w:hAnsi="Arial"/>
          <w:sz w:val="18"/>
          <w:szCs w:val="18"/>
          <w:color w:val="auto"/>
        </w:rPr>
        <w:t>The fair value of options granted before the closing of the IPO was estimated at the grant date using the Black-Scholes model with the following assumptions: (i) expected term of 6.08 years, (ii) expected volatility of 42.4%, (iii) risk-free interest rate range of 0.53% to 1.21% and (iv) expected dividend yield of 0%.</w:t>
      </w:r>
    </w:p>
    <w:p>
      <w:pPr>
        <w:spacing w:after="0" w:line="203"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As of September 30, 2021, there was $30.9 million of total unrecognized expense related to unvested stock options, which is expected to be recognized over a weighted-average period of 2.8 years.</w:t>
      </w:r>
    </w:p>
    <w:p>
      <w:pPr>
        <w:spacing w:after="0" w:line="175"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 An RSU is a stock award that entitles the holder to receive shares of the Company’s common stock as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vests. During the three and nine months ended September 30, 2021, the Company granted an aggregate of 7,301 and 29,176 shares of RSUs, respectively. The fair value of the RSUs was estimated based upon the market closing price of the Company’s common stock on the date of the grant. The RSUs vest over the requisite service period, which range between one and three years from the date of the grant, subject to the continued employment of the employees and services of the nonemployee board members.</w:t>
      </w:r>
    </w:p>
    <w:p>
      <w:pPr>
        <w:spacing w:after="0" w:line="200"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As of September 30, 2021, there was $1.0 million of total unrecognized compensation expense related to unvested RSUs and RSAs, which is expected to be recognized over a weighted-average period of 2.1 years.</w:t>
      </w:r>
    </w:p>
    <w:p>
      <w:pPr>
        <w:spacing w:after="0" w:line="197"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following table summarizes the stock-based compensation expense for stock options, RSAs and RSUs granted to employees that was recorded in the Company’s consolidated statements of operations and comprehensive loss (in thousands):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79"/>
              <w:spacing w:after="0"/>
              <w:rPr>
                <w:sz w:val="20"/>
                <w:szCs w:val="20"/>
                <w:color w:val="auto"/>
              </w:rPr>
            </w:pPr>
            <w:r>
              <w:rPr>
                <w:rFonts w:ascii="Arial" w:cs="Arial" w:eastAsia="Arial" w:hAnsi="Arial"/>
                <w:sz w:val="14"/>
                <w:szCs w:val="14"/>
                <w:b w:val="1"/>
                <w:bCs w:val="1"/>
                <w:color w:val="auto"/>
              </w:rPr>
              <w:t>For the Three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79"/>
              <w:spacing w:after="0"/>
              <w:rPr>
                <w:sz w:val="20"/>
                <w:szCs w:val="20"/>
                <w:color w:val="auto"/>
              </w:rPr>
            </w:pPr>
            <w:r>
              <w:rPr>
                <w:rFonts w:ascii="Arial" w:cs="Arial" w:eastAsia="Arial" w:hAnsi="Arial"/>
                <w:sz w:val="14"/>
                <w:szCs w:val="14"/>
                <w:b w:val="1"/>
                <w:bCs w:val="1"/>
                <w:color w:val="auto"/>
              </w:rPr>
              <w:t>For the Three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59"/>
              <w:spacing w:after="0"/>
              <w:rPr>
                <w:sz w:val="20"/>
                <w:szCs w:val="20"/>
                <w:color w:val="auto"/>
              </w:rPr>
            </w:pPr>
            <w:r>
              <w:rPr>
                <w:rFonts w:ascii="Arial" w:cs="Arial" w:eastAsia="Arial" w:hAnsi="Arial"/>
                <w:sz w:val="14"/>
                <w:szCs w:val="14"/>
                <w:b w:val="1"/>
                <w:bCs w:val="1"/>
                <w:color w:val="auto"/>
              </w:rPr>
              <w:t>For the Nine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39"/>
              <w:spacing w:after="0"/>
              <w:rPr>
                <w:sz w:val="20"/>
                <w:szCs w:val="20"/>
                <w:color w:val="auto"/>
              </w:rPr>
            </w:pPr>
            <w:r>
              <w:rPr>
                <w:rFonts w:ascii="Arial" w:cs="Arial" w:eastAsia="Arial" w:hAnsi="Arial"/>
                <w:sz w:val="14"/>
                <w:szCs w:val="14"/>
                <w:b w:val="1"/>
                <w:bCs w:val="1"/>
                <w:color w:val="auto"/>
              </w:rPr>
              <w:t>For the Nine</w:t>
            </w:r>
          </w:p>
        </w:tc>
        <w:tc>
          <w:tcPr>
            <w:tcW w:w="80" w:type="dxa"/>
            <w:vAlign w:val="bottom"/>
          </w:tcPr>
          <w:p>
            <w:pPr>
              <w:spacing w:after="0"/>
              <w:rPr>
                <w:sz w:val="15"/>
                <w:szCs w:val="15"/>
                <w:color w:val="auto"/>
              </w:rPr>
            </w:pPr>
          </w:p>
        </w:tc>
      </w:tr>
      <w:tr>
        <w:trPr>
          <w:trHeight w:val="176"/>
        </w:trPr>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9"/>
              <w:spacing w:after="0"/>
              <w:rPr>
                <w:sz w:val="20"/>
                <w:szCs w:val="20"/>
                <w:color w:val="auto"/>
              </w:rPr>
            </w:pPr>
            <w:r>
              <w:rPr>
                <w:rFonts w:ascii="Arial" w:cs="Arial" w:eastAsia="Arial" w:hAnsi="Arial"/>
                <w:sz w:val="14"/>
                <w:szCs w:val="14"/>
                <w:b w:val="1"/>
                <w:bCs w:val="1"/>
                <w:color w:val="auto"/>
              </w:rPr>
              <w:t>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9"/>
              <w:spacing w:after="0"/>
              <w:rPr>
                <w:sz w:val="20"/>
                <w:szCs w:val="20"/>
                <w:color w:val="auto"/>
              </w:rPr>
            </w:pPr>
            <w:r>
              <w:rPr>
                <w:rFonts w:ascii="Arial" w:cs="Arial" w:eastAsia="Arial" w:hAnsi="Arial"/>
                <w:sz w:val="14"/>
                <w:szCs w:val="14"/>
                <w:b w:val="1"/>
                <w:bCs w:val="1"/>
                <w:color w:val="auto"/>
              </w:rPr>
              <w:t>Months Ended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39"/>
              <w:spacing w:after="0"/>
              <w:rPr>
                <w:sz w:val="20"/>
                <w:szCs w:val="20"/>
                <w:color w:val="auto"/>
              </w:rPr>
            </w:pPr>
            <w:r>
              <w:rPr>
                <w:rFonts w:ascii="Arial" w:cs="Arial" w:eastAsia="Arial" w:hAnsi="Arial"/>
                <w:sz w:val="14"/>
                <w:szCs w:val="14"/>
                <w:b w:val="1"/>
                <w:bCs w:val="1"/>
                <w:color w:val="auto"/>
              </w:rPr>
              <w:t>Months Ended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59"/>
              <w:spacing w:after="0"/>
              <w:rPr>
                <w:sz w:val="20"/>
                <w:szCs w:val="20"/>
                <w:color w:val="auto"/>
              </w:rPr>
            </w:pPr>
            <w:r>
              <w:rPr>
                <w:rFonts w:ascii="Arial" w:cs="Arial" w:eastAsia="Arial" w:hAnsi="Arial"/>
                <w:sz w:val="14"/>
                <w:szCs w:val="14"/>
                <w:b w:val="1"/>
                <w:bCs w:val="1"/>
                <w:color w:val="auto"/>
              </w:rPr>
              <w:t>Months Ended</w:t>
            </w:r>
          </w:p>
        </w:tc>
        <w:tc>
          <w:tcPr>
            <w:tcW w:w="80" w:type="dxa"/>
            <w:vAlign w:val="bottom"/>
          </w:tcPr>
          <w:p>
            <w:pPr>
              <w:spacing w:after="0"/>
              <w:rPr>
                <w:sz w:val="15"/>
                <w:szCs w:val="15"/>
                <w:color w:val="auto"/>
              </w:rPr>
            </w:pPr>
          </w:p>
        </w:tc>
      </w:tr>
      <w:tr>
        <w:trPr>
          <w:trHeight w:val="175"/>
        </w:trPr>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9"/>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9"/>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39"/>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59"/>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r>
      <w:tr>
        <w:trPr>
          <w:trHeight w:val="196"/>
        </w:trPr>
        <w:tc>
          <w:tcPr>
            <w:tcW w:w="4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FF0FC"/>
          </w:tcPr>
          <w:p>
            <w:pPr>
              <w:spacing w:after="0"/>
              <w:rPr>
                <w:sz w:val="22"/>
                <w:szCs w:val="22"/>
                <w:color w:val="auto"/>
              </w:rPr>
            </w:pPr>
          </w:p>
        </w:tc>
      </w:tr>
      <w:tr>
        <w:trPr>
          <w:trHeight w:val="250"/>
        </w:trPr>
        <w:tc>
          <w:tcPr>
            <w:tcW w:w="4180" w:type="dxa"/>
            <w:vAlign w:val="bottom"/>
          </w:tcPr>
          <w:p>
            <w:pPr>
              <w:spacing w:after="0"/>
              <w:rPr>
                <w:sz w:val="20"/>
                <w:szCs w:val="20"/>
                <w:color w:val="auto"/>
              </w:rPr>
            </w:pPr>
            <w:r>
              <w:rPr>
                <w:rFonts w:ascii="Arial" w:cs="Arial" w:eastAsia="Arial" w:hAnsi="Arial"/>
                <w:sz w:val="18"/>
                <w:szCs w:val="18"/>
                <w:color w:val="auto"/>
              </w:rPr>
              <w:t>Selling and marketing</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4,197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21"/>
                <w:szCs w:val="21"/>
                <w:color w:val="auto"/>
              </w:rPr>
            </w:pPr>
          </w:p>
        </w:tc>
      </w:tr>
      <w:tr>
        <w:trPr>
          <w:trHeight w:val="257"/>
        </w:trPr>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1,715</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9,585</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1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2,778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1,036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15,538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2,860</w:t>
            </w:r>
          </w:p>
        </w:tc>
        <w:tc>
          <w:tcPr>
            <w:tcW w:w="80" w:type="dxa"/>
            <w:vAlign w:val="bottom"/>
          </w:tcPr>
          <w:p>
            <w:pPr>
              <w:spacing w:after="0"/>
              <w:rPr>
                <w:sz w:val="21"/>
                <w:szCs w:val="2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-193675</wp:posOffset>
            </wp:positionV>
            <wp:extent cx="12890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-193675</wp:posOffset>
            </wp:positionV>
            <wp:extent cx="11112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-193675</wp:posOffset>
            </wp:positionV>
            <wp:extent cx="11176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-193675</wp:posOffset>
            </wp:positionV>
            <wp:extent cx="4318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ind w:right="100" w:firstLine="509"/>
        <w:spacing w:after="0" w:line="268" w:lineRule="auto"/>
        <w:rPr>
          <w:sz w:val="20"/>
          <w:szCs w:val="20"/>
          <w:color w:val="auto"/>
        </w:rPr>
      </w:pPr>
      <w:r>
        <w:rPr>
          <w:rFonts w:ascii="Arial" w:cs="Arial" w:eastAsia="Arial" w:hAnsi="Arial"/>
          <w:sz w:val="18"/>
          <w:szCs w:val="18"/>
          <w:color w:val="auto"/>
        </w:rPr>
        <w:t>In February 2021, certain of the Company’s existing investors acquired 1,205,118 outstanding shares of common stock from employees of the Company for a purchase price greater than the fair value of the common stock at the time of the transaction. As a result, the Company recorded $8.4 million of stock-based compensation expense during the nine months ended September 30, 2021. The amount recorded as stock-based compensation represents the difference between the price paid and the estimated fair value at the date of the transaction.</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Income (Loss) per Share</w:t>
      </w:r>
    </w:p>
    <w:p>
      <w:pPr>
        <w:spacing w:after="0" w:line="153" w:lineRule="exact"/>
        <w:rPr>
          <w:sz w:val="20"/>
          <w:szCs w:val="20"/>
          <w:color w:val="auto"/>
        </w:rPr>
      </w:pPr>
    </w:p>
    <w:p>
      <w:pPr>
        <w:ind w:right="40" w:firstLine="509"/>
        <w:spacing w:after="0" w:line="268" w:lineRule="auto"/>
        <w:rPr>
          <w:sz w:val="20"/>
          <w:szCs w:val="20"/>
          <w:color w:val="auto"/>
        </w:rPr>
      </w:pPr>
      <w:r>
        <w:rPr>
          <w:rFonts w:ascii="Arial" w:cs="Arial" w:eastAsia="Arial" w:hAnsi="Arial"/>
          <w:sz w:val="18"/>
          <w:szCs w:val="18"/>
          <w:color w:val="auto"/>
        </w:rPr>
        <w:t>Flywire follows the two-class method when computing net income (loss) per share as the Company has issued shares that meet the definition of participating securities. Prior to the automatic conversion of all of its convertible preferred stock and redeemable convertible preferred stock into voting and non-voting common stock upon the completion of the IPO, the Company considered all series of its preferred stock and unvested common stock to be participating securities as the holders of such stock had the right to receive nonforfeitable dividends on a pari passu basis in the event that a dividend was paid on common stock. Under the two-class method, the net loss attributable to common stockholders is not allocated to the convertible preferred stock or the redeemable convertible preferred stock as the preferred stockholders do not have a contractual obligation to share in the Company’s losses.</w:t>
      </w:r>
    </w:p>
    <w:p>
      <w:pPr>
        <w:spacing w:after="0" w:line="205" w:lineRule="exact"/>
        <w:rPr>
          <w:sz w:val="20"/>
          <w:szCs w:val="20"/>
          <w:color w:val="auto"/>
        </w:rPr>
      </w:pPr>
    </w:p>
    <w:p>
      <w:pPr>
        <w:ind w:right="140" w:firstLine="509"/>
        <w:spacing w:after="0" w:line="268" w:lineRule="auto"/>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including all potentially dilutive common shares, if the effect of such shares is dilutive.</w:t>
      </w:r>
    </w:p>
    <w:p>
      <w:pPr>
        <w:spacing w:after="0" w:line="206"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26" w:name="page27"/>
    <w:bookmarkEnd w:id="26"/>
    <w:p>
      <w:pPr>
        <w:ind w:right="220"/>
        <w:spacing w:after="0" w:line="269" w:lineRule="auto"/>
        <w:rPr>
          <w:sz w:val="20"/>
          <w:szCs w:val="20"/>
          <w:color w:val="auto"/>
        </w:rPr>
      </w:pPr>
      <w:r>
        <w:rPr>
          <w:rFonts w:ascii="Arial" w:cs="Arial" w:eastAsia="Arial" w:hAnsi="Arial"/>
          <w:sz w:val="18"/>
          <w:szCs w:val="18"/>
          <w:color w:val="auto"/>
        </w:rPr>
        <w:t>gain attributable to common stockholders for the three months ended September 30, 2021 and 2020. The Company reported a net loss attributable to common stockholders for the nine months ended September 30, 2021 and 2020. For the nine months ended September 30, 2021 and 2020, net loss per share attributable to common stockholders was the same as diluted net loss per share attributable to common stockholders.</w:t>
      </w:r>
    </w:p>
    <w:p>
      <w:pPr>
        <w:spacing w:after="0" w:line="206"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loss per share attributable to common stockholders are, therefore, the same for both voting and non-voting common stock on both individual and combined basis.</w:t>
      </w:r>
    </w:p>
    <w:p>
      <w:pPr>
        <w:spacing w:after="0" w:line="206"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198" w:lineRule="exact"/>
        <w:rPr>
          <w:sz w:val="20"/>
          <w:szCs w:val="20"/>
          <w:color w:val="auto"/>
        </w:rPr>
      </w:pPr>
    </w:p>
    <w:tbl>
      <w:tblPr>
        <w:tblLayout w:type="fixed"/>
        <w:tblInd w:w="4920" w:type="dxa"/>
        <w:tblCellMar>
          <w:top w:w="0" w:type="dxa"/>
          <w:left w:w="0" w:type="dxa"/>
          <w:bottom w:w="0" w:type="dxa"/>
          <w:right w:w="0" w:type="dxa"/>
        </w:tblCellMar>
      </w:tblPr>
      <w:tr>
        <w:trPr>
          <w:trHeight w:val="175"/>
        </w:trPr>
        <w:tc>
          <w:tcPr>
            <w:tcW w:w="2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8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center"/>
              <w:ind w:right="82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center"/>
              <w:ind w:right="768"/>
              <w:spacing w:after="0"/>
              <w:rPr>
                <w:sz w:val="20"/>
                <w:szCs w:val="20"/>
                <w:color w:val="auto"/>
              </w:rPr>
            </w:pPr>
            <w:r>
              <w:rPr>
                <w:rFonts w:ascii="Arial" w:cs="Arial" w:eastAsia="Arial" w:hAnsi="Arial"/>
                <w:sz w:val="14"/>
                <w:szCs w:val="14"/>
                <w:b w:val="1"/>
                <w:bCs w:val="1"/>
                <w:color w:val="auto"/>
              </w:rPr>
              <w:t>September 30,</w:t>
            </w:r>
          </w:p>
        </w:tc>
      </w:tr>
      <w:tr>
        <w:trPr>
          <w:trHeight w:val="190"/>
        </w:trPr>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2000" w:type="dxa"/>
            <w:vAlign w:val="bottom"/>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860" w:type="dxa"/>
            <w:vAlign w:val="bottom"/>
          </w:tcPr>
          <w:p>
            <w:pPr>
              <w:jc w:val="right"/>
              <w:ind w:right="368"/>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7620</wp:posOffset>
            </wp:positionV>
            <wp:extent cx="6489065"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489065" cy="171450"/>
                    </a:xfrm>
                    <a:prstGeom prst="rect">
                      <a:avLst/>
                    </a:prstGeom>
                    <a:noFill/>
                  </pic:spPr>
                </pic:pic>
              </a:graphicData>
            </a:graphic>
          </wp:anchor>
        </w:drawing>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Numerator:</w:t>
      </w:r>
    </w:p>
    <w:p>
      <w:pPr>
        <w:sectPr>
          <w:pgSz w:w="11900" w:h="16838" w:orient="portrait"/>
          <w:cols w:equalWidth="0" w:num="1">
            <w:col w:w="11240"/>
          </w:cols>
          <w:pgMar w:left="320" w:top="598" w:right="339" w:bottom="1440" w:gutter="0" w:footer="0" w:header="0"/>
        </w:sectPr>
      </w:pPr>
    </w:p>
    <w:p>
      <w:pPr>
        <w:spacing w:after="0" w:line="7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Net income (loss)</w:t>
      </w:r>
    </w:p>
    <w:p>
      <w:pPr>
        <w:spacing w:after="0" w:line="7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Accretion of preferred stock to redemption value</w:t>
      </w:r>
    </w:p>
    <w:p>
      <w:pPr>
        <w:spacing w:after="0" w:line="7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Less: Earnings attributable to participating securities</w:t>
      </w:r>
    </w:p>
    <w:p>
      <w:pPr>
        <w:spacing w:after="0" w:line="73" w:lineRule="exact"/>
        <w:rPr>
          <w:sz w:val="20"/>
          <w:szCs w:val="20"/>
          <w:color w:val="auto"/>
        </w:rPr>
      </w:pPr>
    </w:p>
    <w:p>
      <w:pPr>
        <w:ind w:left="920" w:right="380" w:hanging="134"/>
        <w:spacing w:after="0" w:line="278" w:lineRule="auto"/>
        <w:rPr>
          <w:sz w:val="20"/>
          <w:szCs w:val="20"/>
          <w:color w:val="auto"/>
        </w:rPr>
      </w:pPr>
      <w:r>
        <w:rPr>
          <w:rFonts w:ascii="Arial" w:cs="Arial" w:eastAsia="Arial" w:hAnsi="Arial"/>
          <w:sz w:val="16"/>
          <w:szCs w:val="16"/>
          <w:color w:val="auto"/>
        </w:rPr>
        <w:t>Net loss attributable to common shareholders - basic and diluted</w:t>
      </w:r>
    </w:p>
    <w:p>
      <w:pPr>
        <w:spacing w:after="0" w:line="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Denominator:</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9,994</w:t>
            </w:r>
          </w:p>
        </w:tc>
        <w:tc>
          <w:tcPr>
            <w:tcW w:w="72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5,221</w:t>
            </w:r>
          </w:p>
        </w:tc>
        <w:tc>
          <w:tcPr>
            <w:tcW w:w="220" w:type="dxa"/>
            <w:vAlign w:val="bottom"/>
          </w:tcPr>
          <w:p>
            <w:pPr>
              <w:spacing w:after="0"/>
              <w:rPr>
                <w:sz w:val="16"/>
                <w:szCs w:val="16"/>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(16,804 )</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(7,076 )</w:t>
            </w:r>
          </w:p>
        </w:tc>
      </w:tr>
      <w:tr>
        <w:trPr>
          <w:trHeight w:val="257"/>
        </w:trPr>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(4 )</w:t>
            </w:r>
          </w:p>
        </w:tc>
        <w:tc>
          <w:tcPr>
            <w:tcW w:w="38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(13 )</w:t>
            </w:r>
          </w:p>
        </w:tc>
        <w:tc>
          <w:tcPr>
            <w:tcW w:w="40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(10 )</w:t>
            </w:r>
          </w:p>
        </w:tc>
      </w:tr>
      <w:tr>
        <w:trPr>
          <w:trHeight w:val="253"/>
        </w:trPr>
        <w:tc>
          <w:tcPr>
            <w:tcW w:w="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(4,060 )</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r>
      <w:tr>
        <w:trPr>
          <w:trHeight w:val="23"/>
        </w:trPr>
        <w:tc>
          <w:tcPr>
            <w:tcW w:w="4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85"/>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9,994</w:t>
            </w:r>
          </w:p>
        </w:tc>
        <w:tc>
          <w:tcPr>
            <w:tcW w:w="240" w:type="dxa"/>
            <w:vAlign w:val="bottom"/>
          </w:tcPr>
          <w:p>
            <w:pPr>
              <w:spacing w:after="0"/>
              <w:rPr>
                <w:sz w:val="24"/>
                <w:szCs w:val="24"/>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1,157</w:t>
            </w:r>
          </w:p>
        </w:tc>
        <w:tc>
          <w:tcPr>
            <w:tcW w:w="22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(16,817 )</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(7,086 )</w:t>
            </w:r>
          </w:p>
        </w:tc>
      </w:tr>
      <w:tr>
        <w:trPr>
          <w:trHeight w:val="20"/>
        </w:trPr>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-2792730</wp:posOffset>
            </wp:positionH>
            <wp:positionV relativeFrom="paragraph">
              <wp:posOffset>-599440</wp:posOffset>
            </wp:positionV>
            <wp:extent cx="6489065" cy="1631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489065" cy="16319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-273685</wp:posOffset>
            </wp:positionV>
            <wp:extent cx="6489065" cy="2743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89065" cy="274320"/>
                    </a:xfrm>
                    <a:prstGeom prst="rect">
                      <a:avLst/>
                    </a:prstGeom>
                    <a:noFill/>
                  </pic:spPr>
                </pic:pic>
              </a:graphicData>
            </a:graphic>
          </wp:anchor>
        </w:drawing>
      </w:r>
    </w:p>
    <w:p>
      <w:pPr>
        <w:spacing w:after="0" w:line="256" w:lineRule="exact"/>
        <w:rPr>
          <w:sz w:val="20"/>
          <w:szCs w:val="20"/>
          <w:color w:val="auto"/>
        </w:rPr>
      </w:pPr>
    </w:p>
    <w:p>
      <w:pPr>
        <w:sectPr>
          <w:pgSz w:w="11900" w:h="16838" w:orient="portrait"/>
          <w:cols w:equalWidth="0" w:num="2">
            <w:col w:w="4520" w:space="400"/>
            <w:col w:w="6320"/>
          </w:cols>
          <w:pgMar w:left="320" w:top="598" w:right="339" w:bottom="1440" w:gutter="0" w:footer="0" w:header="0"/>
          <w:type w:val="continuous"/>
        </w:sectPr>
      </w:pPr>
    </w:p>
    <w:tbl>
      <w:tblPr>
        <w:tblLayout w:type="fixed"/>
        <w:tblInd w:w="520" w:type="dxa"/>
        <w:tblCellMar>
          <w:top w:w="0" w:type="dxa"/>
          <w:left w:w="0" w:type="dxa"/>
          <w:bottom w:w="0" w:type="dxa"/>
          <w:right w:w="0" w:type="dxa"/>
        </w:tblCellMar>
      </w:tblPr>
      <w:tr>
        <w:trPr>
          <w:trHeight w:val="257"/>
        </w:trPr>
        <w:tc>
          <w:tcPr>
            <w:tcW w:w="4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Weighted average shares outstanding – basic</w:t>
            </w:r>
          </w:p>
        </w:tc>
        <w:tc>
          <w:tcPr>
            <w:tcW w:w="2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104,486,136</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18,644,502</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59,667,434</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18,163,078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400" w:type="dxa"/>
            <w:vAlign w:val="bottom"/>
          </w:tcPr>
          <w:p>
            <w:pPr>
              <w:ind w:left="260"/>
              <w:spacing w:after="0"/>
              <w:rPr>
                <w:sz w:val="20"/>
                <w:szCs w:val="20"/>
                <w:color w:val="auto"/>
              </w:rPr>
            </w:pPr>
            <w:r>
              <w:rPr>
                <w:rFonts w:ascii="Arial" w:cs="Arial" w:eastAsia="Arial" w:hAnsi="Arial"/>
                <w:sz w:val="16"/>
                <w:szCs w:val="16"/>
                <w:color w:val="auto"/>
              </w:rPr>
              <w:t>Effect of potentially dilutive stock options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13,722,829</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7,436,214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Effect of potentially dilutive restricted common stock</w:t>
            </w:r>
          </w:p>
        </w:tc>
        <w:tc>
          <w:tcPr>
            <w:tcW w:w="240" w:type="dxa"/>
            <w:vAlign w:val="bottom"/>
            <w:shd w:val="clear" w:color="auto" w:fill="CFF0FC"/>
          </w:tcPr>
          <w:p>
            <w:pPr>
              <w:spacing w:after="0"/>
              <w:rPr>
                <w:sz w:val="23"/>
                <w:szCs w:val="2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236,942</w:t>
            </w:r>
          </w:p>
        </w:tc>
        <w:tc>
          <w:tcPr>
            <w:tcW w:w="24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856,797</w:t>
            </w:r>
          </w:p>
        </w:tc>
        <w:tc>
          <w:tcPr>
            <w:tcW w:w="2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260"/>
              <w:spacing w:after="0"/>
              <w:rPr>
                <w:sz w:val="20"/>
                <w:szCs w:val="20"/>
                <w:color w:val="auto"/>
              </w:rPr>
            </w:pPr>
            <w:r>
              <w:rPr>
                <w:rFonts w:ascii="Arial" w:cs="Arial" w:eastAsia="Arial" w:hAnsi="Arial"/>
                <w:sz w:val="16"/>
                <w:szCs w:val="16"/>
                <w:color w:val="auto"/>
              </w:rPr>
              <w:t>Effect of potentially dilutive warrants for convertible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0" w:type="dxa"/>
            <w:vAlign w:val="bottom"/>
          </w:tcPr>
          <w:p>
            <w:pPr>
              <w:ind w:left="260"/>
              <w:spacing w:after="0"/>
              <w:rPr>
                <w:sz w:val="20"/>
                <w:szCs w:val="20"/>
                <w:color w:val="auto"/>
              </w:rPr>
            </w:pPr>
            <w:r>
              <w:rPr>
                <w:rFonts w:ascii="Arial" w:cs="Arial" w:eastAsia="Arial" w:hAnsi="Arial"/>
                <w:sz w:val="16"/>
                <w:szCs w:val="16"/>
                <w:color w:val="auto"/>
              </w:rPr>
              <w:t>preferred stock</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277,599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4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Effect of dilutive warrants for common stock</w:t>
            </w:r>
          </w:p>
        </w:tc>
        <w:tc>
          <w:tcPr>
            <w:tcW w:w="240" w:type="dxa"/>
            <w:vAlign w:val="bottom"/>
            <w:shd w:val="clear" w:color="auto" w:fill="CFF0FC"/>
          </w:tcPr>
          <w:p>
            <w:pPr>
              <w:spacing w:after="0"/>
              <w:rPr>
                <w:sz w:val="23"/>
                <w:szCs w:val="2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71,832</w:t>
            </w:r>
          </w:p>
        </w:tc>
        <w:tc>
          <w:tcPr>
            <w:tcW w:w="2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60"/>
              <w:spacing w:after="0"/>
              <w:rPr>
                <w:sz w:val="20"/>
                <w:szCs w:val="20"/>
                <w:color w:val="auto"/>
              </w:rPr>
            </w:pPr>
            <w:r>
              <w:rPr>
                <w:rFonts w:ascii="Arial" w:cs="Arial" w:eastAsia="Arial" w:hAnsi="Arial"/>
                <w:sz w:val="16"/>
                <w:szCs w:val="16"/>
                <w:color w:val="auto"/>
              </w:rPr>
              <w:t>Weighted average shares outstanding – diluted</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118,445,907</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27,286,944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59,667,434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18,163,078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 (loss) per share attributable to common</w:t>
            </w:r>
          </w:p>
        </w:tc>
        <w:tc>
          <w:tcPr>
            <w:tcW w:w="24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0.10</w:t>
            </w:r>
          </w:p>
        </w:tc>
        <w:tc>
          <w:tcPr>
            <w:tcW w:w="240" w:type="dxa"/>
            <w:vAlign w:val="bottom"/>
            <w:vMerge w:val="restart"/>
            <w:shd w:val="clear" w:color="auto" w:fill="CFF0FC"/>
          </w:tcPr>
          <w:p>
            <w:pPr>
              <w:spacing w:after="0"/>
              <w:rPr>
                <w:sz w:val="17"/>
                <w:szCs w:val="17"/>
                <w:color w:val="auto"/>
              </w:rPr>
            </w:pPr>
          </w:p>
        </w:tc>
        <w:tc>
          <w:tcPr>
            <w:tcW w:w="300" w:type="dxa"/>
            <w:vAlign w:val="bottom"/>
            <w:vMerge w:val="restart"/>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0.06</w:t>
            </w:r>
          </w:p>
        </w:tc>
        <w:tc>
          <w:tcPr>
            <w:tcW w:w="220" w:type="dxa"/>
            <w:vAlign w:val="bottom"/>
            <w:vMerge w:val="restart"/>
            <w:shd w:val="clear" w:color="auto" w:fill="CFF0FC"/>
          </w:tcPr>
          <w:p>
            <w:pPr>
              <w:spacing w:after="0"/>
              <w:rPr>
                <w:sz w:val="17"/>
                <w:szCs w:val="17"/>
                <w:color w:val="auto"/>
              </w:rPr>
            </w:pPr>
          </w:p>
        </w:tc>
        <w:tc>
          <w:tcPr>
            <w:tcW w:w="24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(0.28 )</w:t>
            </w:r>
          </w:p>
        </w:tc>
        <w:tc>
          <w:tcPr>
            <w:tcW w:w="240" w:type="dxa"/>
            <w:vAlign w:val="bottom"/>
            <w:vMerge w:val="restart"/>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(0.39 )</w:t>
            </w:r>
          </w:p>
        </w:tc>
        <w:tc>
          <w:tcPr>
            <w:tcW w:w="0" w:type="dxa"/>
            <w:vAlign w:val="bottom"/>
          </w:tcPr>
          <w:p>
            <w:pPr>
              <w:spacing w:after="0"/>
              <w:rPr>
                <w:sz w:val="1"/>
                <w:szCs w:val="1"/>
                <w:color w:val="auto"/>
              </w:rPr>
            </w:pPr>
          </w:p>
        </w:tc>
      </w:tr>
      <w:tr>
        <w:trPr>
          <w:trHeight w:val="202"/>
        </w:trPr>
        <w:tc>
          <w:tcPr>
            <w:tcW w:w="4400" w:type="dxa"/>
            <w:vAlign w:val="bottom"/>
            <w:shd w:val="clear" w:color="auto" w:fill="CFF0FC"/>
          </w:tcPr>
          <w:p>
            <w:pPr>
              <w:ind w:left="400"/>
              <w:spacing w:after="0" w:line="181" w:lineRule="exact"/>
              <w:rPr>
                <w:sz w:val="20"/>
                <w:szCs w:val="20"/>
                <w:color w:val="auto"/>
              </w:rPr>
            </w:pPr>
            <w:r>
              <w:rPr>
                <w:rFonts w:ascii="Arial" w:cs="Arial" w:eastAsia="Arial" w:hAnsi="Arial"/>
                <w:sz w:val="16"/>
                <w:szCs w:val="16"/>
                <w:color w:val="auto"/>
              </w:rPr>
              <w:t>stockholders – basic</w:t>
            </w:r>
          </w:p>
        </w:tc>
        <w:tc>
          <w:tcPr>
            <w:tcW w:w="240" w:type="dxa"/>
            <w:vAlign w:val="bottom"/>
            <w:vMerge w:val="continue"/>
            <w:shd w:val="clear" w:color="auto" w:fill="CFF0FC"/>
          </w:tcPr>
          <w:p>
            <w:pPr>
              <w:spacing w:after="0"/>
              <w:rPr>
                <w:sz w:val="17"/>
                <w:szCs w:val="17"/>
                <w:color w:val="auto"/>
              </w:rPr>
            </w:pPr>
          </w:p>
        </w:tc>
        <w:tc>
          <w:tcPr>
            <w:tcW w:w="1040" w:type="dxa"/>
            <w:vAlign w:val="bottom"/>
            <w:vMerge w:val="continue"/>
            <w:shd w:val="clear" w:color="auto" w:fill="CFF0FC"/>
          </w:tcPr>
          <w:p>
            <w:pPr>
              <w:spacing w:after="0"/>
              <w:rPr>
                <w:sz w:val="17"/>
                <w:szCs w:val="17"/>
                <w:color w:val="auto"/>
              </w:rPr>
            </w:pPr>
          </w:p>
        </w:tc>
        <w:tc>
          <w:tcPr>
            <w:tcW w:w="240" w:type="dxa"/>
            <w:vAlign w:val="bottom"/>
            <w:vMerge w:val="continue"/>
            <w:shd w:val="clear" w:color="auto" w:fill="CFF0FC"/>
          </w:tcPr>
          <w:p>
            <w:pPr>
              <w:spacing w:after="0"/>
              <w:rPr>
                <w:sz w:val="17"/>
                <w:szCs w:val="17"/>
                <w:color w:val="auto"/>
              </w:rPr>
            </w:pPr>
          </w:p>
        </w:tc>
        <w:tc>
          <w:tcPr>
            <w:tcW w:w="300" w:type="dxa"/>
            <w:vAlign w:val="bottom"/>
            <w:vMerge w:val="continue"/>
            <w:shd w:val="clear" w:color="auto" w:fill="CFF0FC"/>
          </w:tcPr>
          <w:p>
            <w:pPr>
              <w:spacing w:after="0"/>
              <w:rPr>
                <w:sz w:val="17"/>
                <w:szCs w:val="17"/>
                <w:color w:val="auto"/>
              </w:rPr>
            </w:pPr>
          </w:p>
        </w:tc>
        <w:tc>
          <w:tcPr>
            <w:tcW w:w="1040" w:type="dxa"/>
            <w:vAlign w:val="bottom"/>
            <w:vMerge w:val="continue"/>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240" w:type="dxa"/>
            <w:vAlign w:val="bottom"/>
            <w:vMerge w:val="continue"/>
            <w:shd w:val="clear" w:color="auto" w:fill="CFF0FC"/>
          </w:tcPr>
          <w:p>
            <w:pPr>
              <w:spacing w:after="0"/>
              <w:rPr>
                <w:sz w:val="17"/>
                <w:szCs w:val="17"/>
                <w:color w:val="auto"/>
              </w:rPr>
            </w:pPr>
          </w:p>
        </w:tc>
        <w:tc>
          <w:tcPr>
            <w:tcW w:w="1200" w:type="dxa"/>
            <w:vAlign w:val="bottom"/>
            <w:gridSpan w:val="2"/>
            <w:vMerge w:val="continue"/>
            <w:shd w:val="clear" w:color="auto" w:fill="CFF0FC"/>
          </w:tcPr>
          <w:p>
            <w:pPr>
              <w:spacing w:after="0"/>
              <w:rPr>
                <w:sz w:val="17"/>
                <w:szCs w:val="17"/>
                <w:color w:val="auto"/>
              </w:rPr>
            </w:pPr>
          </w:p>
        </w:tc>
        <w:tc>
          <w:tcPr>
            <w:tcW w:w="240" w:type="dxa"/>
            <w:vAlign w:val="bottom"/>
            <w:vMerge w:val="continue"/>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00" w:type="dxa"/>
            <w:vAlign w:val="bottom"/>
          </w:tcPr>
          <w:p>
            <w:pPr>
              <w:ind w:left="260"/>
              <w:spacing w:after="0"/>
              <w:rPr>
                <w:sz w:val="20"/>
                <w:szCs w:val="20"/>
                <w:color w:val="auto"/>
              </w:rPr>
            </w:pPr>
            <w:r>
              <w:rPr>
                <w:rFonts w:ascii="Arial" w:cs="Arial" w:eastAsia="Arial" w:hAnsi="Arial"/>
                <w:sz w:val="16"/>
                <w:szCs w:val="16"/>
                <w:color w:val="auto"/>
              </w:rPr>
              <w:t>Net income (loss) per share attributable to common</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0.08</w:t>
            </w:r>
          </w:p>
        </w:tc>
        <w:tc>
          <w:tcPr>
            <w:tcW w:w="240" w:type="dxa"/>
            <w:vAlign w:val="bottom"/>
            <w:vMerge w:val="restart"/>
          </w:tcPr>
          <w:p>
            <w:pPr>
              <w:spacing w:after="0"/>
              <w:rPr>
                <w:sz w:val="16"/>
                <w:szCs w:val="16"/>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0.04</w:t>
            </w:r>
          </w:p>
        </w:tc>
        <w:tc>
          <w:tcPr>
            <w:tcW w:w="220" w:type="dxa"/>
            <w:vAlign w:val="bottom"/>
            <w:vMerge w:val="restart"/>
          </w:tcPr>
          <w:p>
            <w:pPr>
              <w:spacing w:after="0"/>
              <w:rPr>
                <w:sz w:val="16"/>
                <w:szCs w:val="16"/>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(0.28 )</w:t>
            </w: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(0.39 )</w:t>
            </w:r>
          </w:p>
        </w:tc>
        <w:tc>
          <w:tcPr>
            <w:tcW w:w="0" w:type="dxa"/>
            <w:vAlign w:val="bottom"/>
          </w:tcPr>
          <w:p>
            <w:pPr>
              <w:spacing w:after="0"/>
              <w:rPr>
                <w:sz w:val="1"/>
                <w:szCs w:val="1"/>
                <w:color w:val="auto"/>
              </w:rPr>
            </w:pPr>
          </w:p>
        </w:tc>
      </w:tr>
      <w:tr>
        <w:trPr>
          <w:trHeight w:val="181"/>
        </w:trPr>
        <w:tc>
          <w:tcPr>
            <w:tcW w:w="4400" w:type="dxa"/>
            <w:vAlign w:val="bottom"/>
          </w:tcPr>
          <w:p>
            <w:pPr>
              <w:ind w:left="400"/>
              <w:spacing w:after="0" w:line="181" w:lineRule="exact"/>
              <w:rPr>
                <w:sz w:val="20"/>
                <w:szCs w:val="20"/>
                <w:color w:val="auto"/>
              </w:rPr>
            </w:pPr>
            <w:r>
              <w:rPr>
                <w:rFonts w:ascii="Arial" w:cs="Arial" w:eastAsia="Arial" w:hAnsi="Arial"/>
                <w:sz w:val="16"/>
                <w:szCs w:val="16"/>
                <w:color w:val="auto"/>
              </w:rPr>
              <w:t>stockholders – diluted</w:t>
            </w:r>
          </w:p>
        </w:tc>
        <w:tc>
          <w:tcPr>
            <w:tcW w:w="2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-299720</wp:posOffset>
            </wp:positionV>
            <wp:extent cx="1454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-281940</wp:posOffset>
            </wp:positionV>
            <wp:extent cx="1454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-299720</wp:posOffset>
            </wp:positionV>
            <wp:extent cx="137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-281940</wp:posOffset>
            </wp:positionV>
            <wp:extent cx="137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-299720</wp:posOffset>
            </wp:positionV>
            <wp:extent cx="137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-281940</wp:posOffset>
            </wp:positionV>
            <wp:extent cx="137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-299720</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-281940</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For periods in which the Company is in a loss position, basic net loss per share attributable to common stockholders is the same as diluted net loss per share attributable to common stockholders. Outstanding potentially dilutive securities, which were excluded from the diluted net loss per share calculations because they would have been antidilutive were as follows as of the dates presented:</w:t>
      </w:r>
    </w:p>
    <w:p>
      <w:pPr>
        <w:spacing w:after="0" w:line="204" w:lineRule="exact"/>
        <w:rPr>
          <w:sz w:val="20"/>
          <w:szCs w:val="20"/>
          <w:color w:val="auto"/>
        </w:rPr>
      </w:pPr>
    </w:p>
    <w:tbl>
      <w:tblPr>
        <w:tblLayout w:type="fixed"/>
        <w:tblInd w:w="1700" w:type="dxa"/>
        <w:tblCellMar>
          <w:top w:w="0" w:type="dxa"/>
          <w:left w:w="0" w:type="dxa"/>
          <w:bottom w:w="0" w:type="dxa"/>
          <w:right w:w="0" w:type="dxa"/>
        </w:tblCellMar>
      </w:tblPr>
      <w:tr>
        <w:trPr>
          <w:trHeight w:val="196"/>
        </w:trPr>
        <w:tc>
          <w:tcPr>
            <w:tcW w:w="4920" w:type="dxa"/>
            <w:vAlign w:val="bottom"/>
          </w:tcPr>
          <w:p>
            <w:pPr>
              <w:spacing w:after="0"/>
              <w:rPr>
                <w:sz w:val="17"/>
                <w:szCs w:val="17"/>
                <w:color w:val="auto"/>
              </w:rPr>
            </w:pPr>
          </w:p>
        </w:tc>
        <w:tc>
          <w:tcPr>
            <w:tcW w:w="198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3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Warrants for the purchase of common stock</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264,171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6"/>
                <w:szCs w:val="16"/>
                <w:color w:val="auto"/>
              </w:rPr>
              <w:t>Warrants for the purchase of convertible preferred stock</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20" w:type="dxa"/>
            <w:vAlign w:val="bottom"/>
          </w:tcPr>
          <w:p>
            <w:pPr>
              <w:ind w:left="140"/>
              <w:spacing w:after="0"/>
              <w:rPr>
                <w:sz w:val="20"/>
                <w:szCs w:val="20"/>
                <w:color w:val="auto"/>
              </w:rPr>
            </w:pPr>
            <w:r>
              <w:rPr>
                <w:rFonts w:ascii="Arial" w:cs="Arial" w:eastAsia="Arial" w:hAnsi="Arial"/>
                <w:sz w:val="16"/>
                <w:szCs w:val="16"/>
                <w:color w:val="auto"/>
              </w:rPr>
              <w:t>(as converted into common stock)</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Redeemable convertible preferred stock (as converted</w:t>
            </w: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into common stock)</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54,208,461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6"/>
                <w:szCs w:val="16"/>
                <w:color w:val="auto"/>
              </w:rPr>
              <w:t>Convertible preferred stock (as converted into common</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20" w:type="dxa"/>
            <w:vAlign w:val="bottom"/>
          </w:tcPr>
          <w:p>
            <w:pPr>
              <w:ind w:left="140"/>
              <w:spacing w:after="0"/>
              <w:rPr>
                <w:sz w:val="20"/>
                <w:szCs w:val="20"/>
                <w:color w:val="auto"/>
              </w:rPr>
            </w:pPr>
            <w:r>
              <w:rPr>
                <w:rFonts w:ascii="Arial" w:cs="Arial" w:eastAsia="Arial" w:hAnsi="Arial"/>
                <w:sz w:val="16"/>
                <w:szCs w:val="16"/>
                <w:color w:val="auto"/>
              </w:rPr>
              <w:t>stock)</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11,239,920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Unvested restricted stock awards</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249,979</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826,473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6"/>
                <w:szCs w:val="16"/>
                <w:color w:val="auto"/>
              </w:rPr>
              <w:t>Stock options to purchase common stock (as converted</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16,390,325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10,744,932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20" w:type="dxa"/>
            <w:vAlign w:val="bottom"/>
          </w:tcPr>
          <w:p>
            <w:pPr>
              <w:ind w:left="140"/>
              <w:spacing w:after="0"/>
              <w:rPr>
                <w:sz w:val="20"/>
                <w:szCs w:val="20"/>
                <w:color w:val="auto"/>
              </w:rPr>
            </w:pPr>
            <w:r>
              <w:rPr>
                <w:rFonts w:ascii="Arial" w:cs="Arial" w:eastAsia="Arial" w:hAnsi="Arial"/>
                <w:sz w:val="16"/>
                <w:szCs w:val="16"/>
                <w:color w:val="auto"/>
              </w:rPr>
              <w:t>to common stock)</w:t>
            </w:r>
          </w:p>
        </w:tc>
        <w:tc>
          <w:tcPr>
            <w:tcW w:w="13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92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16,640,304</w:t>
            </w:r>
          </w:p>
        </w:tc>
        <w:tc>
          <w:tcPr>
            <w:tcW w:w="16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77,664,957</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1111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1111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14</w:t>
      </w:r>
      <w:r>
        <w:rPr>
          <w:rFonts w:ascii="Arial" w:cs="Arial" w:eastAsia="Arial" w:hAnsi="Arial"/>
          <w:sz w:val="18"/>
          <w:szCs w:val="18"/>
          <w:b w:val="1"/>
          <w:bCs w:val="1"/>
          <w:i w:val="1"/>
          <w:iCs w:val="1"/>
          <w:color w:val="auto"/>
        </w:rPr>
        <w:t>. Income Taxes</w:t>
      </w:r>
    </w:p>
    <w:p>
      <w:pPr>
        <w:spacing w:after="0" w:line="153"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The Company’s provision for income taxes during the interim periods is determined using an estimate of the Company’s annual effective tax rate, which is adjusted for certain discrete tax items during the interim period. The Company reported an income tax expense of $0.4 million and an income tax benefit of $0.4 million for the three months ended September 30, 2021 and 2020, respectively. The income tax expense and the income tax benefit for the three months ended September 30, 2021 and 2020 were primarily attributable to foreign taxes. The Company reported an income tax expense of $0.8 million and an income tax benefit of $7.8 million for the nine months ended September 30, 2021 and 2020, respectively. The income tax expense for the nine months ended September 30, 2021 was primarily attributable to foreign taxes. The income tax benefit for the nine months ended September 30, 2020 was primarily attributable to the release of the Company’s valuation allowance in connection with the acquisition of Simplee. This release was due to taxable temporary differences recorded as part of the Simplee acquisition which are a source of income to realize certain pre-existing federal and state deferred tax assets.</w:t>
      </w:r>
    </w:p>
    <w:p>
      <w:pPr>
        <w:spacing w:after="0" w:line="209" w:lineRule="exact"/>
        <w:rPr>
          <w:sz w:val="20"/>
          <w:szCs w:val="20"/>
          <w:color w:val="auto"/>
        </w:rPr>
      </w:pPr>
    </w:p>
    <w:p>
      <w:pPr>
        <w:ind w:right="120" w:firstLine="509"/>
        <w:spacing w:after="0" w:line="268" w:lineRule="auto"/>
        <w:rPr>
          <w:sz w:val="20"/>
          <w:szCs w:val="20"/>
          <w:color w:val="auto"/>
        </w:rPr>
      </w:pPr>
      <w:r>
        <w:rPr>
          <w:rFonts w:ascii="Arial" w:cs="Arial" w:eastAsia="Arial" w:hAnsi="Arial"/>
          <w:sz w:val="18"/>
          <w:szCs w:val="18"/>
          <w:color w:val="auto"/>
        </w:rPr>
        <w:t>The Company’s effective tax rate differs from the Federal statutory rate primarily due to the change in valuation allowance in the U.S. The Company has not recorded any amounts for unrecognized tax benefits. The Company is open to future tax examinations from 2016 to the present; however, carryforward attributes that were generated prior to 2016 may still be adjusted upon examination by federal, state or local tax authorities to the extent they will be used in a future period. In 2021, the U.S. Internal Revenue Service commenced a corporate income tax audit with respect to the 2018 calendar year, which is still open.</w:t>
      </w:r>
    </w:p>
    <w:p>
      <w:pPr>
        <w:spacing w:after="0" w:line="208" w:lineRule="exact"/>
        <w:rPr>
          <w:sz w:val="20"/>
          <w:szCs w:val="20"/>
          <w:color w:val="auto"/>
        </w:rPr>
      </w:pPr>
    </w:p>
    <w:p>
      <w:pPr>
        <w:jc w:val="both"/>
        <w:ind w:right="180" w:firstLine="509"/>
        <w:spacing w:after="0" w:line="269" w:lineRule="auto"/>
        <w:rPr>
          <w:sz w:val="20"/>
          <w:szCs w:val="20"/>
          <w:color w:val="auto"/>
        </w:rPr>
      </w:pPr>
      <w:r>
        <w:rPr>
          <w:rFonts w:ascii="Arial" w:cs="Arial" w:eastAsia="Arial" w:hAnsi="Arial"/>
          <w:sz w:val="18"/>
          <w:szCs w:val="18"/>
          <w:color w:val="auto"/>
        </w:rPr>
        <w:t>The Company’s management evaluates the realizability of the Company’s deferred tax assets based on all available evidence, both positive and negative. The realization of net deferred tax assets is dependent on the Company’s ability to generate sufficient future taxable income during the foreseeable future. As of September 30, 2021, the Company continues to maintain a full valuation allowance of it's U.S. net deferred tax assets.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3"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In March 2021, the Company entered into a lease agreement for 680 square feet of office space in Tel Aviv, Israel. The term of the lease commenced on March 15, 2021 and continues until March 25, 2023. The Company has the option to extend the lease for an additional two-year term at market-based rates. The base rent payments commenced in March 2021. The Company is obligated to pay its portion of building operating and tax expenses.</w:t>
      </w:r>
    </w:p>
    <w:p>
      <w:pPr>
        <w:spacing w:after="0" w:line="206"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In May 2021, the Company executed lease extensions on previously rented office space in Cluj, Romania and Singapore. Both extensions commence on May 15, 2021. The Cluj extension continues until March 31, 2024 and the Singapore extension continues until November 14, 2021. The Company is obligated to pay its portion of building operating and tax expenses under both agreements.</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July 2021, the Company extended the Singapore office lease through November 30, 2022.</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for noncancelable operating leases as of September 30, 2021, are as follows (in thousands):</w:t>
      </w:r>
    </w:p>
    <w:p>
      <w:pPr>
        <w:spacing w:after="0" w:line="240" w:lineRule="exact"/>
        <w:rPr>
          <w:sz w:val="20"/>
          <w:szCs w:val="20"/>
          <w:color w:val="auto"/>
        </w:rPr>
      </w:pPr>
    </w:p>
    <w:tbl>
      <w:tblPr>
        <w:tblLayout w:type="fixed"/>
        <w:tblInd w:w="2260" w:type="dxa"/>
        <w:tblCellMar>
          <w:top w:w="0" w:type="dxa"/>
          <w:left w:w="0" w:type="dxa"/>
          <w:bottom w:w="0" w:type="dxa"/>
          <w:right w:w="0" w:type="dxa"/>
        </w:tblCellMar>
      </w:tblPr>
      <w:tr>
        <w:trPr>
          <w:trHeight w:val="196"/>
        </w:trPr>
        <w:tc>
          <w:tcPr>
            <w:tcW w:w="3880" w:type="dxa"/>
            <w:vAlign w:val="bottom"/>
          </w:tcPr>
          <w:p>
            <w:pPr>
              <w:spacing w:after="0"/>
              <w:rPr>
                <w:sz w:val="20"/>
                <w:szCs w:val="20"/>
                <w:color w:val="auto"/>
              </w:rPr>
            </w:pPr>
            <w:r>
              <w:rPr>
                <w:rFonts w:ascii="Arial" w:cs="Arial" w:eastAsia="Arial" w:hAnsi="Arial"/>
                <w:sz w:val="14"/>
                <w:szCs w:val="14"/>
                <w:b w:val="1"/>
                <w:bCs w:val="1"/>
                <w:color w:val="auto"/>
              </w:rPr>
              <w:t>Years Ending December 31,</w:t>
            </w:r>
          </w:p>
        </w:tc>
        <w:tc>
          <w:tcPr>
            <w:tcW w:w="19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6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2021 (remaining three months)</w:t>
            </w:r>
          </w:p>
        </w:tc>
        <w:tc>
          <w:tcPr>
            <w:tcW w:w="19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517</w:t>
            </w:r>
          </w:p>
        </w:tc>
      </w:tr>
      <w:tr>
        <w:trPr>
          <w:trHeight w:val="250"/>
        </w:trPr>
        <w:tc>
          <w:tcPr>
            <w:tcW w:w="3880" w:type="dxa"/>
            <w:vAlign w:val="bottom"/>
          </w:tcPr>
          <w:p>
            <w:pPr>
              <w:spacing w:after="0"/>
              <w:rPr>
                <w:sz w:val="20"/>
                <w:szCs w:val="20"/>
                <w:color w:val="auto"/>
              </w:rPr>
            </w:pPr>
            <w:r>
              <w:rPr>
                <w:rFonts w:ascii="Arial" w:cs="Arial" w:eastAsia="Arial" w:hAnsi="Arial"/>
                <w:sz w:val="18"/>
                <w:szCs w:val="18"/>
                <w:color w:val="auto"/>
              </w:rPr>
              <w:t>2022</w:t>
            </w:r>
          </w:p>
        </w:tc>
        <w:tc>
          <w:tcPr>
            <w:tcW w:w="19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2,002</w:t>
            </w:r>
          </w:p>
        </w:tc>
      </w:tr>
      <w:tr>
        <w:trPr>
          <w:trHeight w:val="26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90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1,508</w:t>
            </w:r>
          </w:p>
        </w:tc>
      </w:tr>
      <w:tr>
        <w:trPr>
          <w:trHeight w:val="250"/>
        </w:trPr>
        <w:tc>
          <w:tcPr>
            <w:tcW w:w="3880" w:type="dxa"/>
            <w:vAlign w:val="bottom"/>
          </w:tcPr>
          <w:p>
            <w:pPr>
              <w:spacing w:after="0"/>
              <w:rPr>
                <w:sz w:val="20"/>
                <w:szCs w:val="20"/>
                <w:color w:val="auto"/>
              </w:rPr>
            </w:pPr>
            <w:r>
              <w:rPr>
                <w:rFonts w:ascii="Arial" w:cs="Arial" w:eastAsia="Arial" w:hAnsi="Arial"/>
                <w:sz w:val="18"/>
                <w:szCs w:val="18"/>
                <w:color w:val="auto"/>
              </w:rPr>
              <w:t>2024</w:t>
            </w:r>
          </w:p>
        </w:tc>
        <w:tc>
          <w:tcPr>
            <w:tcW w:w="19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445</w:t>
            </w:r>
          </w:p>
        </w:tc>
      </w:tr>
      <w:tr>
        <w:trPr>
          <w:trHeight w:val="26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90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3880" w:type="dxa"/>
            <w:vAlign w:val="bottom"/>
          </w:tcPr>
          <w:p>
            <w:pPr>
              <w:spacing w:after="0"/>
              <w:rPr>
                <w:sz w:val="21"/>
                <w:szCs w:val="21"/>
                <w:color w:val="auto"/>
              </w:rPr>
            </w:pPr>
          </w:p>
        </w:tc>
        <w:tc>
          <w:tcPr>
            <w:tcW w:w="1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4,490</w:t>
            </w:r>
          </w:p>
        </w:tc>
      </w:tr>
    </w:tbl>
    <w:p>
      <w:pPr>
        <w:spacing w:after="0" w:line="256"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Rent expense for the three months ended September 30, 2021 and 2020 was $0.6 million and $0.6 million respectively. Rent expense for the nine months ended September 30, 2021 and 2020 was $1.7 million and $1.8 million, respectively.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3"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The Company is subject to various legal proceedings and claims, the outcomes of which are subject to significant uncertainty. The Company records an accrual for legal contingencies when it is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spacing w:after="0" w:line="206"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As of September 30, 2021, the Company was not subject to any pending legal matters or claims that could have a material adverse effect on its financial position, results of operations, or cash flows.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53" w:lineRule="exact"/>
        <w:rPr>
          <w:sz w:val="20"/>
          <w:szCs w:val="20"/>
          <w:color w:val="auto"/>
        </w:rPr>
      </w:pPr>
    </w:p>
    <w:p>
      <w:pPr>
        <w:ind w:right="80" w:firstLine="509"/>
        <w:spacing w:after="0" w:line="267" w:lineRule="auto"/>
        <w:rPr>
          <w:sz w:val="20"/>
          <w:szCs w:val="20"/>
          <w:color w:val="auto"/>
        </w:rPr>
      </w:pPr>
      <w:r>
        <w:rPr>
          <w:rFonts w:ascii="Arial" w:cs="Arial" w:eastAsia="Arial" w:hAnsi="Arial"/>
          <w:sz w:val="18"/>
          <w:szCs w:val="18"/>
          <w:color w:val="auto"/>
        </w:rPr>
        <w:t>In the ordinary course of business, the Company agrees to indemnify certain partners and clients against third-party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currently aware of any indemnification claims and has not accrued any liabilities related to such obligations in its condensed consolidated financial statements as of September 30, 2021 or as of December 31, 2020.</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29" w:name="page30"/>
    <w:bookmarkEnd w:id="29"/>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35"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appearing elsewhere in this Quarterly Report on Form 10-Q and our final prospectus, filed with the Securities and Exchange Commission, or the SEC, on May 26, 2021 pursuant to Rule 424(b) under the Securities Act of 1933, as amended. Some of the information contained in this discussion and analysis or set forth elsewhere in this Quarterly Report on Form 10-Q,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3" w:lineRule="exact"/>
        <w:rPr>
          <w:sz w:val="20"/>
          <w:szCs w:val="20"/>
          <w:color w:val="auto"/>
        </w:rPr>
      </w:pPr>
    </w:p>
    <w:p>
      <w:pPr>
        <w:ind w:right="60" w:firstLine="509"/>
        <w:spacing w:after="0" w:line="268"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88"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 With our </w:t>
      </w:r>
      <w:r>
        <w:rPr>
          <w:rFonts w:ascii="Arial" w:cs="Arial" w:eastAsia="Arial" w:hAnsi="Arial"/>
          <w:sz w:val="18"/>
          <w:szCs w:val="18"/>
          <w:i w:val="1"/>
          <w:iCs w:val="1"/>
          <w:color w:val="auto"/>
        </w:rPr>
        <w:t>Flywire Advantage</w:t>
      </w:r>
      <w:r>
        <w:rPr>
          <w:rFonts w:ascii="Arial" w:cs="Arial" w:eastAsia="Arial" w:hAnsi="Arial"/>
          <w:sz w:val="18"/>
          <w:szCs w:val="18"/>
          <w:color w:val="auto"/>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204" w:lineRule="exact"/>
        <w:rPr>
          <w:sz w:val="20"/>
          <w:szCs w:val="20"/>
          <w:color w:val="auto"/>
        </w:rPr>
      </w:pPr>
    </w:p>
    <w:p>
      <w:pPr>
        <w:ind w:right="100" w:firstLine="509"/>
        <w:spacing w:after="0" w:line="268" w:lineRule="auto"/>
        <w:rPr>
          <w:sz w:val="20"/>
          <w:szCs w:val="20"/>
          <w:color w:val="auto"/>
        </w:rPr>
      </w:pPr>
      <w:r>
        <w:rPr>
          <w:rFonts w:ascii="Arial" w:cs="Arial" w:eastAsia="Arial" w:hAnsi="Arial"/>
          <w:sz w:val="18"/>
          <w:szCs w:val="18"/>
          <w:color w:val="auto"/>
        </w:rPr>
        <w:t xml:space="preserve">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w:t>
      </w:r>
      <w:r>
        <w:rPr>
          <w:rFonts w:ascii="Arial" w:cs="Arial" w:eastAsia="Arial" w:hAnsi="Arial"/>
          <w:sz w:val="18"/>
          <w:szCs w:val="18"/>
          <w:i w:val="1"/>
          <w:iCs w:val="1"/>
          <w:color w:val="auto"/>
        </w:rPr>
        <w:t>Flywire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Advantage </w:t>
      </w:r>
      <w:r>
        <w:rPr>
          <w:rFonts w:ascii="Arial" w:cs="Arial" w:eastAsia="Arial" w:hAnsi="Arial"/>
          <w:sz w:val="18"/>
          <w:szCs w:val="18"/>
          <w:color w:val="auto"/>
        </w:rPr>
        <w:t>has been recognized, with global financial institutions and technology providers choosing to form channel partnerships with us.</w:t>
      </w:r>
      <w:r>
        <w:rPr>
          <w:rFonts w:ascii="Arial" w:cs="Arial" w:eastAsia="Arial" w:hAnsi="Arial"/>
          <w:sz w:val="18"/>
          <w:szCs w:val="18"/>
          <w:i w:val="1"/>
          <w:iCs w:val="1"/>
          <w:color w:val="auto"/>
        </w:rPr>
        <w:t xml:space="preserve"> </w:t>
      </w:r>
      <w:r>
        <w:rPr>
          <w:rFonts w:ascii="Arial" w:cs="Arial" w:eastAsia="Arial" w:hAnsi="Arial"/>
          <w:sz w:val="18"/>
          <w:szCs w:val="18"/>
          <w:color w:val="auto"/>
        </w:rPr>
        <w:t>These partnerships promote organic referral and lead generation opportunities and enhance our indirect sales strategy.</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9" w:right="35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1159510</wp:posOffset>
            </wp:positionH>
            <wp:positionV relativeFrom="page">
              <wp:posOffset>234315</wp:posOffset>
            </wp:positionV>
            <wp:extent cx="5194935" cy="44316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5194935" cy="443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combination of our differentiated solution and efficient go-to-market strategy has resulted in strong and consistent client growth.</w:t>
      </w:r>
    </w:p>
    <w:p>
      <w:pPr>
        <w:spacing w:after="0" w:line="109" w:lineRule="exact"/>
        <w:rPr>
          <w:sz w:val="20"/>
          <w:szCs w:val="20"/>
          <w:color w:val="auto"/>
        </w:rPr>
      </w:pPr>
    </w:p>
    <w:p>
      <w:pPr>
        <w:ind w:left="440"/>
        <w:spacing w:after="0" w:line="284" w:lineRule="auto"/>
        <w:rPr>
          <w:sz w:val="20"/>
          <w:szCs w:val="20"/>
          <w:color w:val="auto"/>
        </w:rPr>
      </w:pPr>
      <w:r>
        <w:rPr>
          <w:rFonts w:ascii="Arial" w:cs="Arial" w:eastAsia="Arial" w:hAnsi="Arial"/>
          <w:sz w:val="18"/>
          <w:szCs w:val="18"/>
          <w:b w:val="1"/>
          <w:bCs w:val="1"/>
          <w:i w:val="1"/>
          <w:iCs w:val="1"/>
          <w:color w:val="auto"/>
        </w:rPr>
        <w:t>Rapid domestic and international payments volume growth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grown our Total Payment Volume by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76% period-over-period from approximately $5.7 billion during the nine months ended September 30, 2020 to $10.1 billion during the nine months ended September 30, 2021.</w:t>
      </w:r>
    </w:p>
    <w:p>
      <w:pPr>
        <w:spacing w:after="0" w:line="205"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color w:val="auto"/>
        </w:rPr>
        <w:t>We have grown our Total Payment Volume by approximately 76.4% period-over-period from $3.0 billion during the three months ended September 30, 2020 to $5.3 billion during the three months ended September 30, 2021.</w:t>
      </w:r>
    </w:p>
    <w:p>
      <w:pPr>
        <w:spacing w:after="0" w:line="67" w:lineRule="exact"/>
        <w:rPr>
          <w:sz w:val="20"/>
          <w:szCs w:val="20"/>
          <w:color w:val="auto"/>
        </w:rPr>
      </w:pPr>
    </w:p>
    <w:p>
      <w:pPr>
        <w:ind w:left="440" w:right="220"/>
        <w:spacing w:after="0" w:line="284" w:lineRule="auto"/>
        <w:rPr>
          <w:sz w:val="20"/>
          <w:szCs w:val="20"/>
          <w:color w:val="auto"/>
        </w:rPr>
      </w:pPr>
      <w:r>
        <w:rPr>
          <w:rFonts w:ascii="Arial" w:cs="Arial" w:eastAsia="Arial" w:hAnsi="Arial"/>
          <w:sz w:val="18"/>
          <w:szCs w:val="18"/>
          <w:b w:val="1"/>
          <w:bCs w:val="1"/>
          <w:i w:val="1"/>
          <w:iCs w:val="1"/>
          <w:color w:val="auto"/>
        </w:rPr>
        <w:t>Expanded global payments network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year we have added to the capabilities of our payment network by means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 bank accounts and payment partners, and have expanded our global reach to 243 countries and territories and 143 currencies.</w:t>
      </w:r>
    </w:p>
    <w:p>
      <w:pPr>
        <w:spacing w:after="0" w:line="62" w:lineRule="exact"/>
        <w:rPr>
          <w:sz w:val="20"/>
          <w:szCs w:val="20"/>
          <w:color w:val="auto"/>
        </w:rPr>
      </w:pPr>
    </w:p>
    <w:p>
      <w:pPr>
        <w:ind w:left="440" w:right="180"/>
        <w:spacing w:after="0" w:line="303" w:lineRule="auto"/>
        <w:rPr>
          <w:sz w:val="20"/>
          <w:szCs w:val="20"/>
          <w:color w:val="auto"/>
        </w:rPr>
      </w:pPr>
      <w:r>
        <w:rPr>
          <w:rFonts w:ascii="Arial" w:cs="Arial" w:eastAsia="Arial" w:hAnsi="Arial"/>
          <w:sz w:val="18"/>
          <w:szCs w:val="18"/>
          <w:b w:val="1"/>
          <w:bCs w:val="1"/>
          <w:i w:val="1"/>
          <w:iCs w:val="1"/>
          <w:color w:val="auto"/>
        </w:rPr>
        <w:t>Enjoyable and personalized user experience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NPS score of 64 in fiscal year 2020 demonstrates a strong affinity among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clients for our platform.</w:t>
      </w:r>
    </w:p>
    <w:p>
      <w:pPr>
        <w:spacing w:after="0" w:line="44" w:lineRule="exact"/>
        <w:rPr>
          <w:sz w:val="20"/>
          <w:szCs w:val="20"/>
          <w:color w:val="auto"/>
        </w:rPr>
      </w:pPr>
    </w:p>
    <w:p>
      <w:pPr>
        <w:ind w:left="440" w:right="20"/>
        <w:spacing w:after="0" w:line="272" w:lineRule="auto"/>
        <w:rPr>
          <w:sz w:val="20"/>
          <w:szCs w:val="20"/>
          <w:color w:val="auto"/>
        </w:rPr>
      </w:pPr>
      <w:r>
        <w:rPr>
          <w:rFonts w:ascii="Arial" w:cs="Arial" w:eastAsia="Arial" w:hAnsi="Arial"/>
          <w:sz w:val="18"/>
          <w:szCs w:val="18"/>
          <w:b w:val="1"/>
          <w:bCs w:val="1"/>
          <w:i w:val="1"/>
          <w:iCs w:val="1"/>
          <w:color w:val="auto"/>
        </w:rPr>
        <w:t>Strong dollar-based net retention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2018 and 2019, our net dollar-based retention rate was approximately 126% and 128%,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In 2020, despite the impact of the COVID-19 pandemic on our clients and the industries we serve, we had annual dollar-based net retention rate of 100%, added over 400 new clients, and maintained strong client retention of approximately 97%.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w:t>
      </w:r>
    </w:p>
    <w:p>
      <w:pPr>
        <w:spacing w:after="0" w:line="2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40" w:top="1440" w:right="379" w:bottom="1440" w:gutter="0" w:footer="0" w:header="0"/>
        </w:sectPr>
      </w:pPr>
    </w:p>
    <w:bookmarkStart w:id="31" w:name="page32"/>
    <w:bookmarkEnd w:id="31"/>
    <w:p>
      <w:pPr>
        <w:ind w:left="960"/>
        <w:spacing w:after="0"/>
        <w:rPr>
          <w:sz w:val="20"/>
          <w:szCs w:val="20"/>
          <w:color w:val="auto"/>
        </w:rPr>
      </w:pPr>
      <w:r>
        <w:rPr>
          <w:rFonts w:ascii="Arial" w:cs="Arial" w:eastAsia="Arial" w:hAnsi="Arial"/>
          <w:sz w:val="18"/>
          <w:szCs w:val="18"/>
          <w:color w:val="auto"/>
        </w:rPr>
        <w:t>includes revenue from clients that were clients at the beginning of the corresponding quarter of the previous year.</w:t>
      </w:r>
    </w:p>
    <w:p>
      <w:pPr>
        <w:spacing w:after="0" w:line="239" w:lineRule="exact"/>
        <w:rPr>
          <w:sz w:val="20"/>
          <w:szCs w:val="20"/>
          <w:color w:val="auto"/>
        </w:rPr>
      </w:pPr>
    </w:p>
    <w:p>
      <w:pPr>
        <w:ind w:right="100" w:firstLine="509"/>
        <w:spacing w:after="0" w:line="269" w:lineRule="auto"/>
        <w:rPr>
          <w:sz w:val="20"/>
          <w:szCs w:val="20"/>
          <w:color w:val="auto"/>
        </w:rPr>
      </w:pPr>
      <w:r>
        <w:rPr>
          <w:rFonts w:ascii="Arial" w:cs="Arial" w:eastAsia="Arial" w:hAnsi="Arial"/>
          <w:sz w:val="18"/>
          <w:szCs w:val="18"/>
          <w:color w:val="auto"/>
        </w:rPr>
        <w:t>As of September 30, 2021, we serve over 2,500 clients around the world. In education, we serve more than 2,000 institutions and 1.8 million students globally as of September 30, 2021. In healthcare, we power more than 80 healthcare systems, including four of the top 10 healthcare systems in the United States ranked by hospital size as of December 31, 2020. In the industries we have more recently begun to address, travel and business to business payments, we have a growing portfolio of more than 300 clients as of September 30, 2021.</w:t>
      </w:r>
    </w:p>
    <w:p>
      <w:pPr>
        <w:spacing w:after="0" w:line="206" w:lineRule="exact"/>
        <w:rPr>
          <w:sz w:val="20"/>
          <w:szCs w:val="20"/>
          <w:color w:val="auto"/>
        </w:rPr>
      </w:pPr>
    </w:p>
    <w:p>
      <w:pPr>
        <w:ind w:right="40" w:firstLine="509"/>
        <w:spacing w:after="0" w:line="268" w:lineRule="auto"/>
        <w:rPr>
          <w:sz w:val="20"/>
          <w:szCs w:val="20"/>
          <w:color w:val="auto"/>
        </w:rPr>
      </w:pPr>
      <w:r>
        <w:rPr>
          <w:rFonts w:ascii="Arial" w:cs="Arial" w:eastAsia="Arial" w:hAnsi="Arial"/>
          <w:sz w:val="18"/>
          <w:szCs w:val="18"/>
          <w:color w:val="auto"/>
        </w:rPr>
        <w:t>Our success in building our client base around the world and expanding utilization by our clients’ customers has allowed us to achieve significant scale. We enabled more than $7.5 billion in TPV during the year ended December 31, 2020 and $10.1 billion in TPV during the nine months ended September 30, 2021. We generated revenue of $131.8 million and $94.9 million for the years ended December 31, 2020 and 2019, respectively, and incurred net losses of $11.1 million and $20.1 million for those same years. We generated revenue of $149.8 million and $98.6 million for the nine months ended September 30, 2021 and 2020, respectively and incurred net loss of $16.8 million and $7.1 million, respectively, for the same nine month periods.</w:t>
      </w:r>
    </w:p>
    <w:p>
      <w:pPr>
        <w:spacing w:after="0" w:line="206" w:lineRule="exact"/>
        <w:rPr>
          <w:sz w:val="20"/>
          <w:szCs w:val="20"/>
          <w:color w:val="auto"/>
        </w:rPr>
      </w:pPr>
    </w:p>
    <w:p>
      <w:pPr>
        <w:ind w:right="80" w:firstLine="509"/>
        <w:spacing w:after="0" w:line="269" w:lineRule="auto"/>
        <w:rPr>
          <w:sz w:val="20"/>
          <w:szCs w:val="20"/>
          <w:color w:val="auto"/>
        </w:rPr>
      </w:pPr>
      <w:r>
        <w:rPr>
          <w:rFonts w:ascii="Arial" w:cs="Arial" w:eastAsia="Arial" w:hAnsi="Arial"/>
          <w:sz w:val="18"/>
          <w:szCs w:val="18"/>
          <w:color w:val="auto"/>
        </w:rPr>
        <w:t>We believe that the growth of our business and our operating results will be dependent upon many factors, including our ability to add new clients, expand the usage of our solutions by our existing clients and their customers,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spacing w:after="0" w:line="206"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While we have experienced significant growth and increased demand for our solutions over recent periods, we expect to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information technology and financial infrastructure, our operating and administrative systems and controls, and our ability to manage headcount, capital, and processes in an efficient manner. Additionally, we face intense competition in our market, and to succeed, we need to innovate and offer solutions that are differentiated from legacy payment solutions. We must also effectively hire, retain, train, and motivate qualified personnel and senior management. If we are unable to successfully address these challenges, our business, operating results, and prospects could be adversely affected.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Model</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derive revenue from transactions and platform and usage-based fees.</w:t>
      </w:r>
    </w:p>
    <w:p>
      <w:pPr>
        <w:spacing w:after="0" w:line="221" w:lineRule="exact"/>
        <w:rPr>
          <w:sz w:val="20"/>
          <w:szCs w:val="20"/>
          <w:color w:val="auto"/>
        </w:rPr>
      </w:pPr>
    </w:p>
    <w:p>
      <w:pPr>
        <w:ind w:right="40" w:firstLine="509"/>
        <w:spacing w:after="0" w:line="274" w:lineRule="auto"/>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is earned from payment processing services provided to our clients. The fee earned on each transaction consists</w:t>
      </w:r>
      <w:r>
        <w:rPr>
          <w:rFonts w:ascii="Arial" w:cs="Arial" w:eastAsia="Arial" w:hAnsi="Arial"/>
          <w:sz w:val="18"/>
          <w:szCs w:val="18"/>
          <w:i w:val="1"/>
          <w:iCs w:val="1"/>
          <w:color w:val="auto"/>
        </w:rPr>
        <w:t xml:space="preserve"> </w:t>
      </w:r>
      <w:r>
        <w:rPr>
          <w:rFonts w:ascii="Arial" w:cs="Arial" w:eastAsia="Arial" w:hAnsi="Arial"/>
          <w:sz w:val="18"/>
          <w:szCs w:val="18"/>
          <w:color w:val="auto"/>
        </w:rPr>
        <w:t>of a rate applied to the total payment value of the transaction, which can vary based on the payment method currency pair conversion and the geographic region in which our client and the clients’ customer resides. We also earn revenue from marketing fees from credit card service providers for marketing arrangements in which we perform certain marketing activities which we consider to be ancillary to the solutions we provide to our clients.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Platform and usage-based fee revenue </w:t>
      </w:r>
      <w:r>
        <w:rPr>
          <w:rFonts w:ascii="Arial" w:cs="Arial" w:eastAsia="Arial" w:hAnsi="Arial"/>
          <w:sz w:val="18"/>
          <w:szCs w:val="18"/>
          <w:color w:val="auto"/>
        </w:rPr>
        <w:t>includes (i) fees earned for the utilization of our payment platform to optimize cash collections,</w:t>
      </w:r>
    </w:p>
    <w:p>
      <w:pPr>
        <w:spacing w:after="0" w:line="41" w:lineRule="exact"/>
        <w:rPr>
          <w:sz w:val="20"/>
          <w:szCs w:val="20"/>
          <w:color w:val="auto"/>
        </w:rPr>
      </w:pPr>
    </w:p>
    <w:p>
      <w:pPr>
        <w:ind w:right="80" w:firstLine="8"/>
        <w:spacing w:after="0" w:line="277" w:lineRule="auto"/>
        <w:tabs>
          <w:tab w:leader="none" w:pos="25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fees collected on payment plans established by our clients on our payment platform, (iii) subscription fees and (iv) fees related to printing and mailing services which we consider to be ancillary to the solutions we provide to our clients.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53" w:lineRule="exact"/>
        <w:rPr>
          <w:sz w:val="20"/>
          <w:szCs w:val="20"/>
          <w:color w:val="auto"/>
        </w:rPr>
      </w:pPr>
    </w:p>
    <w:p>
      <w:pPr>
        <w:ind w:right="60" w:firstLine="509"/>
        <w:spacing w:after="0" w:line="269" w:lineRule="auto"/>
        <w:rPr>
          <w:sz w:val="20"/>
          <w:szCs w:val="20"/>
          <w:color w:val="auto"/>
        </w:rPr>
      </w:pPr>
      <w:r>
        <w:rPr>
          <w:rFonts w:ascii="Arial" w:cs="Arial" w:eastAsia="Arial" w:hAnsi="Arial"/>
          <w:sz w:val="18"/>
          <w:szCs w:val="18"/>
          <w:color w:val="auto"/>
        </w:rPr>
        <w:t>On May 28, 2021, we completed our initial public offering, or IPO, in which we issued and sold 12,006,000 shares of common stock at a public offering price of $24.00 per share, which included 1,566,000 shares of common stock issued pursuant to the exercise in full of the over-allotment option by the underwriters. We received $263.8 million in net proceeds from the IPO, after deducting underwriting discounts and commissions of $19.4 million and other offering costs of $4.9 million.</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key operating metrics and non-GAAP measures for the periods presented:</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2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Gross Margin and Adjusted Gross Margin)</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6"/>
              </w:rPr>
              <w:t>2020</w:t>
            </w:r>
          </w:p>
        </w:tc>
        <w:tc>
          <w:tcPr>
            <w:tcW w:w="3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r>
      <w:tr>
        <w:trPr>
          <w:trHeight w:val="229"/>
        </w:trPr>
        <w:tc>
          <w:tcPr>
            <w:tcW w:w="49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 Payment Volume</w:t>
            </w: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5,272.2</w:t>
            </w: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2,989.2</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10,058.7</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5,714.1</w:t>
            </w:r>
          </w:p>
        </w:tc>
        <w:tc>
          <w:tcPr>
            <w:tcW w:w="260" w:type="dxa"/>
            <w:vAlign w:val="bottom"/>
            <w:shd w:val="clear" w:color="auto" w:fill="CFF0FC"/>
          </w:tcPr>
          <w:p>
            <w:pPr>
              <w:spacing w:after="0"/>
              <w:rPr>
                <w:sz w:val="19"/>
                <w:szCs w:val="19"/>
                <w:color w:val="auto"/>
              </w:rPr>
            </w:pPr>
          </w:p>
        </w:tc>
      </w:tr>
      <w:tr>
        <w:trPr>
          <w:trHeight w:val="220"/>
        </w:trPr>
        <w:tc>
          <w:tcPr>
            <w:tcW w:w="494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67.8</w:t>
            </w:r>
          </w:p>
        </w:tc>
        <w:tc>
          <w:tcPr>
            <w:tcW w:w="3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42.1</w:t>
            </w:r>
          </w:p>
        </w:tc>
        <w:tc>
          <w:tcPr>
            <w:tcW w:w="3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149.8</w:t>
            </w:r>
          </w:p>
        </w:tc>
        <w:tc>
          <w:tcPr>
            <w:tcW w:w="36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98.6</w:t>
            </w:r>
          </w:p>
        </w:tc>
        <w:tc>
          <w:tcPr>
            <w:tcW w:w="260" w:type="dxa"/>
            <w:vAlign w:val="bottom"/>
          </w:tcPr>
          <w:p>
            <w:pPr>
              <w:spacing w:after="0"/>
              <w:rPr>
                <w:sz w:val="19"/>
                <w:szCs w:val="19"/>
                <w:color w:val="auto"/>
              </w:rPr>
            </w:pPr>
          </w:p>
        </w:tc>
      </w:tr>
      <w:tr>
        <w:trPr>
          <w:trHeight w:val="239"/>
        </w:trPr>
        <w:tc>
          <w:tcPr>
            <w:tcW w:w="49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Revenue Less Ancillary Services</w:t>
            </w: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62.0</w:t>
            </w: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w:t>
            </w: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135.2</w:t>
            </w:r>
          </w:p>
        </w:tc>
        <w:tc>
          <w:tcPr>
            <w:tcW w:w="3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85.2</w:t>
            </w:r>
          </w:p>
        </w:tc>
        <w:tc>
          <w:tcPr>
            <w:tcW w:w="260" w:type="dxa"/>
            <w:vAlign w:val="bottom"/>
            <w:shd w:val="clear" w:color="auto" w:fill="CFF0FC"/>
          </w:tcPr>
          <w:p>
            <w:pPr>
              <w:spacing w:after="0"/>
              <w:rPr>
                <w:sz w:val="20"/>
                <w:szCs w:val="20"/>
                <w:color w:val="auto"/>
              </w:rPr>
            </w:pPr>
          </w:p>
        </w:tc>
      </w:tr>
      <w:tr>
        <w:trPr>
          <w:trHeight w:val="220"/>
        </w:trPr>
        <w:tc>
          <w:tcPr>
            <w:tcW w:w="4940" w:type="dxa"/>
            <w:vAlign w:val="bottom"/>
            <w:gridSpan w:val="2"/>
          </w:tcPr>
          <w:p>
            <w:pPr>
              <w:spacing w:after="0"/>
              <w:rPr>
                <w:sz w:val="20"/>
                <w:szCs w:val="20"/>
                <w:color w:val="auto"/>
              </w:rPr>
            </w:pPr>
            <w:r>
              <w:rPr>
                <w:rFonts w:ascii="Arial" w:cs="Arial" w:eastAsia="Arial" w:hAnsi="Arial"/>
                <w:sz w:val="16"/>
                <w:szCs w:val="16"/>
                <w:color w:val="auto"/>
              </w:rPr>
              <w:t>Gross Margin</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65.8 %</w:t>
            </w: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64.4 %</w:t>
            </w:r>
          </w:p>
        </w:tc>
        <w:tc>
          <w:tcPr>
            <w:tcW w:w="2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63.2 %</w:t>
            </w: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59.7 %</w:t>
            </w:r>
          </w:p>
        </w:tc>
      </w:tr>
      <w:tr>
        <w:trPr>
          <w:trHeight w:val="239"/>
        </w:trPr>
        <w:tc>
          <w:tcPr>
            <w:tcW w:w="49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Adjusted Gross Margin</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71.9 %</w:t>
            </w:r>
          </w:p>
        </w:tc>
        <w:tc>
          <w:tcPr>
            <w:tcW w:w="3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72.8 %</w:t>
            </w: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70.0 %</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69.1 %</w:t>
            </w:r>
          </w:p>
        </w:tc>
      </w:tr>
      <w:tr>
        <w:trPr>
          <w:trHeight w:val="220"/>
        </w:trPr>
        <w:tc>
          <w:tcPr>
            <w:tcW w:w="49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10.0</w:t>
            </w:r>
          </w:p>
        </w:tc>
        <w:tc>
          <w:tcPr>
            <w:tcW w:w="3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5.2</w:t>
            </w:r>
          </w:p>
        </w:tc>
        <w:tc>
          <w:tcPr>
            <w:tcW w:w="3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(16.8 )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(7.1 )</w:t>
            </w:r>
          </w:p>
        </w:tc>
      </w:tr>
      <w:tr>
        <w:trPr>
          <w:trHeight w:val="239"/>
        </w:trPr>
        <w:tc>
          <w:tcPr>
            <w:tcW w:w="49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Adjusted EBITDA</w:t>
            </w: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w:t>
            </w:r>
          </w:p>
        </w:tc>
        <w:tc>
          <w:tcPr>
            <w:tcW w:w="3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60" w:type="dxa"/>
            <w:vAlign w:val="bottom"/>
            <w:shd w:val="clear" w:color="auto" w:fill="CFF0FC"/>
          </w:tcPr>
          <w:p>
            <w:pPr>
              <w:spacing w:after="0"/>
              <w:rPr>
                <w:sz w:val="20"/>
                <w:szCs w:val="20"/>
                <w:color w:val="auto"/>
              </w:rPr>
            </w:pPr>
          </w:p>
        </w:tc>
      </w:tr>
    </w:tbl>
    <w:p>
      <w:pPr>
        <w:spacing w:after="0" w:line="283"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For the nine months ended September 30, 2021, transaction revenue and platform and usage-based fee revenue represented 73.3% and 26.7% of our revenue, respectively. For the nine months ended September 30, 2020, transaction revenue and platform and usage-based fee revenue represented 68.1% and 31.9% of our revenue, respectively.</w:t>
      </w:r>
    </w:p>
    <w:p>
      <w:pPr>
        <w:spacing w:after="0" w:line="203"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For the three months ended September 30, 2021, transaction revenue and platform and usage-based fee revenue represented 78.2% and 21.8% of our revenue, respectively. For the three months ended September 30, 2020, transaction revenue and platform and usage-based fee revenue represented 72.9% and 27.1% of our revenue, respectively.</w:t>
      </w:r>
    </w:p>
    <w:p>
      <w:pPr>
        <w:spacing w:after="0" w:line="203" w:lineRule="exact"/>
        <w:rPr>
          <w:sz w:val="20"/>
          <w:szCs w:val="20"/>
          <w:color w:val="auto"/>
        </w:rPr>
      </w:pPr>
    </w:p>
    <w:p>
      <w:pPr>
        <w:ind w:right="180" w:firstLine="509"/>
        <w:spacing w:after="0" w:line="268" w:lineRule="auto"/>
        <w:rPr>
          <w:sz w:val="20"/>
          <w:szCs w:val="20"/>
          <w:color w:val="auto"/>
        </w:rPr>
      </w:pPr>
      <w:r>
        <w:rPr>
          <w:rFonts w:ascii="Arial" w:cs="Arial" w:eastAsia="Arial" w:hAnsi="Arial"/>
          <w:sz w:val="18"/>
          <w:szCs w:val="18"/>
          <w:color w:val="auto"/>
        </w:rPr>
        <w:t>For nine months ended September 30, 2021, our total payment volume was approximately $10.1 billion, consisting of $6.5 billion of total payment volume from transactions included in transaction revenue and $3.6 billion of total payment volume from transactions included in platform and usage-based fee revenue. For the nine months ended September 30, 2020, our total payment volume was approximately $5.7 billion, consisting of $3.6 billion of total payment volume from transactions included in transaction revenue and $2.1 billion of total payment volume from transactions included in platform and usage-based fee revenue.</w:t>
      </w:r>
    </w:p>
    <w:p>
      <w:pPr>
        <w:spacing w:after="0" w:line="208" w:lineRule="exact"/>
        <w:rPr>
          <w:sz w:val="20"/>
          <w:szCs w:val="20"/>
          <w:color w:val="auto"/>
        </w:rPr>
      </w:pPr>
    </w:p>
    <w:p>
      <w:pPr>
        <w:ind w:right="40" w:firstLine="509"/>
        <w:spacing w:after="0" w:line="268" w:lineRule="auto"/>
        <w:rPr>
          <w:sz w:val="20"/>
          <w:szCs w:val="20"/>
          <w:color w:val="auto"/>
        </w:rPr>
      </w:pPr>
      <w:r>
        <w:rPr>
          <w:rFonts w:ascii="Arial" w:cs="Arial" w:eastAsia="Arial" w:hAnsi="Arial"/>
          <w:sz w:val="18"/>
          <w:szCs w:val="18"/>
          <w:color w:val="auto"/>
        </w:rPr>
        <w:t>For the three months ended September 30, 2021, our total payment volume was approximately $5.3 billion, consisting of $3.5 billion of total payment volume from transactions included in transaction revenue, and $1.8 billion of total payment volume from transactions included in platform and usage-based fee revenue. For the three months ended September 30, 2020, our total payment volume was approximately $3.0 billion, consisting of $1.8 billion of total payment volume from transactions included in transaction revenue, and $1.2 billion of total payment volume from transactions included in platform and usage-based fee revenue.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Payment Volume</w:t>
      </w:r>
    </w:p>
    <w:p>
      <w:pPr>
        <w:spacing w:after="0" w:line="153" w:lineRule="exact"/>
        <w:rPr>
          <w:sz w:val="20"/>
          <w:szCs w:val="20"/>
          <w:color w:val="auto"/>
        </w:rPr>
      </w:pPr>
    </w:p>
    <w:p>
      <w:pPr>
        <w:ind w:right="100" w:firstLine="509"/>
        <w:spacing w:after="0" w:line="268" w:lineRule="auto"/>
        <w:rPr>
          <w:sz w:val="20"/>
          <w:szCs w:val="20"/>
          <w:color w:val="auto"/>
        </w:rPr>
      </w:pPr>
      <w:r>
        <w:rPr>
          <w:rFonts w:ascii="Arial" w:cs="Arial" w:eastAsia="Arial" w:hAnsi="Arial"/>
          <w:sz w:val="18"/>
          <w:szCs w:val="18"/>
          <w:color w:val="auto"/>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 in a given period.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Less Ancillary Services, Adjusted Gross Margin and Adjusted EBITDA</w:t>
      </w:r>
    </w:p>
    <w:p>
      <w:pPr>
        <w:spacing w:after="0" w:line="153"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ind w:right="180"/>
        <w:spacing w:after="0" w:line="277" w:lineRule="auto"/>
        <w:rPr>
          <w:sz w:val="20"/>
          <w:szCs w:val="20"/>
          <w:color w:val="auto"/>
        </w:rPr>
      </w:pPr>
      <w:r>
        <w:rPr>
          <w:rFonts w:ascii="Arial" w:cs="Arial" w:eastAsia="Arial" w:hAnsi="Arial"/>
          <w:sz w:val="18"/>
          <w:szCs w:val="18"/>
          <w:color w:val="auto"/>
        </w:rPr>
        <w:t>companies, including companies in our industry, may calculate non-GAAP financial measures differently than we do, limiting the usefulness of those measures for comparative purposes.</w:t>
      </w:r>
    </w:p>
    <w:p>
      <w:pPr>
        <w:spacing w:after="0" w:line="197"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77" w:lineRule="exact"/>
        <w:rPr>
          <w:sz w:val="20"/>
          <w:szCs w:val="20"/>
          <w:color w:val="auto"/>
        </w:rPr>
      </w:pPr>
    </w:p>
    <w:p>
      <w:pPr>
        <w:jc w:val="both"/>
        <w:ind w:left="960" w:right="20"/>
        <w:spacing w:after="0" w:line="282" w:lineRule="auto"/>
        <w:rPr>
          <w:sz w:val="20"/>
          <w:szCs w:val="20"/>
          <w:color w:val="auto"/>
        </w:rPr>
      </w:pPr>
      <w:r>
        <w:rPr>
          <w:rFonts w:ascii="Arial" w:cs="Arial" w:eastAsia="Arial" w:hAnsi="Arial"/>
          <w:sz w:val="18"/>
          <w:szCs w:val="18"/>
          <w:i w:val="1"/>
          <w:iCs w:val="1"/>
          <w:color w:val="auto"/>
        </w:rPr>
        <w:t xml:space="preserve">Revenue Less Ancillary Services </w:t>
      </w:r>
      <w:r>
        <w:rPr>
          <w:rFonts w:ascii="Arial" w:cs="Arial" w:eastAsia="Arial" w:hAnsi="Arial"/>
          <w:sz w:val="18"/>
          <w:szCs w:val="18"/>
          <w:color w:val="auto"/>
        </w:rPr>
        <w:t>represents our consolidated revenue in accordance with GAAP after excluding (i) pass-through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cost for printing and mailing services and (ii) marketing fees. We exclude these amounts to arrive at this supplemental non-GAAP financial measure as we view these services as ancillary to the primary services we provide to our clients.</w:t>
      </w:r>
    </w:p>
    <w:p>
      <w:pPr>
        <w:spacing w:after="0" w:line="67" w:lineRule="exact"/>
        <w:rPr>
          <w:sz w:val="20"/>
          <w:szCs w:val="20"/>
          <w:color w:val="auto"/>
        </w:rPr>
      </w:pPr>
    </w:p>
    <w:p>
      <w:pPr>
        <w:ind w:left="960"/>
        <w:spacing w:after="0" w:line="274" w:lineRule="auto"/>
        <w:rPr>
          <w:sz w:val="20"/>
          <w:szCs w:val="20"/>
          <w:color w:val="auto"/>
        </w:rPr>
      </w:pPr>
      <w:r>
        <w:rPr>
          <w:rFonts w:ascii="Arial" w:cs="Arial" w:eastAsia="Arial" w:hAnsi="Arial"/>
          <w:sz w:val="18"/>
          <w:szCs w:val="18"/>
          <w:i w:val="1"/>
          <w:iCs w:val="1"/>
          <w:color w:val="auto"/>
        </w:rPr>
        <w:t>Adjusted Gross Margin</w:t>
      </w:r>
      <w:r>
        <w:rPr>
          <w:rFonts w:ascii="Arial" w:cs="Arial" w:eastAsia="Arial" w:hAnsi="Arial"/>
          <w:sz w:val="18"/>
          <w:szCs w:val="18"/>
          <w:color w:val="auto"/>
        </w:rPr>
        <w:t>. Adjusted gross margin represents adjusted gross profit divided by Revenue Less Ancillary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gross profit represents Revenue Less Ancillary Services less cost of revenue adjusted to (i) exclude pass-through cost for printing services and (ii) offset marketing fees against costs incurred. Management believes this presentation supplements the GAAP presentation of gross margin with a useful measure of the gross margin of our payment-related services, which are the primary services we provide to our clients.</w:t>
      </w:r>
    </w:p>
    <w:p>
      <w:pPr>
        <w:spacing w:after="0" w:line="70" w:lineRule="exact"/>
        <w:rPr>
          <w:sz w:val="20"/>
          <w:szCs w:val="20"/>
          <w:color w:val="auto"/>
        </w:rPr>
      </w:pPr>
    </w:p>
    <w:p>
      <w:pPr>
        <w:ind w:left="960"/>
        <w:spacing w:after="0" w:line="273" w:lineRule="auto"/>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EBITDA represents EBITDA further adjusted by excluding (i) stock-based compensation expense, (ii)</w:t>
      </w:r>
      <w:r>
        <w:rPr>
          <w:rFonts w:ascii="Arial" w:cs="Arial" w:eastAsia="Arial" w:hAnsi="Arial"/>
          <w:sz w:val="18"/>
          <w:szCs w:val="18"/>
          <w:i w:val="1"/>
          <w:iCs w:val="1"/>
          <w:color w:val="auto"/>
        </w:rPr>
        <w:t xml:space="preserve"> </w:t>
      </w:r>
      <w:r>
        <w:rPr>
          <w:rFonts w:ascii="Arial" w:cs="Arial" w:eastAsia="Arial" w:hAnsi="Arial"/>
          <w:sz w:val="18"/>
          <w:szCs w:val="18"/>
          <w:color w:val="auto"/>
        </w:rPr>
        <w:t>the impact from the change in fair value measurement for contingent consideration associated with acquisitions, (iii) the impact from the change in fair value measurement of our preferred stock warrants, (iv) other income (expense), net, (v) acquisition related transaction costs, and (vi) employee retention costs, such as incentive compensation, associated with acquisition activities. Management believes that the exclusion of these amounts to calculate Adjusted EBITDA provides useful measures for period-to-period comparisons of our business.</w:t>
      </w:r>
    </w:p>
    <w:p>
      <w:pPr>
        <w:spacing w:after="0" w:line="202" w:lineRule="exact"/>
        <w:rPr>
          <w:sz w:val="20"/>
          <w:szCs w:val="20"/>
          <w:color w:val="auto"/>
        </w:rPr>
      </w:pPr>
    </w:p>
    <w:p>
      <w:pPr>
        <w:ind w:right="80" w:firstLine="509"/>
        <w:spacing w:after="0" w:line="268" w:lineRule="auto"/>
        <w:rPr>
          <w:sz w:val="20"/>
          <w:szCs w:val="20"/>
          <w:color w:val="auto"/>
        </w:rPr>
      </w:pPr>
      <w:r>
        <w:rPr>
          <w:rFonts w:ascii="Arial" w:cs="Arial" w:eastAsia="Arial" w:hAnsi="Arial"/>
          <w:sz w:val="18"/>
          <w:szCs w:val="18"/>
          <w:color w:val="auto"/>
        </w:rPr>
        <w:t>These non-GAAP financial measures are not meant to be considered as indicators of performance in isolation from or as a substitute for revenue, gross margin or net loss prepared in accordance with GAAP and should be read only in conjunction with financial information presented on a GAAP basis. Reconciliations of Revenue Less Ancillary Services, Adjusted Gross Margin and Adjusted EBITDA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53"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The tables below provide reconciliations of Revenue Less Ancillary Services, Adjusted Gross Margin and Adjusted EBITDA on a consolidated basis for the periods presented.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Less Ancillary Services and Adjusted Gross Margin:</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gridSpan w:val="7"/>
          </w:tcPr>
          <w:p>
            <w:pPr>
              <w:jc w:val="center"/>
              <w:ind w:right="8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4"/>
          </w:tcPr>
          <w:p>
            <w:pPr>
              <w:jc w:val="center"/>
              <w:ind w:left="336"/>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 Except for Gross Margin and Adjusted Gross Margin)</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0" w:type="dxa"/>
            <w:vAlign w:val="bottom"/>
          </w:tcPr>
          <w:p>
            <w:pPr>
              <w:spacing w:after="0"/>
              <w:rPr>
                <w:sz w:val="22"/>
                <w:szCs w:val="22"/>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4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42.1</w:t>
            </w:r>
          </w:p>
        </w:tc>
        <w:tc>
          <w:tcPr>
            <w:tcW w:w="260" w:type="dxa"/>
            <w:vAlign w:val="bottom"/>
            <w:shd w:val="clear" w:color="auto" w:fill="CFF0FC"/>
          </w:tcPr>
          <w:p>
            <w:pPr>
              <w:spacing w:after="0"/>
              <w:rPr>
                <w:sz w:val="22"/>
                <w:szCs w:val="22"/>
                <w:color w:val="auto"/>
              </w:rPr>
            </w:pPr>
          </w:p>
        </w:tc>
        <w:tc>
          <w:tcPr>
            <w:tcW w:w="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180" w:type="dxa"/>
            <w:vAlign w:val="bottom"/>
            <w:shd w:val="clear" w:color="auto" w:fill="CFF0FC"/>
          </w:tcPr>
          <w:p>
            <w:pPr>
              <w:spacing w:after="0"/>
              <w:rPr>
                <w:sz w:val="22"/>
                <w:szCs w:val="22"/>
                <w:color w:val="auto"/>
              </w:rPr>
            </w:pP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60" w:type="dxa"/>
            <w:vAlign w:val="bottom"/>
            <w:shd w:val="clear" w:color="auto" w:fill="CFF0FC"/>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Adjusted to exclude gross up for:</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0" w:type="dxa"/>
            <w:vAlign w:val="bottom"/>
          </w:tcPr>
          <w:p>
            <w:pPr>
              <w:spacing w:after="0"/>
              <w:rPr>
                <w:sz w:val="22"/>
                <w:szCs w:val="22"/>
                <w:color w:val="auto"/>
              </w:rPr>
            </w:pPr>
          </w:p>
        </w:tc>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Pass-through cost for printing and mailing</w:t>
            </w:r>
          </w:p>
        </w:tc>
        <w:tc>
          <w:tcPr>
            <w:tcW w:w="7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(5.0 )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(4.0 )</w:t>
            </w:r>
          </w:p>
        </w:tc>
        <w:tc>
          <w:tcPr>
            <w:tcW w:w="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(13.4 )</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(12.1 )</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3980" w:type="dxa"/>
            <w:vAlign w:val="bottom"/>
          </w:tcPr>
          <w:p>
            <w:pPr>
              <w:ind w:left="260"/>
              <w:spacing w:after="0"/>
              <w:rPr>
                <w:sz w:val="20"/>
                <w:szCs w:val="20"/>
                <w:color w:val="auto"/>
              </w:rPr>
            </w:pPr>
            <w:r>
              <w:rPr>
                <w:rFonts w:ascii="Arial" w:cs="Arial" w:eastAsia="Arial" w:hAnsi="Arial"/>
                <w:sz w:val="18"/>
                <w:szCs w:val="18"/>
                <w:color w:val="auto"/>
              </w:rPr>
              <w:t>Marketing fees</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(0.8 )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(0.9 )</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(1.2 )</w:t>
            </w: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(1.3 )</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560" w:type="dxa"/>
            <w:vAlign w:val="bottom"/>
          </w:tcPr>
          <w:p>
            <w:pPr>
              <w:spacing w:after="0"/>
              <w:rPr>
                <w:sz w:val="24"/>
                <w:szCs w:val="24"/>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Less Ancillary Services</w:t>
            </w:r>
          </w:p>
        </w:tc>
        <w:tc>
          <w:tcPr>
            <w:tcW w:w="7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4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37.2</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Payment processing services costs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4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Hosting and amortization costs within technology and</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39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development expenses</w:t>
            </w: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FF0FC"/>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Adjusted to:</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0" w:type="dxa"/>
            <w:vAlign w:val="bottom"/>
          </w:tcPr>
          <w:p>
            <w:pPr>
              <w:spacing w:after="0"/>
              <w:rPr>
                <w:sz w:val="22"/>
                <w:szCs w:val="22"/>
                <w:color w:val="auto"/>
              </w:rPr>
            </w:pPr>
          </w:p>
        </w:tc>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Exclude printing and mailing costs</w:t>
            </w:r>
          </w:p>
        </w:tc>
        <w:tc>
          <w:tcPr>
            <w:tcW w:w="7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(5.0 )</w:t>
            </w:r>
          </w:p>
        </w:tc>
        <w:tc>
          <w:tcPr>
            <w:tcW w:w="160" w:type="dxa"/>
            <w:vAlign w:val="bottom"/>
            <w:shd w:val="clear" w:color="auto" w:fill="CFF0FC"/>
          </w:tcPr>
          <w:p>
            <w:pPr>
              <w:spacing w:after="0"/>
              <w:rPr>
                <w:sz w:val="22"/>
                <w:szCs w:val="22"/>
                <w:color w:val="auto"/>
              </w:rPr>
            </w:pPr>
          </w:p>
        </w:tc>
        <w:tc>
          <w:tcPr>
            <w:tcW w:w="10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(13.4 )</w:t>
            </w:r>
          </w:p>
        </w:tc>
        <w:tc>
          <w:tcPr>
            <w:tcW w:w="1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(12.1 )</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3980" w:type="dxa"/>
            <w:vAlign w:val="bottom"/>
          </w:tcPr>
          <w:p>
            <w:pPr>
              <w:ind w:left="260"/>
              <w:spacing w:after="0"/>
              <w:rPr>
                <w:sz w:val="20"/>
                <w:szCs w:val="20"/>
                <w:color w:val="auto"/>
              </w:rPr>
            </w:pPr>
            <w:r>
              <w:rPr>
                <w:rFonts w:ascii="Arial" w:cs="Arial" w:eastAsia="Arial" w:hAnsi="Arial"/>
                <w:sz w:val="18"/>
                <w:szCs w:val="18"/>
                <w:color w:val="auto"/>
              </w:rPr>
              <w:t>Offset marketing fees against related costs</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(0.8 )</w:t>
            </w:r>
          </w:p>
        </w:tc>
        <w:tc>
          <w:tcPr>
            <w:tcW w:w="160" w:type="dxa"/>
            <w:vAlign w:val="bottom"/>
          </w:tcPr>
          <w:p>
            <w:pPr>
              <w:spacing w:after="0"/>
              <w:rPr>
                <w:sz w:val="21"/>
                <w:szCs w:val="21"/>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(1.2 )</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(1.3 )</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0" w:type="dxa"/>
            <w:vAlign w:val="bottom"/>
          </w:tcPr>
          <w:p>
            <w:pPr>
              <w:spacing w:after="0"/>
              <w:rPr>
                <w:sz w:val="22"/>
                <w:szCs w:val="22"/>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Costs of revenue less ancillary services</w:t>
            </w:r>
          </w:p>
        </w:tc>
        <w:tc>
          <w:tcPr>
            <w:tcW w:w="7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40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FF0FC"/>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Gross Profit</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44.6</w:t>
            </w:r>
          </w:p>
        </w:tc>
        <w:tc>
          <w:tcPr>
            <w:tcW w:w="4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c>
          <w:tcPr>
            <w:tcW w:w="260" w:type="dxa"/>
            <w:vAlign w:val="bottom"/>
          </w:tcPr>
          <w:p>
            <w:pPr>
              <w:spacing w:after="0"/>
              <w:rPr>
                <w:sz w:val="21"/>
                <w:szCs w:val="21"/>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94.7</w:t>
            </w:r>
          </w:p>
        </w:tc>
        <w:tc>
          <w:tcPr>
            <w:tcW w:w="180" w:type="dxa"/>
            <w:vAlign w:val="bottom"/>
          </w:tcPr>
          <w:p>
            <w:pPr>
              <w:spacing w:after="0"/>
              <w:rPr>
                <w:sz w:val="21"/>
                <w:szCs w:val="21"/>
                <w:color w:val="auto"/>
              </w:rPr>
            </w:pP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58.9</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60" w:type="dxa"/>
            <w:vAlign w:val="bottom"/>
          </w:tcPr>
          <w:p>
            <w:pPr>
              <w:spacing w:after="0"/>
              <w:rPr>
                <w:sz w:val="24"/>
                <w:szCs w:val="24"/>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7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65.8 %</w:t>
            </w:r>
          </w:p>
        </w:tc>
        <w:tc>
          <w:tcPr>
            <w:tcW w:w="160" w:type="dxa"/>
            <w:vAlign w:val="bottom"/>
            <w:shd w:val="clear" w:color="auto" w:fill="CFF0FC"/>
          </w:tcPr>
          <w:p>
            <w:pPr>
              <w:spacing w:after="0"/>
              <w:rPr>
                <w:sz w:val="24"/>
                <w:szCs w:val="24"/>
                <w:color w:val="auto"/>
              </w:rPr>
            </w:pP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64.4 %</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63.2 %</w:t>
            </w:r>
          </w:p>
        </w:tc>
        <w:tc>
          <w:tcPr>
            <w:tcW w:w="18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59.7 %</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39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Adjusted Gross Profit</w:t>
            </w:r>
          </w:p>
        </w:tc>
        <w:tc>
          <w:tcPr>
            <w:tcW w:w="7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40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27.1</w:t>
            </w:r>
          </w:p>
        </w:tc>
        <w:tc>
          <w:tcPr>
            <w:tcW w:w="26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8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60" w:type="dxa"/>
            <w:vAlign w:val="bottom"/>
            <w:tcBorders>
              <w:top w:val="single" w:sz="8" w:color="CFF0FC"/>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Adjusted Gross Margin</w:t>
            </w:r>
          </w:p>
        </w:tc>
        <w:tc>
          <w:tcPr>
            <w:tcW w:w="7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71.9 %</w:t>
            </w:r>
          </w:p>
        </w:tc>
        <w:tc>
          <w:tcPr>
            <w:tcW w:w="160" w:type="dxa"/>
            <w:vAlign w:val="bottom"/>
            <w:shd w:val="clear" w:color="auto" w:fill="CFF0FC"/>
          </w:tcPr>
          <w:p>
            <w:pPr>
              <w:spacing w:after="0"/>
              <w:rPr>
                <w:sz w:val="24"/>
                <w:szCs w:val="24"/>
                <w:color w:val="auto"/>
              </w:rPr>
            </w:pP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72.8 %</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70.0 %</w:t>
            </w:r>
          </w:p>
        </w:tc>
        <w:tc>
          <w:tcPr>
            <w:tcW w:w="18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69.1 %</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9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5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99"/>
              </w:rPr>
              <w:t>Three Months Ended</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7"/>
          </w:tcPr>
          <w:p>
            <w:pPr>
              <w:jc w:val="center"/>
              <w:ind w:right="320"/>
              <w:spacing w:after="0"/>
              <w:rPr>
                <w:sz w:val="20"/>
                <w:szCs w:val="20"/>
                <w:color w:val="auto"/>
              </w:rPr>
            </w:pPr>
            <w:r>
              <w:rPr>
                <w:rFonts w:ascii="Arial" w:cs="Arial" w:eastAsia="Arial" w:hAnsi="Arial"/>
                <w:sz w:val="13"/>
                <w:szCs w:val="13"/>
                <w:b w:val="1"/>
                <w:bCs w:val="1"/>
                <w:color w:val="auto"/>
                <w:w w:val="96"/>
              </w:rPr>
              <w:t>Three Months Ended</w:t>
            </w:r>
          </w:p>
        </w:tc>
        <w:tc>
          <w:tcPr>
            <w:tcW w:w="0" w:type="dxa"/>
            <w:vAlign w:val="bottom"/>
          </w:tcPr>
          <w:p>
            <w:pPr>
              <w:spacing w:after="0"/>
              <w:rPr>
                <w:sz w:val="1"/>
                <w:szCs w:val="1"/>
                <w:color w:val="auto"/>
              </w:rPr>
            </w:pPr>
          </w:p>
        </w:tc>
      </w:tr>
      <w:tr>
        <w:trPr>
          <w:trHeight w:val="177"/>
        </w:trPr>
        <w:tc>
          <w:tcPr>
            <w:tcW w:w="5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rPr>
              <w:t>September 30, 2021</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3"/>
                <w:szCs w:val="13"/>
                <w:b w:val="1"/>
                <w:bCs w:val="1"/>
                <w:color w:val="auto"/>
                <w:w w:val="95"/>
              </w:rPr>
              <w:t>September 30, 2020</w:t>
            </w:r>
          </w:p>
        </w:tc>
        <w:tc>
          <w:tcPr>
            <w:tcW w:w="0" w:type="dxa"/>
            <w:vAlign w:val="bottom"/>
          </w:tcPr>
          <w:p>
            <w:pPr>
              <w:spacing w:after="0"/>
              <w:rPr>
                <w:sz w:val="1"/>
                <w:szCs w:val="1"/>
                <w:color w:val="auto"/>
              </w:rPr>
            </w:pPr>
          </w:p>
        </w:tc>
      </w:tr>
      <w:tr>
        <w:trPr>
          <w:trHeight w:val="167"/>
        </w:trPr>
        <w:tc>
          <w:tcPr>
            <w:tcW w:w="5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Platform</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center"/>
              <w:ind w:right="1180"/>
              <w:spacing w:after="0"/>
              <w:rPr>
                <w:sz w:val="20"/>
                <w:szCs w:val="20"/>
                <w:color w:val="auto"/>
              </w:rPr>
            </w:pPr>
            <w:r>
              <w:rPr>
                <w:rFonts w:ascii="Arial" w:cs="Arial" w:eastAsia="Arial" w:hAnsi="Arial"/>
                <w:sz w:val="13"/>
                <w:szCs w:val="13"/>
                <w:b w:val="1"/>
                <w:bCs w:val="1"/>
                <w:color w:val="auto"/>
                <w:w w:val="98"/>
              </w:rPr>
              <w:t>Platform</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and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tcPr>
          <w:p>
            <w:pPr>
              <w:ind w:left="160"/>
              <w:spacing w:after="0"/>
              <w:rPr>
                <w:sz w:val="20"/>
                <w:szCs w:val="20"/>
                <w:color w:val="auto"/>
              </w:rPr>
            </w:pPr>
            <w:r>
              <w:rPr>
                <w:rFonts w:ascii="Arial" w:cs="Arial" w:eastAsia="Arial" w:hAnsi="Arial"/>
                <w:sz w:val="13"/>
                <w:szCs w:val="13"/>
                <w:b w:val="1"/>
                <w:bCs w:val="1"/>
                <w:color w:val="auto"/>
              </w:rPr>
              <w:t>and</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Usage-</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Usage-</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Based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Based</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540" w:type="dxa"/>
            <w:vAlign w:val="bottom"/>
            <w:gridSpan w:val="2"/>
            <w:vMerge w:val="continue"/>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Transaction</w:t>
            </w:r>
          </w:p>
        </w:tc>
        <w:tc>
          <w:tcPr>
            <w:tcW w:w="220" w:type="dxa"/>
            <w:vAlign w:val="bottom"/>
          </w:tcPr>
          <w:p>
            <w:pPr>
              <w:spacing w:after="0"/>
              <w:rPr>
                <w:sz w:val="16"/>
                <w:szCs w:val="16"/>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Fee</w:t>
            </w:r>
          </w:p>
        </w:tc>
        <w:tc>
          <w:tcPr>
            <w:tcW w:w="160" w:type="dxa"/>
            <w:vAlign w:val="bottom"/>
          </w:tcPr>
          <w:p>
            <w:pPr>
              <w:spacing w:after="0"/>
              <w:rPr>
                <w:sz w:val="16"/>
                <w:szCs w:val="16"/>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rPr>
              <w:t>Revenue</w:t>
            </w:r>
          </w:p>
        </w:tc>
        <w:tc>
          <w:tcPr>
            <w:tcW w:w="126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Transaction</w:t>
            </w:r>
          </w:p>
        </w:tc>
        <w:tc>
          <w:tcPr>
            <w:tcW w:w="500" w:type="dxa"/>
            <w:vAlign w:val="bottom"/>
            <w:gridSpan w:val="2"/>
          </w:tcPr>
          <w:p>
            <w:pPr>
              <w:ind w:left="180"/>
              <w:spacing w:after="0"/>
              <w:rPr>
                <w:sz w:val="20"/>
                <w:szCs w:val="20"/>
                <w:color w:val="auto"/>
              </w:rPr>
            </w:pPr>
            <w:r>
              <w:rPr>
                <w:rFonts w:ascii="Arial" w:cs="Arial" w:eastAsia="Arial" w:hAnsi="Arial"/>
                <w:sz w:val="13"/>
                <w:szCs w:val="13"/>
                <w:b w:val="1"/>
                <w:bCs w:val="1"/>
                <w:color w:val="auto"/>
              </w:rPr>
              <w:t>Fee</w:t>
            </w:r>
          </w:p>
        </w:tc>
        <w:tc>
          <w:tcPr>
            <w:tcW w:w="1240" w:type="dxa"/>
            <w:vAlign w:val="bottom"/>
            <w:gridSpan w:val="3"/>
          </w:tcPr>
          <w:p>
            <w:pPr>
              <w:ind w:left="600"/>
              <w:spacing w:after="0"/>
              <w:rPr>
                <w:sz w:val="20"/>
                <w:szCs w:val="20"/>
                <w:color w:val="auto"/>
              </w:rPr>
            </w:pPr>
            <w:r>
              <w:rPr>
                <w:rFonts w:ascii="Arial" w:cs="Arial" w:eastAsia="Arial" w:hAnsi="Arial"/>
                <w:sz w:val="13"/>
                <w:szCs w:val="13"/>
                <w:b w:val="1"/>
                <w:bCs w:val="1"/>
                <w:color w:val="auto"/>
              </w:rPr>
              <w:t>Revenue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-2769235</wp:posOffset>
            </wp:positionV>
            <wp:extent cx="24828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-2752090</wp:posOffset>
            </wp:positionV>
            <wp:extent cx="24828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-2769235</wp:posOffset>
            </wp:positionV>
            <wp:extent cx="23177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-2752090</wp:posOffset>
            </wp:positionV>
            <wp:extent cx="23177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-2769235</wp:posOffset>
            </wp:positionV>
            <wp:extent cx="23114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-2752090</wp:posOffset>
            </wp:positionV>
            <wp:extent cx="23114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-2769235</wp:posOffset>
            </wp:positionV>
            <wp:extent cx="16319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-2752090</wp:posOffset>
            </wp:positionV>
            <wp:extent cx="16319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-1285875</wp:posOffset>
            </wp:positionV>
            <wp:extent cx="24828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-1269365</wp:posOffset>
            </wp:positionV>
            <wp:extent cx="24828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-1285875</wp:posOffset>
            </wp:positionV>
            <wp:extent cx="23177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-1269365</wp:posOffset>
            </wp:positionV>
            <wp:extent cx="23177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-1285875</wp:posOffset>
            </wp:positionV>
            <wp:extent cx="23114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-1269365</wp:posOffset>
            </wp:positionV>
            <wp:extent cx="23114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-1285875</wp:posOffset>
            </wp:positionV>
            <wp:extent cx="16319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-1269365</wp:posOffset>
            </wp:positionV>
            <wp:extent cx="16319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-934720</wp:posOffset>
            </wp:positionV>
            <wp:extent cx="24828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-917575</wp:posOffset>
            </wp:positionV>
            <wp:extent cx="24828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-934720</wp:posOffset>
            </wp:positionV>
            <wp:extent cx="23177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-917575</wp:posOffset>
            </wp:positionV>
            <wp:extent cx="23177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-934720</wp:posOffset>
            </wp:positionV>
            <wp:extent cx="23114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-917575</wp:posOffset>
            </wp:positionV>
            <wp:extent cx="23114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-934720</wp:posOffset>
            </wp:positionV>
            <wp:extent cx="1631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-917575</wp:posOffset>
            </wp:positionV>
            <wp:extent cx="1631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Adjusted to exclude gross up for:</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Pass-through cost for printing and mailing</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Marketing fees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 Less Ancillary Services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Percentage of Revenue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Percentage of Revenue less Ancillary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53.0</w:t>
            </w:r>
          </w:p>
        </w:tc>
        <w:tc>
          <w:tcPr>
            <w:tcW w:w="34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14.8</w:t>
            </w:r>
          </w:p>
        </w:tc>
        <w:tc>
          <w:tcPr>
            <w:tcW w:w="34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67.8</w:t>
            </w:r>
          </w:p>
        </w:tc>
        <w:tc>
          <w:tcPr>
            <w:tcW w:w="34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30.7</w:t>
            </w:r>
          </w:p>
        </w:tc>
        <w:tc>
          <w:tcPr>
            <w:tcW w:w="32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11.4</w:t>
            </w:r>
          </w:p>
        </w:tc>
        <w:tc>
          <w:tcPr>
            <w:tcW w:w="3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42.1</w:t>
            </w:r>
          </w:p>
        </w:tc>
        <w:tc>
          <w:tcPr>
            <w:tcW w:w="160" w:type="dxa"/>
            <w:vAlign w:val="bottom"/>
          </w:tcPr>
          <w:p>
            <w:pPr>
              <w:spacing w:after="0"/>
              <w:rPr>
                <w:sz w:val="16"/>
                <w:szCs w:val="16"/>
                <w:color w:val="auto"/>
              </w:rPr>
            </w:pPr>
          </w:p>
        </w:tc>
      </w:tr>
      <w:tr>
        <w:trPr>
          <w:trHeight w:val="513"/>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(5.0 )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(5.0 )</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(4.0 )</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(4.0 )</w:t>
            </w:r>
          </w:p>
        </w:tc>
      </w:tr>
      <w:tr>
        <w:trPr>
          <w:trHeight w:val="256"/>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(0.8 )</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(0.8 )</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(0.9 )</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(0.9 )</w:t>
            </w:r>
          </w:p>
        </w:tc>
      </w:tr>
      <w:tr>
        <w:trPr>
          <w:trHeight w:val="223"/>
        </w:trPr>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62.0</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160" w:type="dxa"/>
            <w:vAlign w:val="bottom"/>
          </w:tcPr>
          <w:p>
            <w:pPr>
              <w:spacing w:after="0"/>
              <w:rPr>
                <w:sz w:val="19"/>
                <w:szCs w:val="19"/>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3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78.2 %</w:t>
            </w:r>
          </w:p>
        </w:tc>
        <w:tc>
          <w:tcPr>
            <w:tcW w:w="3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21.8 %</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100.0 %</w:t>
            </w:r>
          </w:p>
        </w:tc>
        <w:tc>
          <w:tcPr>
            <w:tcW w:w="3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72.9 %</w:t>
            </w:r>
          </w:p>
        </w:tc>
        <w:tc>
          <w:tcPr>
            <w:tcW w:w="2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27.1 %</w:t>
            </w:r>
          </w:p>
        </w:tc>
        <w:tc>
          <w:tcPr>
            <w:tcW w:w="2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100.0 %</w:t>
            </w:r>
          </w:p>
        </w:tc>
      </w:tr>
      <w:tr>
        <w:trPr>
          <w:trHeight w:val="256"/>
        </w:trPr>
        <w:tc>
          <w:tcPr>
            <w:tcW w:w="320" w:type="dxa"/>
            <w:vAlign w:val="bottom"/>
          </w:tcPr>
          <w:p>
            <w:pPr>
              <w:spacing w:after="0"/>
              <w:rPr>
                <w:sz w:val="22"/>
                <w:szCs w:val="2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84.2 %</w:t>
            </w:r>
          </w:p>
        </w:tc>
        <w:tc>
          <w:tcPr>
            <w:tcW w:w="30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15.8 %</w:t>
            </w:r>
          </w:p>
        </w:tc>
        <w:tc>
          <w:tcPr>
            <w:tcW w:w="240" w:type="dxa"/>
            <w:vAlign w:val="bottom"/>
          </w:tcPr>
          <w:p>
            <w:pPr>
              <w:spacing w:after="0"/>
              <w:rPr>
                <w:sz w:val="22"/>
                <w:szCs w:val="2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100.0 %</w:t>
            </w:r>
          </w:p>
        </w:tc>
        <w:tc>
          <w:tcPr>
            <w:tcW w:w="3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80.1 %</w:t>
            </w:r>
          </w:p>
        </w:tc>
        <w:tc>
          <w:tcPr>
            <w:tcW w:w="26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19.9 %</w:t>
            </w:r>
          </w:p>
        </w:tc>
        <w:tc>
          <w:tcPr>
            <w:tcW w:w="22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-809625</wp:posOffset>
            </wp:positionV>
            <wp:extent cx="7132320" cy="1631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-483870</wp:posOffset>
            </wp:positionV>
            <wp:extent cx="7132320" cy="1714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-149860</wp:posOffset>
            </wp:positionV>
            <wp:extent cx="7132320" cy="162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 w:type="dxa"/>
            <w:vAlign w:val="bottom"/>
          </w:tcPr>
          <w:p>
            <w:pPr>
              <w:spacing w:after="0"/>
              <w:rPr>
                <w:sz w:val="15"/>
                <w:szCs w:val="15"/>
                <w:color w:val="auto"/>
              </w:rPr>
            </w:pPr>
          </w:p>
        </w:tc>
        <w:tc>
          <w:tcPr>
            <w:tcW w:w="1500" w:type="dxa"/>
            <w:vAlign w:val="bottom"/>
          </w:tcPr>
          <w:p>
            <w:pPr>
              <w:ind w:left="40"/>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60" w:type="dxa"/>
            <w:vAlign w:val="bottom"/>
          </w:tcPr>
          <w:p>
            <w:pPr>
              <w:ind w:left="20"/>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Pr>
          <w:p>
            <w:pPr>
              <w:spacing w:after="0"/>
              <w:rPr>
                <w:sz w:val="15"/>
                <w:szCs w:val="15"/>
                <w:color w:val="auto"/>
              </w:rPr>
            </w:pPr>
          </w:p>
        </w:tc>
      </w:tr>
      <w:tr>
        <w:trPr>
          <w:trHeight w:val="196"/>
        </w:trPr>
        <w:tc>
          <w:tcPr>
            <w:tcW w:w="8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2021</w:t>
            </w:r>
          </w:p>
        </w:tc>
        <w:tc>
          <w:tcPr>
            <w:tcW w:w="7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2020</w:t>
            </w:r>
          </w:p>
        </w:tc>
        <w:tc>
          <w:tcPr>
            <w:tcW w:w="740" w:type="dxa"/>
            <w:vAlign w:val="bottom"/>
            <w:tcBorders>
              <w:bottom w:val="single" w:sz="8" w:color="auto"/>
            </w:tcBorders>
          </w:tcPr>
          <w:p>
            <w:pPr>
              <w:spacing w:after="0"/>
              <w:rPr>
                <w:sz w:val="17"/>
                <w:szCs w:val="17"/>
                <w:color w:val="auto"/>
              </w:rPr>
            </w:pPr>
          </w:p>
        </w:tc>
      </w:tr>
      <w:tr>
        <w:trPr>
          <w:trHeight w:val="167"/>
        </w:trPr>
        <w:tc>
          <w:tcPr>
            <w:tcW w:w="8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8"/>
              </w:rPr>
              <w:t>Platform</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8"/>
              </w:rPr>
              <w:t>Platform</w:t>
            </w:r>
          </w:p>
        </w:tc>
        <w:tc>
          <w:tcPr>
            <w:tcW w:w="74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4"/>
              </w:rPr>
              <w:t>and</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rPr>
              <w:t>and</w:t>
            </w:r>
          </w:p>
        </w:tc>
        <w:tc>
          <w:tcPr>
            <w:tcW w:w="74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6"/>
              </w:rPr>
              <w:t>Usage-</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6"/>
              </w:rPr>
              <w:t>Usage-</w:t>
            </w:r>
          </w:p>
        </w:tc>
        <w:tc>
          <w:tcPr>
            <w:tcW w:w="74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7"/>
              </w:rPr>
              <w:t>Based</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2"/>
              </w:rPr>
              <w:t>Based</w:t>
            </w:r>
          </w:p>
        </w:tc>
        <w:tc>
          <w:tcPr>
            <w:tcW w:w="740" w:type="dxa"/>
            <w:vAlign w:val="bottom"/>
          </w:tcPr>
          <w:p>
            <w:pPr>
              <w:spacing w:after="0"/>
              <w:rPr>
                <w:sz w:val="14"/>
                <w:szCs w:val="14"/>
                <w:color w:val="auto"/>
              </w:rPr>
            </w:pPr>
          </w:p>
        </w:tc>
      </w:tr>
      <w:tr>
        <w:trPr>
          <w:trHeight w:val="168"/>
        </w:trPr>
        <w:tc>
          <w:tcPr>
            <w:tcW w:w="840" w:type="dxa"/>
            <w:vAlign w:val="bottom"/>
          </w:tcPr>
          <w:p>
            <w:pPr>
              <w:ind w:left="60"/>
              <w:spacing w:after="0"/>
              <w:rPr>
                <w:sz w:val="20"/>
                <w:szCs w:val="20"/>
                <w:color w:val="auto"/>
              </w:rPr>
            </w:pPr>
            <w:r>
              <w:rPr>
                <w:rFonts w:ascii="Arial" w:cs="Arial" w:eastAsia="Arial" w:hAnsi="Arial"/>
                <w:sz w:val="13"/>
                <w:szCs w:val="13"/>
                <w:b w:val="1"/>
                <w:bCs w:val="1"/>
                <w:color w:val="auto"/>
              </w:rPr>
              <w:t>Transaction</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7"/>
              </w:rPr>
              <w:t>Fee</w:t>
            </w:r>
          </w:p>
        </w:tc>
        <w:tc>
          <w:tcPr>
            <w:tcW w:w="780" w:type="dxa"/>
            <w:vAlign w:val="bottom"/>
          </w:tcPr>
          <w:p>
            <w:pPr>
              <w:ind w:left="120"/>
              <w:spacing w:after="0"/>
              <w:rPr>
                <w:sz w:val="20"/>
                <w:szCs w:val="20"/>
                <w:color w:val="auto"/>
              </w:rPr>
            </w:pPr>
            <w:r>
              <w:rPr>
                <w:rFonts w:ascii="Arial" w:cs="Arial" w:eastAsia="Arial" w:hAnsi="Arial"/>
                <w:sz w:val="13"/>
                <w:szCs w:val="13"/>
                <w:b w:val="1"/>
                <w:bCs w:val="1"/>
                <w:color w:val="auto"/>
              </w:rPr>
              <w:t>Revenue</w:t>
            </w:r>
          </w:p>
        </w:tc>
        <w:tc>
          <w:tcPr>
            <w:tcW w:w="34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3"/>
                <w:szCs w:val="13"/>
                <w:b w:val="1"/>
                <w:bCs w:val="1"/>
                <w:color w:val="auto"/>
                <w:w w:val="97"/>
              </w:rPr>
              <w:t>Transaction</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89"/>
              </w:rPr>
              <w:t>Fee</w:t>
            </w:r>
          </w:p>
        </w:tc>
        <w:tc>
          <w:tcPr>
            <w:tcW w:w="740" w:type="dxa"/>
            <w:vAlign w:val="bottom"/>
          </w:tcPr>
          <w:p>
            <w:pPr>
              <w:ind w:left="100"/>
              <w:spacing w:after="0"/>
              <w:rPr>
                <w:sz w:val="20"/>
                <w:szCs w:val="20"/>
                <w:color w:val="auto"/>
              </w:rPr>
            </w:pPr>
            <w:r>
              <w:rPr>
                <w:rFonts w:ascii="Arial" w:cs="Arial" w:eastAsia="Arial" w:hAnsi="Arial"/>
                <w:sz w:val="13"/>
                <w:szCs w:val="13"/>
                <w:b w:val="1"/>
                <w:bCs w:val="1"/>
                <w:color w:val="auto"/>
              </w:rPr>
              <w:t>Revenue</w:t>
            </w:r>
          </w:p>
        </w:tc>
      </w:tr>
    </w:tbl>
    <w:p>
      <w:pPr>
        <w:spacing w:after="0" w:line="16" w:lineRule="exact"/>
        <w:rPr>
          <w:sz w:val="20"/>
          <w:szCs w:val="20"/>
          <w:color w:val="auto"/>
        </w:rPr>
      </w:pPr>
    </w:p>
    <w:p>
      <w:pPr>
        <w:sectPr>
          <w:pgSz w:w="11900" w:h="16838" w:orient="portrait"/>
          <w:cols w:equalWidth="0" w:num="2">
            <w:col w:w="3840" w:space="720"/>
            <w:col w:w="668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109.7</w:t>
            </w:r>
          </w:p>
        </w:tc>
        <w:tc>
          <w:tcPr>
            <w:tcW w:w="3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40.1</w:t>
            </w:r>
          </w:p>
        </w:tc>
        <w:tc>
          <w:tcPr>
            <w:tcW w:w="34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149.8</w:t>
            </w:r>
          </w:p>
        </w:tc>
        <w:tc>
          <w:tcPr>
            <w:tcW w:w="34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67.1</w:t>
            </w:r>
          </w:p>
        </w:tc>
        <w:tc>
          <w:tcPr>
            <w:tcW w:w="3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31.5</w:t>
            </w:r>
          </w:p>
        </w:tc>
        <w:tc>
          <w:tcPr>
            <w:tcW w:w="3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98.6</w:t>
            </w:r>
          </w:p>
        </w:tc>
        <w:tc>
          <w:tcPr>
            <w:tcW w:w="220" w:type="dxa"/>
            <w:vAlign w:val="bottom"/>
            <w:shd w:val="clear" w:color="auto" w:fill="CFF0FC"/>
          </w:tcPr>
          <w:p>
            <w:pPr>
              <w:spacing w:after="0"/>
              <w:rPr>
                <w:sz w:val="19"/>
                <w:szCs w:val="19"/>
                <w:color w:val="auto"/>
              </w:rPr>
            </w:pPr>
          </w:p>
        </w:tc>
      </w:tr>
      <w:tr>
        <w:trPr>
          <w:trHeight w:val="220"/>
        </w:trPr>
        <w:tc>
          <w:tcPr>
            <w:tcW w:w="4560" w:type="dxa"/>
            <w:vAlign w:val="bottom"/>
          </w:tcPr>
          <w:p>
            <w:pPr>
              <w:ind w:left="20"/>
              <w:spacing w:after="0"/>
              <w:rPr>
                <w:sz w:val="20"/>
                <w:szCs w:val="20"/>
                <w:color w:val="auto"/>
              </w:rPr>
            </w:pPr>
            <w:r>
              <w:rPr>
                <w:rFonts w:ascii="Arial" w:cs="Arial" w:eastAsia="Arial" w:hAnsi="Arial"/>
                <w:sz w:val="16"/>
                <w:szCs w:val="16"/>
                <w:color w:val="auto"/>
              </w:rPr>
              <w:t>Adjusted to exclude gross up for:</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9"/>
        </w:trPr>
        <w:tc>
          <w:tcPr>
            <w:tcW w:w="4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Pass-through cost for printing and mailing</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(13.4 )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(13.4 )</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(12.1 )</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(12.1 )</w:t>
            </w:r>
          </w:p>
        </w:tc>
      </w:tr>
      <w:tr>
        <w:trPr>
          <w:trHeight w:val="223"/>
        </w:trPr>
        <w:tc>
          <w:tcPr>
            <w:tcW w:w="4560" w:type="dxa"/>
            <w:vAlign w:val="bottom"/>
          </w:tcPr>
          <w:p>
            <w:pPr>
              <w:ind w:left="200"/>
              <w:spacing w:after="0"/>
              <w:rPr>
                <w:sz w:val="20"/>
                <w:szCs w:val="20"/>
                <w:color w:val="auto"/>
              </w:rPr>
            </w:pPr>
            <w:r>
              <w:rPr>
                <w:rFonts w:ascii="Arial" w:cs="Arial" w:eastAsia="Arial" w:hAnsi="Arial"/>
                <w:sz w:val="16"/>
                <w:szCs w:val="16"/>
                <w:color w:val="auto"/>
              </w:rPr>
              <w:t>Marketing fees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(1.2 )</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(1.2 )</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(1.3 )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(1.3 )</w:t>
            </w:r>
          </w:p>
        </w:tc>
      </w:tr>
      <w:tr>
        <w:trPr>
          <w:trHeight w:val="263"/>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Revenue Less Ancillary Services</w:t>
            </w: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108.5</w:t>
            </w:r>
          </w:p>
        </w:tc>
        <w:tc>
          <w:tcPr>
            <w:tcW w:w="3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26.7</w:t>
            </w:r>
          </w:p>
        </w:tc>
        <w:tc>
          <w:tcPr>
            <w:tcW w:w="3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135.2</w:t>
            </w:r>
          </w:p>
        </w:tc>
        <w:tc>
          <w:tcPr>
            <w:tcW w:w="3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65.8</w:t>
            </w:r>
          </w:p>
        </w:tc>
        <w:tc>
          <w:tcPr>
            <w:tcW w:w="3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w:t>
            </w:r>
          </w:p>
        </w:tc>
        <w:tc>
          <w:tcPr>
            <w:tcW w:w="3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85.2</w:t>
            </w:r>
          </w:p>
        </w:tc>
        <w:tc>
          <w:tcPr>
            <w:tcW w:w="220" w:type="dxa"/>
            <w:vAlign w:val="bottom"/>
            <w:tcBorders>
              <w:bottom w:val="single" w:sz="8" w:color="CFF0FC"/>
            </w:tcBorders>
            <w:shd w:val="clear" w:color="auto" w:fill="CFF0FC"/>
          </w:tcPr>
          <w:p>
            <w:pPr>
              <w:spacing w:after="0"/>
              <w:rPr>
                <w:sz w:val="22"/>
                <w:szCs w:val="22"/>
                <w:color w:val="auto"/>
              </w:rPr>
            </w:pPr>
          </w:p>
        </w:tc>
      </w:tr>
      <w:tr>
        <w:trPr>
          <w:trHeight w:val="207"/>
        </w:trPr>
        <w:tc>
          <w:tcPr>
            <w:tcW w:w="4560" w:type="dxa"/>
            <w:vAlign w:val="bottom"/>
          </w:tcPr>
          <w:p>
            <w:pPr>
              <w:ind w:left="20"/>
              <w:spacing w:after="0"/>
              <w:rPr>
                <w:sz w:val="20"/>
                <w:szCs w:val="20"/>
                <w:color w:val="auto"/>
              </w:rPr>
            </w:pPr>
            <w:r>
              <w:rPr>
                <w:rFonts w:ascii="Arial" w:cs="Arial" w:eastAsia="Arial" w:hAnsi="Arial"/>
                <w:sz w:val="16"/>
                <w:szCs w:val="16"/>
                <w:color w:val="auto"/>
              </w:rPr>
              <w:t>Percentage of Revenue</w:t>
            </w:r>
          </w:p>
        </w:tc>
        <w:tc>
          <w:tcPr>
            <w:tcW w:w="2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73.2 %</w:t>
            </w:r>
          </w:p>
        </w:tc>
        <w:tc>
          <w:tcPr>
            <w:tcW w:w="2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26.8 %</w:t>
            </w:r>
          </w:p>
        </w:tc>
        <w:tc>
          <w:tcPr>
            <w:tcW w:w="2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100.0 %</w:t>
            </w:r>
          </w:p>
        </w:tc>
        <w:tc>
          <w:tcPr>
            <w:tcW w:w="3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68.1 %</w:t>
            </w:r>
          </w:p>
        </w:tc>
        <w:tc>
          <w:tcPr>
            <w:tcW w:w="2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31.9 %</w:t>
            </w:r>
          </w:p>
        </w:tc>
        <w:tc>
          <w:tcPr>
            <w:tcW w:w="22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100.0 %</w:t>
            </w:r>
          </w:p>
        </w:tc>
      </w:tr>
      <w:tr>
        <w:trPr>
          <w:trHeight w:val="239"/>
        </w:trPr>
        <w:tc>
          <w:tcPr>
            <w:tcW w:w="4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Percentage of Revenue less Ancillary Services</w:t>
            </w:r>
          </w:p>
        </w:tc>
        <w:tc>
          <w:tcPr>
            <w:tcW w:w="2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80.3 %</w:t>
            </w:r>
          </w:p>
        </w:tc>
        <w:tc>
          <w:tcPr>
            <w:tcW w:w="2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19.7 %</w:t>
            </w: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100.0 %</w:t>
            </w:r>
          </w:p>
        </w:tc>
        <w:tc>
          <w:tcPr>
            <w:tcW w:w="3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77.2 %</w:t>
            </w:r>
          </w:p>
        </w:tc>
        <w:tc>
          <w:tcPr>
            <w:tcW w:w="2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22.8 %</w:t>
            </w:r>
          </w:p>
        </w:tc>
        <w:tc>
          <w:tcPr>
            <w:tcW w:w="2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-316230</wp:posOffset>
            </wp:positionV>
            <wp:extent cx="21463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-299720</wp:posOffset>
            </wp:positionV>
            <wp:extent cx="21463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-316230</wp:posOffset>
            </wp:positionV>
            <wp:extent cx="21399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399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-299720</wp:posOffset>
            </wp:positionV>
            <wp:extent cx="21399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399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-316230</wp:posOffset>
            </wp:positionV>
            <wp:extent cx="21463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-299720</wp:posOffset>
            </wp:positionV>
            <wp:extent cx="21463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-316230</wp:posOffset>
            </wp:positionV>
            <wp:extent cx="19685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-299720</wp:posOffset>
            </wp:positionV>
            <wp:extent cx="19685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-316230</wp:posOffset>
            </wp:positionV>
            <wp:extent cx="19685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-299720</wp:posOffset>
            </wp:positionV>
            <wp:extent cx="19685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-316230</wp:posOffset>
            </wp:positionV>
            <wp:extent cx="137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-299720</wp:posOffset>
            </wp:positionV>
            <wp:extent cx="13716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EBITDA and Adjusted EBITDA: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jc w:val="center"/>
              <w:ind w:left="375"/>
              <w:spacing w:after="0"/>
              <w:rPr>
                <w:sz w:val="20"/>
                <w:szCs w:val="20"/>
                <w:color w:val="auto"/>
              </w:rPr>
            </w:pPr>
            <w:r>
              <w:rPr>
                <w:rFonts w:ascii="Arial" w:cs="Arial" w:eastAsia="Arial" w:hAnsi="Arial"/>
                <w:sz w:val="14"/>
                <w:szCs w:val="14"/>
                <w:b w:val="1"/>
                <w:bCs w:val="1"/>
                <w:color w:val="auto"/>
              </w:rPr>
              <w:t>Three Months</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center"/>
              <w:ind w:left="415"/>
              <w:spacing w:after="0"/>
              <w:rPr>
                <w:sz w:val="20"/>
                <w:szCs w:val="20"/>
                <w:color w:val="auto"/>
              </w:rPr>
            </w:pPr>
            <w:r>
              <w:rPr>
                <w:rFonts w:ascii="Arial" w:cs="Arial" w:eastAsia="Arial" w:hAnsi="Arial"/>
                <w:sz w:val="14"/>
                <w:szCs w:val="14"/>
                <w:b w:val="1"/>
                <w:bCs w:val="1"/>
                <w:color w:val="auto"/>
              </w:rPr>
              <w:t>Nine Months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jc w:val="center"/>
              <w:ind w:left="375"/>
              <w:spacing w:after="0"/>
              <w:rPr>
                <w:sz w:val="20"/>
                <w:szCs w:val="20"/>
                <w:color w:val="auto"/>
              </w:rPr>
            </w:pPr>
            <w:r>
              <w:rPr>
                <w:rFonts w:ascii="Arial" w:cs="Arial" w:eastAsia="Arial" w:hAnsi="Arial"/>
                <w:sz w:val="14"/>
                <w:szCs w:val="14"/>
                <w:b w:val="1"/>
                <w:bCs w:val="1"/>
                <w:color w:val="auto"/>
              </w:rPr>
              <w:t>Ended</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center"/>
              <w:ind w:left="395"/>
              <w:spacing w:after="0"/>
              <w:rPr>
                <w:sz w:val="20"/>
                <w:szCs w:val="20"/>
                <w:color w:val="auto"/>
              </w:rPr>
            </w:pPr>
            <w:r>
              <w:rPr>
                <w:rFonts w:ascii="Arial" w:cs="Arial" w:eastAsia="Arial" w:hAnsi="Arial"/>
                <w:sz w:val="14"/>
                <w:szCs w:val="14"/>
                <w:b w:val="1"/>
                <w:bCs w:val="1"/>
                <w:color w:val="auto"/>
              </w:rPr>
              <w:t>Ended</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3"/>
          </w:tcPr>
          <w:p>
            <w:pPr>
              <w:jc w:val="center"/>
              <w:ind w:left="375"/>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580" w:type="dxa"/>
            <w:vAlign w:val="bottom"/>
          </w:tcPr>
          <w:p>
            <w:pPr>
              <w:spacing w:after="0"/>
              <w:rPr>
                <w:sz w:val="17"/>
                <w:szCs w:val="17"/>
                <w:color w:val="auto"/>
              </w:rPr>
            </w:pPr>
          </w:p>
        </w:tc>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56"/>
        </w:trPr>
        <w:tc>
          <w:tcPr>
            <w:tcW w:w="580" w:type="dxa"/>
            <w:vAlign w:val="bottom"/>
          </w:tcPr>
          <w:p>
            <w:pPr>
              <w:spacing w:after="0"/>
              <w:rPr>
                <w:sz w:val="22"/>
                <w:szCs w:val="22"/>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(16.8 )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(7.1 )</w:t>
            </w:r>
          </w:p>
        </w:tc>
      </w:tr>
      <w:tr>
        <w:trPr>
          <w:trHeight w:val="250"/>
        </w:trPr>
        <w:tc>
          <w:tcPr>
            <w:tcW w:w="580" w:type="dxa"/>
            <w:vAlign w:val="bottom"/>
          </w:tcPr>
          <w:p>
            <w:pPr>
              <w:spacing w:after="0"/>
              <w:rPr>
                <w:sz w:val="21"/>
                <w:szCs w:val="21"/>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(0.4 )</w:t>
            </w: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(7.8 )</w:t>
            </w:r>
          </w:p>
        </w:tc>
      </w:tr>
      <w:tr>
        <w:trPr>
          <w:trHeight w:val="250"/>
        </w:trPr>
        <w:tc>
          <w:tcPr>
            <w:tcW w:w="580" w:type="dxa"/>
            <w:vAlign w:val="bottom"/>
          </w:tcPr>
          <w:p>
            <w:pPr>
              <w:spacing w:after="0"/>
              <w:rPr>
                <w:sz w:val="21"/>
                <w:szCs w:val="21"/>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r>
      <w:tr>
        <w:trPr>
          <w:trHeight w:val="256"/>
        </w:trPr>
        <w:tc>
          <w:tcPr>
            <w:tcW w:w="580" w:type="dxa"/>
            <w:vAlign w:val="bottom"/>
          </w:tcPr>
          <w:p>
            <w:pPr>
              <w:spacing w:after="0"/>
              <w:rPr>
                <w:sz w:val="22"/>
                <w:szCs w:val="22"/>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(7.6 )</w:t>
            </w:r>
          </w:p>
        </w:tc>
        <w:tc>
          <w:tcPr>
            <w:tcW w:w="34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(8.0 )</w:t>
            </w:r>
          </w:p>
        </w:tc>
      </w:tr>
      <w:tr>
        <w:trPr>
          <w:trHeight w:val="250"/>
        </w:trPr>
        <w:tc>
          <w:tcPr>
            <w:tcW w:w="580" w:type="dxa"/>
            <w:vAlign w:val="bottom"/>
          </w:tcPr>
          <w:p>
            <w:pPr>
              <w:spacing w:after="0"/>
              <w:rPr>
                <w:sz w:val="21"/>
                <w:szCs w:val="21"/>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Change in fair value of preferred stock warrant liability</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(income) expense, net (1)</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(0.1 )</w:t>
            </w:r>
          </w:p>
        </w:tc>
      </w:tr>
      <w:tr>
        <w:trPr>
          <w:trHeight w:val="250"/>
        </w:trPr>
        <w:tc>
          <w:tcPr>
            <w:tcW w:w="580" w:type="dxa"/>
            <w:vAlign w:val="bottom"/>
          </w:tcPr>
          <w:p>
            <w:pPr>
              <w:spacing w:after="0"/>
              <w:rPr>
                <w:sz w:val="21"/>
                <w:szCs w:val="21"/>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Acquisition related transaction costs (2)</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r>
      <w:tr>
        <w:trPr>
          <w:trHeight w:val="257"/>
        </w:trPr>
        <w:tc>
          <w:tcPr>
            <w:tcW w:w="580" w:type="dxa"/>
            <w:vAlign w:val="bottom"/>
          </w:tcPr>
          <w:p>
            <w:pPr>
              <w:spacing w:after="0"/>
              <w:rPr>
                <w:sz w:val="22"/>
                <w:szCs w:val="22"/>
                <w:color w:val="auto"/>
              </w:rPr>
            </w:pPr>
          </w:p>
        </w:tc>
        <w:tc>
          <w:tcPr>
            <w:tcW w:w="49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Acquisition related employee retention costs (3)</w:t>
            </w: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17.6</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24.6</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6"/>
        </w:trPr>
        <w:tc>
          <w:tcPr>
            <w:tcW w:w="5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-296545</wp:posOffset>
            </wp:positionV>
            <wp:extent cx="13716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-296545</wp:posOffset>
            </wp:positionV>
            <wp:extent cx="13716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-296545</wp:posOffset>
            </wp:positionV>
            <wp:extent cx="13716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-296545</wp:posOffset>
            </wp:positionV>
            <wp:extent cx="6858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47" w:lineRule="exact"/>
        <w:rPr>
          <w:sz w:val="20"/>
          <w:szCs w:val="20"/>
          <w:color w:val="auto"/>
        </w:rPr>
      </w:pPr>
    </w:p>
    <w:p>
      <w:pPr>
        <w:ind w:left="520" w:right="340" w:hanging="512"/>
        <w:spacing w:after="0" w:line="266" w:lineRule="auto"/>
        <w:tabs>
          <w:tab w:leader="none" w:pos="481"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three months ended September 30, 2021 and 2020, other (income) expense consisted $0.2 million and $0.0 million due to losses from remeasurement of foreign currency transactions into their functional currency, respectively. For the nine months ended September 30, 2021 and 2020, other (income) expense consisted of gains (losses) from the remeasurement of foreign currency transactions into their functional currency of $0.6 million and ($0.1) million, respectively.</w:t>
      </w: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 related costs consisted of legal and advisory fees incurred in connection with the Simplee acquisition.</w:t>
      </w:r>
    </w:p>
    <w:p>
      <w:pPr>
        <w:spacing w:after="0" w:line="22" w:lineRule="exact"/>
        <w:rPr>
          <w:rFonts w:ascii="Arial" w:cs="Arial" w:eastAsia="Arial" w:hAnsi="Arial"/>
          <w:sz w:val="18"/>
          <w:szCs w:val="18"/>
          <w:color w:val="auto"/>
        </w:rPr>
      </w:pPr>
    </w:p>
    <w:p>
      <w:pPr>
        <w:ind w:left="520" w:right="160" w:hanging="512"/>
        <w:spacing w:after="0" w:line="277" w:lineRule="auto"/>
        <w:tabs>
          <w:tab w:leader="none" w:pos="4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 related employee retention costs consisted of costs incurred to retain and compensate Simplee’s employees in connection with integration of the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Utilization by Our Clients and Their Customers</w:t>
      </w:r>
    </w:p>
    <w:p>
      <w:pPr>
        <w:spacing w:after="0" w:line="153"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spacing w:after="0" w:line="208" w:lineRule="exact"/>
        <w:rPr>
          <w:sz w:val="20"/>
          <w:szCs w:val="20"/>
          <w:color w:val="auto"/>
        </w:rPr>
      </w:pPr>
    </w:p>
    <w:p>
      <w:pPr>
        <w:ind w:right="20" w:firstLine="509"/>
        <w:spacing w:after="0" w:line="269" w:lineRule="auto"/>
        <w:rPr>
          <w:sz w:val="20"/>
          <w:szCs w:val="20"/>
          <w:color w:val="auto"/>
        </w:rPr>
      </w:pPr>
      <w:r>
        <w:rPr>
          <w:rFonts w:ascii="Arial" w:cs="Arial" w:eastAsia="Arial" w:hAnsi="Arial"/>
          <w:sz w:val="18"/>
          <w:szCs w:val="18"/>
          <w:color w:val="auto"/>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and our B2B solutions.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53" w:lineRule="exact"/>
        <w:rPr>
          <w:sz w:val="20"/>
          <w:szCs w:val="20"/>
          <w:color w:val="auto"/>
        </w:rPr>
      </w:pPr>
    </w:p>
    <w:p>
      <w:pPr>
        <w:ind w:right="20" w:firstLine="509"/>
        <w:spacing w:after="0" w:line="268" w:lineRule="auto"/>
        <w:rPr>
          <w:sz w:val="20"/>
          <w:szCs w:val="20"/>
          <w:color w:val="auto"/>
        </w:rPr>
      </w:pPr>
      <w:r>
        <w:rPr>
          <w:rFonts w:ascii="Arial" w:cs="Arial" w:eastAsia="Arial" w:hAnsi="Arial"/>
          <w:sz w:val="18"/>
          <w:szCs w:val="18"/>
          <w:color w:val="auto"/>
        </w:rPr>
        <w:t>Our revenue is affected by several factors, including the amount of payment volume processed by us on behalf of our clients, the industry in which our clients operate, the currency in which payments are made and received and the number of payment plans initiated by our clients’ customers. For example, we recognize more transaction revenue as our clients engage in cross border payment flows which may increase or decrease depending on the industry in which our clients operate. We may experience shifts in the type of revenue we earn (transaction revenue or platform and usage-based fee revenue) depending on the nature of the activity of our clients and our clients’ customers on our platform.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Technology and Development and Sales and Marketing</w:t>
      </w:r>
    </w:p>
    <w:p>
      <w:pPr>
        <w:spacing w:after="0" w:line="153"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We make significant investments in both new solutions and existing solution enhancement. New solution features and functionality are brought to market through a variety of distribution and promotional activities. We will continue to adopt emerging technologies, expand our library of software integrations and invest in the development of more features.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3" w:right="359" w:bottom="1440" w:gutter="0" w:footer="0" w:header="0"/>
        </w:sectPr>
      </w:pPr>
    </w:p>
    <w:bookmarkStart w:id="36" w:name="page37"/>
    <w:bookmarkEnd w:id="36"/>
    <w:p>
      <w:pPr>
        <w:ind w:right="120"/>
        <w:spacing w:after="0" w:line="277" w:lineRule="auto"/>
        <w:rPr>
          <w:sz w:val="20"/>
          <w:szCs w:val="20"/>
          <w:color w:val="auto"/>
        </w:rPr>
      </w:pPr>
      <w:r>
        <w:rPr>
          <w:rFonts w:ascii="Arial" w:cs="Arial" w:eastAsia="Arial" w:hAnsi="Arial"/>
          <w:sz w:val="18"/>
          <w:szCs w:val="18"/>
          <w:color w:val="auto"/>
        </w:rPr>
        <w:t>While we expect our expenses related to technology and development to increase, we believe these investments will contribute to long-term growth and profitability.</w:t>
      </w:r>
    </w:p>
    <w:p>
      <w:pPr>
        <w:spacing w:after="0" w:line="197" w:lineRule="exact"/>
        <w:rPr>
          <w:sz w:val="20"/>
          <w:szCs w:val="20"/>
          <w:color w:val="auto"/>
        </w:rPr>
      </w:pPr>
    </w:p>
    <w:p>
      <w:pPr>
        <w:ind w:right="240" w:firstLine="509"/>
        <w:spacing w:after="0" w:line="269" w:lineRule="auto"/>
        <w:rPr>
          <w:sz w:val="20"/>
          <w:szCs w:val="20"/>
          <w:color w:val="auto"/>
        </w:rPr>
      </w:pPr>
      <w:r>
        <w:rPr>
          <w:rFonts w:ascii="Arial" w:cs="Arial" w:eastAsia="Arial" w:hAnsi="Arial"/>
          <w:sz w:val="18"/>
          <w:szCs w:val="18"/>
          <w:color w:val="auto"/>
        </w:rPr>
        <w:t>Additionally, we will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including adjusting spending levels as needed in response to changes in the economic environment.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53" w:lineRule="exact"/>
        <w:rPr>
          <w:sz w:val="20"/>
          <w:szCs w:val="20"/>
          <w:color w:val="auto"/>
        </w:rPr>
      </w:pPr>
    </w:p>
    <w:p>
      <w:pPr>
        <w:ind w:right="100" w:firstLine="509"/>
        <w:spacing w:after="0" w:line="268" w:lineRule="auto"/>
        <w:rPr>
          <w:sz w:val="20"/>
          <w:szCs w:val="20"/>
          <w:color w:val="auto"/>
        </w:rPr>
      </w:pPr>
      <w:r>
        <w:rPr>
          <w:rFonts w:ascii="Arial" w:cs="Arial" w:eastAsia="Arial" w:hAnsi="Arial"/>
          <w:sz w:val="18"/>
          <w:szCs w:val="18"/>
          <w:color w:val="auto"/>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For instance, our revenue has historically been strongest in our first and third quarters and weakest in our second quarter.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and total payment volume.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and Resulting Consumer Spending Trends</w:t>
      </w:r>
    </w:p>
    <w:p>
      <w:pPr>
        <w:spacing w:after="0" w:line="153"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Changes in macro-level consumer spending for education, healthcare and travel trends, including as a result of COVID-19, could affect the amounts of volumes processed on our platform, thus resulting in fluctuations to our revenue streams.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53" w:lineRule="exact"/>
        <w:rPr>
          <w:sz w:val="20"/>
          <w:szCs w:val="20"/>
          <w:color w:val="auto"/>
        </w:rPr>
      </w:pPr>
    </w:p>
    <w:p>
      <w:pPr>
        <w:ind w:right="120" w:firstLine="509"/>
        <w:spacing w:after="0" w:line="267" w:lineRule="auto"/>
        <w:rPr>
          <w:sz w:val="20"/>
          <w:szCs w:val="20"/>
          <w:color w:val="auto"/>
        </w:rPr>
      </w:pPr>
      <w:r>
        <w:rPr>
          <w:rFonts w:ascii="Arial" w:cs="Arial" w:eastAsia="Arial" w:hAnsi="Arial"/>
          <w:sz w:val="18"/>
          <w:szCs w:val="18"/>
          <w:color w:val="auto"/>
        </w:rPr>
        <w:t>The unprecedented and rapid spread of COVID-19 as well as the shelter-in-place orders, promotion of social distancing measures, restrictions to businesses deemed non-essential, and travel restrictions implemented throughout the United States and globally have significantly impacted the verticals in which we have been predominantly focused over the last decade, including payment volumes, sales cycles and time to implementation in those verticals. However, we have not experienced any significant client attrition and our net dollar-based retention rate remained strong. In 2018 and 2019, our net dollar-based retention rate was 126% and 128%, respectively. In 2020, despite the impact of the COVID-19 pandemic on our clients and the industries we serve, we had annual dollar-based net retention rate of 100%, added over 400 new clients, and maintained strong client retention of approximately 97%. During the nine months ended September 30, 2021, we have added an additional 300 clients and have observed a recovery in payment volumes and growth in clients. As a result of the payment volume growth, client growth and public company complexities, we have increased hiring. As variants of COVID-19 emerge we will continue to evaluate the nature and extent of these potential impacts to our business, consolidated financial statements, and liquidity.</w:t>
      </w:r>
    </w:p>
    <w:p>
      <w:pPr>
        <w:spacing w:after="0" w:line="208" w:lineRule="exact"/>
        <w:rPr>
          <w:sz w:val="20"/>
          <w:szCs w:val="20"/>
          <w:color w:val="auto"/>
        </w:rPr>
      </w:pPr>
    </w:p>
    <w:p>
      <w:pPr>
        <w:ind w:right="20" w:firstLine="509"/>
        <w:spacing w:after="0" w:line="269"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The CARES Act did not have a material impact on our consolidated financial statements for the year ended December 31, 2020 or the three or nine months ended September 30, 2021. We continue to monitor any effects that may result from the CARES Act or other government relief programs that are made available.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Mix of Clients</w:t>
      </w:r>
    </w:p>
    <w:p>
      <w:pPr>
        <w:spacing w:after="0" w:line="153" w:lineRule="exact"/>
        <w:rPr>
          <w:sz w:val="20"/>
          <w:szCs w:val="20"/>
          <w:color w:val="auto"/>
        </w:rPr>
      </w:pPr>
    </w:p>
    <w:p>
      <w:pPr>
        <w:ind w:right="180" w:firstLine="509"/>
        <w:spacing w:after="0" w:line="269" w:lineRule="auto"/>
        <w:rPr>
          <w:sz w:val="20"/>
          <w:szCs w:val="20"/>
          <w:color w:val="auto"/>
        </w:rPr>
      </w:pPr>
      <w:r>
        <w:rPr>
          <w:rFonts w:ascii="Arial" w:cs="Arial" w:eastAsia="Arial" w:hAnsi="Arial"/>
          <w:sz w:val="18"/>
          <w:szCs w:val="18"/>
          <w:color w:val="auto"/>
        </w:rPr>
        <w:t>Following the onset of the COVID-19 pandemic, payment volumes and revenue from education clients relying on international enrollments declined significantly, but we saw significant strength in revenue from healthcare clients, particularly as out-of-pocket costs for our clients’ customers continued to remain high. There can be no assurance that such trends or that the levels of revenue that we generate from our healthcare clients will continue.</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nine months ended September 30, 2021, we have observed a recovery in payment volumes and growth in clients.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Changes to Client Communication and Product Solutions</w:t>
      </w:r>
    </w:p>
    <w:p>
      <w:pPr>
        <w:spacing w:after="0" w:line="153"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In response to the macroeconomic impact of the COVID-19 pandemic, we initiated a series of refinements to our technology and personalization engine to optimize our clients’ ability to offer payment plans and communicate effectively and digitally with their customers. For example, we developed streamlined versions of our solution that allowed healthcare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7" w:name="page38"/>
    <w:bookmarkEnd w:id="37"/>
    <w:p>
      <w:pPr>
        <w:ind w:right="60"/>
        <w:spacing w:after="0" w:line="268" w:lineRule="auto"/>
        <w:rPr>
          <w:sz w:val="20"/>
          <w:szCs w:val="20"/>
          <w:color w:val="auto"/>
        </w:rPr>
      </w:pPr>
      <w:r>
        <w:rPr>
          <w:rFonts w:ascii="Arial" w:cs="Arial" w:eastAsia="Arial" w:hAnsi="Arial"/>
          <w:sz w:val="18"/>
          <w:szCs w:val="18"/>
          <w:color w:val="auto"/>
        </w:rPr>
        <w:t>clients to rapidly deploy secure payment capabilities in support of newly emergent telehealth services that were deployed in the early phases of the COVID-19 to enable remote healthcare services.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during the COVID-19 pandemic as the lack of affordability drives the need for more financial flexibility.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Continuity</w:t>
      </w:r>
    </w:p>
    <w:p>
      <w:pPr>
        <w:spacing w:after="0" w:line="153" w:lineRule="exact"/>
        <w:rPr>
          <w:sz w:val="20"/>
          <w:szCs w:val="20"/>
          <w:color w:val="auto"/>
        </w:rPr>
      </w:pPr>
    </w:p>
    <w:p>
      <w:pPr>
        <w:ind w:right="20" w:firstLine="509"/>
        <w:spacing w:after="0" w:line="268" w:lineRule="auto"/>
        <w:rPr>
          <w:sz w:val="20"/>
          <w:szCs w:val="20"/>
          <w:color w:val="auto"/>
        </w:rPr>
      </w:pPr>
      <w:r>
        <w:rPr>
          <w:rFonts w:ascii="Arial" w:cs="Arial" w:eastAsia="Arial" w:hAnsi="Arial"/>
          <w:sz w:val="18"/>
          <w:szCs w:val="18"/>
          <w:color w:val="auto"/>
        </w:rPr>
        <w:t>In response to COVID-19 developments, we implemented measures to focus on the safety of our employees and support of our clients, while at the same time seeking to mitigate the impact on our financial position and operations. We have implemented remote working capabilities for our entire organization and to date, there has been minimal disruption to our operations. As vaccination rates have increased, our offices have reopened in limited capacity. We have also increased our hiring plan to address key roles with the goal of ensuring continuity and growth.</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 revenue from transactions and platform and usage-based fees as described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Revenue</w:t>
      </w:r>
    </w:p>
    <w:p>
      <w:pPr>
        <w:spacing w:after="0" w:line="149" w:lineRule="exact"/>
        <w:rPr>
          <w:sz w:val="20"/>
          <w:szCs w:val="20"/>
          <w:color w:val="auto"/>
        </w:rPr>
      </w:pPr>
    </w:p>
    <w:p>
      <w:pPr>
        <w:ind w:right="560" w:firstLine="509"/>
        <w:spacing w:after="0" w:line="269" w:lineRule="auto"/>
        <w:rPr>
          <w:sz w:val="20"/>
          <w:szCs w:val="20"/>
          <w:color w:val="auto"/>
        </w:rPr>
      </w:pPr>
      <w:r>
        <w:rPr>
          <w:rFonts w:ascii="Arial" w:cs="Arial" w:eastAsia="Arial" w:hAnsi="Arial"/>
          <w:sz w:val="18"/>
          <w:szCs w:val="18"/>
          <w:color w:val="auto"/>
        </w:rPr>
        <w:t>Transaction revenue consists of a fee based on the total payment volume processed through our payment platform and global payment network. The fee can vary depending on the geographic region in which our client and client’s customer resides, the payment method selected by our clients’ customer and the currencies in which the transaction is completed on our solution. Fees received are reported as revenue upon the completion of payment processing transaction.</w:t>
      </w:r>
    </w:p>
    <w:p>
      <w:pPr>
        <w:spacing w:after="0" w:line="206" w:lineRule="exact"/>
        <w:rPr>
          <w:sz w:val="20"/>
          <w:szCs w:val="20"/>
          <w:color w:val="auto"/>
        </w:rPr>
      </w:pPr>
    </w:p>
    <w:p>
      <w:pPr>
        <w:ind w:right="160" w:firstLine="509"/>
        <w:spacing w:after="0" w:line="269" w:lineRule="auto"/>
        <w:rPr>
          <w:sz w:val="20"/>
          <w:szCs w:val="20"/>
          <w:color w:val="auto"/>
        </w:rPr>
      </w:pPr>
      <w:r>
        <w:rPr>
          <w:rFonts w:ascii="Arial" w:cs="Arial" w:eastAsia="Arial" w:hAnsi="Arial"/>
          <w:sz w:val="18"/>
          <w:szCs w:val="18"/>
          <w:color w:val="auto"/>
        </w:rPr>
        <w:t>We also earn marketing fees from credit card service providers for marketing arrangements in which we perform certain marketing activities to increase the awareness of the credit card provider and promote certain methods of payments on our payment platform. Fees from these marketing services are recognized as revenue when we complete our obligations under the marketing arrangements. We do not expect our marketing services revenue to be material in future periods.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and Usage-Based Fee Revenue</w:t>
      </w:r>
    </w:p>
    <w:p>
      <w:pPr>
        <w:spacing w:after="0" w:line="149" w:lineRule="exact"/>
        <w:rPr>
          <w:sz w:val="20"/>
          <w:szCs w:val="20"/>
          <w:color w:val="auto"/>
        </w:rPr>
      </w:pPr>
    </w:p>
    <w:p>
      <w:pPr>
        <w:ind w:right="20" w:firstLine="509"/>
        <w:spacing w:after="0" w:line="268" w:lineRule="auto"/>
        <w:rPr>
          <w:sz w:val="20"/>
          <w:szCs w:val="20"/>
          <w:color w:val="auto"/>
        </w:rPr>
      </w:pPr>
      <w:r>
        <w:rPr>
          <w:rFonts w:ascii="Arial" w:cs="Arial" w:eastAsia="Arial" w:hAnsi="Arial"/>
          <w:sz w:val="18"/>
          <w:szCs w:val="18"/>
          <w:color w:val="auto"/>
        </w:rPr>
        <w:t>We earn revenue from many of our clients based on the amount of accounts receivable they collect through our platform. For these services, we are paid a platform and usage-based fee based on the total payment volume that our clients collect. We also earn revenue from clients’ customers when they enter into a payment plan and make actual payments against a payment plan in satisfying their obligation to our client. Additionally, we earn a subscription fee from some of our clients for their use of our payment platform. Finally, we earn fees from providing other ancillary services to our clients including printing and mailing services.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Processing Services Costs</w:t>
      </w:r>
    </w:p>
    <w:p>
      <w:pPr>
        <w:spacing w:after="0" w:line="153"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Payment processing services costs consist of costs incurred to process payment transactions which include banking and credit card processing fees, foreign currency translation costs, partner fees personnel-related expenses for our employees who facilitate these payments and personnel related expenses for our employees who provide implementation services to our clients. We expect that payment processing services costs will increase in absolute dollars but may fluctuate as a percentage of revenue from period to period, as we continue to invest in scaling our processing operations and grow our revenue base.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53"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Technology and development includes (a) costs incurred in connection with the development of our solution and the improvement of existing solutions, including the amortization of software and website development costs incurred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developing our solution, which are capitalized, and acquired developed technology, (b) site operations and other infrastructure costs incurred,</w:t>
      </w:r>
    </w:p>
    <w:p>
      <w:pPr>
        <w:spacing w:after="0" w:line="23" w:lineRule="exact"/>
        <w:rPr>
          <w:sz w:val="20"/>
          <w:szCs w:val="20"/>
          <w:color w:val="auto"/>
        </w:rPr>
      </w:pPr>
    </w:p>
    <w:p>
      <w:pPr>
        <w:ind w:right="160" w:firstLine="8"/>
        <w:spacing w:after="0" w:line="271"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amortization related to capitalized cost to fulfill a contract, (d) personnel-related expenses, including salaries, stock based compensation and other expenses, (e) hardware and software engineering, consultant services and other costs associated with our technology platform and products, (f) research materials and facilities, and (g) depreciation and maintenance expense.</w:t>
      </w:r>
    </w:p>
    <w:p>
      <w:pPr>
        <w:spacing w:after="0" w:line="203" w:lineRule="exact"/>
        <w:rPr>
          <w:sz w:val="20"/>
          <w:szCs w:val="20"/>
          <w:color w:val="auto"/>
        </w:rPr>
      </w:pPr>
    </w:p>
    <w:p>
      <w:pPr>
        <w:ind w:right="20" w:firstLine="509"/>
        <w:spacing w:after="0" w:line="269" w:lineRule="auto"/>
        <w:rPr>
          <w:sz w:val="20"/>
          <w:szCs w:val="20"/>
          <w:color w:val="auto"/>
        </w:rPr>
      </w:pPr>
      <w:r>
        <w:rPr>
          <w:rFonts w:ascii="Arial" w:cs="Arial" w:eastAsia="Arial" w:hAnsi="Arial"/>
          <w:sz w:val="18"/>
          <w:szCs w:val="18"/>
          <w:color w:val="auto"/>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revenue from period to period as we expand our technology and development team to develop new solutions and enhancements to existing solutions.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53"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Selling and marketing expenses consist of personnel-related expenses, including stock-based compensation expense, sales commissions, amortization of acquired client relationship intangible assets, marketing program expenses, travel-related expenses and costs to market and promote our solutions through advertisements, marketing events, partnership arrangements, and direct client acquisition.</w:t>
      </w:r>
    </w:p>
    <w:p>
      <w:pPr>
        <w:spacing w:after="0" w:line="203" w:lineRule="exact"/>
        <w:rPr>
          <w:sz w:val="20"/>
          <w:szCs w:val="20"/>
          <w:color w:val="auto"/>
        </w:rPr>
      </w:pPr>
    </w:p>
    <w:p>
      <w:pPr>
        <w:ind w:right="120" w:firstLine="509"/>
        <w:spacing w:after="0" w:line="269" w:lineRule="auto"/>
        <w:rPr>
          <w:sz w:val="20"/>
          <w:szCs w:val="20"/>
          <w:color w:val="auto"/>
        </w:rPr>
      </w:pPr>
      <w:r>
        <w:rPr>
          <w:rFonts w:ascii="Arial" w:cs="Arial" w:eastAsia="Arial" w:hAnsi="Arial"/>
          <w:sz w:val="18"/>
          <w:szCs w:val="18"/>
          <w:color w:val="auto"/>
        </w:rPr>
        <w:t>We focus our sales and marketing efforts on generating awareness of our company,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3" w:lineRule="exact"/>
        <w:rPr>
          <w:sz w:val="20"/>
          <w:szCs w:val="20"/>
          <w:color w:val="auto"/>
        </w:rPr>
      </w:pPr>
    </w:p>
    <w:p>
      <w:pPr>
        <w:ind w:right="80" w:firstLine="509"/>
        <w:spacing w:after="0" w:line="268" w:lineRule="auto"/>
        <w:rPr>
          <w:sz w:val="20"/>
          <w:szCs w:val="20"/>
          <w:color w:val="auto"/>
        </w:rPr>
      </w:pPr>
      <w:r>
        <w:rPr>
          <w:rFonts w:ascii="Arial" w:cs="Arial" w:eastAsia="Arial" w:hAnsi="Arial"/>
          <w:sz w:val="18"/>
          <w:szCs w:val="18"/>
          <w:color w:val="auto"/>
        </w:rPr>
        <w:t>General and administrative expenses consist of personnel-related expenses, including stock-based compensation expense, for finance, risk management, legal and compliance, human resources and information technology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revenue from period to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3" w:lineRule="exact"/>
        <w:rPr>
          <w:sz w:val="20"/>
          <w:szCs w:val="20"/>
          <w:color w:val="auto"/>
        </w:rPr>
      </w:pPr>
    </w:p>
    <w:p>
      <w:pPr>
        <w:ind w:right="40" w:firstLine="509"/>
        <w:spacing w:after="0" w:line="267" w:lineRule="auto"/>
        <w:rPr>
          <w:sz w:val="20"/>
          <w:szCs w:val="20"/>
          <w:color w:val="auto"/>
        </w:rPr>
      </w:pPr>
      <w:r>
        <w:rPr>
          <w:rFonts w:ascii="Arial" w:cs="Arial" w:eastAsia="Arial" w:hAnsi="Arial"/>
          <w:sz w:val="18"/>
          <w:szCs w:val="18"/>
          <w:color w:val="auto"/>
        </w:rPr>
        <w:t>Interest expense consists of interest previously incurred on our Loan and Security Agreement (LSA) and interest on the new Revolving Credit Facility. During 2018, we borrowed $25.0 million under the LSA to complete the acquisition of OnPlan Holdings LLC. On April 25, 2020, we entered into a Joinder and Second Amendment to the LSA to refinance the LSA. As part of the refinancing, the lender re-advanced $4.2 million of principal paid on the loan through May 1, 2020. The LSA was interest only until May 2023 and carried annual interest at a rate equal to the greater of (i) 5.25% above the prime rate or (ii) 8.50%. In July 2021, we refinanced the LSA by entering into a $50 million Revolving Credit Facility. The Revolving Credit Facility has an adjustable rate of interest, at our option, either at an annual rate based on ABR, which references the prime rate plus an applicable margin or LIBOR plus an applicable margin. Loans based on ABR bear interest at a rate between ABR plus 0.75% and ABR plus 1.25%, and loans based on LIBOR bear interest at a rate between LIBOR plus 1.75% and LIBOR plus 2.25%, depending on our liquidity.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Preferred Stock Warrant Liability</w:t>
      </w:r>
    </w:p>
    <w:p>
      <w:pPr>
        <w:spacing w:after="0" w:line="153"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In connection with our financing arrangements, we issued warrants to purchase convertible preferred stock to a lender. The warrants to purchase preferred stock provide for net share settlement under which the maximum number of shares that could be issued represents the total amount of shares under the warrant agreements. These warrants are classified as liabilities on our consolidated balance sheets as these are free standing instruments that may require us to transfer an asset upon exercise. The warrant liability associated with these warrants was recorded at fair value on the issuance date of the warrants and was marked to market each reporting period based on changes in the warrants’ fair value calculated using the Black-Scholes model. Following our IPO, we no longer have to measure the change in fair value of preferred stock warrant liability in our consolidated statements of operations and comprehensive loss due to the preferred stock warrants either being fully exercised or converted to warrants to purchase common stock.</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53" w:lineRule="exact"/>
        <w:rPr>
          <w:sz w:val="20"/>
          <w:szCs w:val="20"/>
          <w:color w:val="auto"/>
        </w:rPr>
      </w:pPr>
    </w:p>
    <w:p>
      <w:pPr>
        <w:ind w:right="980" w:firstLine="509"/>
        <w:spacing w:after="0" w:line="277" w:lineRule="auto"/>
        <w:rPr>
          <w:sz w:val="20"/>
          <w:szCs w:val="20"/>
          <w:color w:val="auto"/>
        </w:rPr>
      </w:pPr>
      <w:r>
        <w:rPr>
          <w:rFonts w:ascii="Arial" w:cs="Arial" w:eastAsia="Arial" w:hAnsi="Arial"/>
          <w:sz w:val="18"/>
          <w:szCs w:val="18"/>
          <w:color w:val="auto"/>
        </w:rPr>
        <w:t>Other income (expense), net consists of interest income and gains and losses from the remeasurement of foreign currency transactions into its functional currency.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w:t>
      </w:r>
    </w:p>
    <w:p>
      <w:pPr>
        <w:spacing w:after="0" w:line="153" w:lineRule="exact"/>
        <w:rPr>
          <w:sz w:val="20"/>
          <w:szCs w:val="20"/>
          <w:color w:val="auto"/>
        </w:rPr>
      </w:pPr>
    </w:p>
    <w:p>
      <w:pPr>
        <w:jc w:val="both"/>
        <w:ind w:right="400" w:firstLine="509"/>
        <w:spacing w:after="0" w:line="271" w:lineRule="auto"/>
        <w:rPr>
          <w:sz w:val="20"/>
          <w:szCs w:val="20"/>
          <w:color w:val="auto"/>
        </w:rPr>
      </w:pPr>
      <w:r>
        <w:rPr>
          <w:rFonts w:ascii="Arial" w:cs="Arial" w:eastAsia="Arial" w:hAnsi="Arial"/>
          <w:sz w:val="18"/>
          <w:szCs w:val="18"/>
          <w:color w:val="auto"/>
        </w:rPr>
        <w:t>Provision for (benefit from) income taxes consists of foreign and state income taxes. We have generated net operating loss (NOL) carryforwards for U.S. Federal tax purposes as we expand the scale of our international business activities. Any changes in the U.S. and foreign taxation of such activities may increase our overall provision for income taxes in the future.</w:t>
      </w:r>
    </w:p>
    <w:p>
      <w:pPr>
        <w:spacing w:after="0" w:line="203"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We have a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generated in the United States.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Nine Months Ended September 30, 2021 and 2020</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7"/>
                <w:szCs w:val="17"/>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7"/>
                <w:szCs w:val="17"/>
                <w:color w:val="auto"/>
              </w:rPr>
            </w:pPr>
          </w:p>
        </w:tc>
      </w:tr>
      <w:tr>
        <w:trPr>
          <w:trHeight w:val="256"/>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2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51.9 %</w:t>
            </w:r>
          </w:p>
        </w:tc>
      </w:tr>
      <w:tr>
        <w:trPr>
          <w:trHeight w:val="250"/>
        </w:trPr>
        <w:tc>
          <w:tcPr>
            <w:tcW w:w="4940" w:type="dxa"/>
            <w:vAlign w:val="bottom"/>
            <w:gridSpan w:val="2"/>
          </w:tcPr>
          <w:p>
            <w:pPr>
              <w:spacing w:after="0"/>
              <w:rPr>
                <w:sz w:val="20"/>
                <w:szCs w:val="20"/>
                <w:color w:val="auto"/>
              </w:rPr>
            </w:pPr>
            <w:r>
              <w:rPr>
                <w:rFonts w:ascii="Arial" w:cs="Arial" w:eastAsia="Arial" w:hAnsi="Arial"/>
                <w:sz w:val="18"/>
                <w:szCs w:val="18"/>
                <w:color w:val="auto"/>
              </w:rPr>
              <w:t>Payment processing and service costs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50.9</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w:t>
            </w:r>
          </w:p>
        </w:tc>
        <w:tc>
          <w:tcPr>
            <w:tcW w:w="260" w:type="dxa"/>
            <w:vAlign w:val="bottom"/>
          </w:tcPr>
          <w:p>
            <w:pPr>
              <w:spacing w:after="0"/>
              <w:rPr>
                <w:sz w:val="21"/>
                <w:szCs w:val="21"/>
                <w:color w:val="auto"/>
              </w:rPr>
            </w:pPr>
          </w:p>
        </w:tc>
      </w:tr>
      <w:tr>
        <w:trPr>
          <w:trHeight w:val="263"/>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24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60" w:type="dxa"/>
            <w:vAlign w:val="bottom"/>
            <w:shd w:val="clear" w:color="auto" w:fill="CFF0FC"/>
          </w:tcPr>
          <w:p>
            <w:pPr>
              <w:spacing w:after="0"/>
              <w:rPr>
                <w:sz w:val="22"/>
                <w:szCs w:val="22"/>
                <w:color w:val="auto"/>
              </w:rPr>
            </w:pPr>
          </w:p>
        </w:tc>
      </w:tr>
      <w:tr>
        <w:trPr>
          <w:trHeight w:val="250"/>
        </w:trPr>
        <w:tc>
          <w:tcPr>
            <w:tcW w:w="4940" w:type="dxa"/>
            <w:vAlign w:val="bottom"/>
            <w:gridSpan w:val="2"/>
          </w:tcPr>
          <w:p>
            <w:pPr>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35.4</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w:t>
            </w:r>
          </w:p>
        </w:tc>
        <w:tc>
          <w:tcPr>
            <w:tcW w:w="260" w:type="dxa"/>
            <w:vAlign w:val="bottom"/>
          </w:tcPr>
          <w:p>
            <w:pPr>
              <w:spacing w:after="0"/>
              <w:rPr>
                <w:sz w:val="21"/>
                <w:szCs w:val="21"/>
                <w:color w:val="auto"/>
              </w:rPr>
            </w:pPr>
          </w:p>
        </w:tc>
      </w:tr>
      <w:tr>
        <w:trPr>
          <w:trHeight w:val="263"/>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60" w:type="dxa"/>
            <w:vAlign w:val="bottom"/>
            <w:shd w:val="clear" w:color="auto" w:fill="CFF0FC"/>
          </w:tcPr>
          <w:p>
            <w:pPr>
              <w:spacing w:after="0"/>
              <w:rPr>
                <w:sz w:val="22"/>
                <w:szCs w:val="22"/>
                <w:color w:val="auto"/>
              </w:rPr>
            </w:pPr>
          </w:p>
        </w:tc>
      </w:tr>
      <w:tr>
        <w:trPr>
          <w:trHeight w:val="250"/>
        </w:trPr>
        <w:tc>
          <w:tcPr>
            <w:tcW w:w="4940" w:type="dxa"/>
            <w:vAlign w:val="bottom"/>
            <w:gridSpan w:val="2"/>
          </w:tcPr>
          <w:p>
            <w:pPr>
              <w:ind w:left="260"/>
              <w:spacing w:after="0"/>
              <w:rPr>
                <w:sz w:val="20"/>
                <w:szCs w:val="20"/>
                <w:color w:val="auto"/>
              </w:rPr>
            </w:pPr>
            <w:r>
              <w:rPr>
                <w:rFonts w:ascii="Arial" w:cs="Arial" w:eastAsia="Arial" w:hAnsi="Arial"/>
                <w:sz w:val="18"/>
                <w:szCs w:val="18"/>
                <w:color w:val="auto"/>
              </w:rPr>
              <w:t>Total costs and operating expense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152.7</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w:t>
            </w:r>
          </w:p>
        </w:tc>
        <w:tc>
          <w:tcPr>
            <w:tcW w:w="260" w:type="dxa"/>
            <w:vAlign w:val="bottom"/>
          </w:tcPr>
          <w:p>
            <w:pPr>
              <w:spacing w:after="0"/>
              <w:rPr>
                <w:sz w:val="21"/>
                <w:szCs w:val="21"/>
                <w:color w:val="auto"/>
              </w:rPr>
            </w:pPr>
          </w:p>
        </w:tc>
      </w:tr>
      <w:tr>
        <w:trPr>
          <w:trHeight w:val="263"/>
        </w:trPr>
        <w:tc>
          <w:tcPr>
            <w:tcW w:w="49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(2.9 )</w:t>
            </w:r>
          </w:p>
        </w:tc>
        <w:tc>
          <w:tcPr>
            <w:tcW w:w="38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(12.8 )</w:t>
            </w:r>
          </w:p>
        </w:tc>
        <w:tc>
          <w:tcPr>
            <w:tcW w:w="1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(77.3 )</w:t>
            </w:r>
          </w:p>
        </w:tc>
      </w:tr>
      <w:tr>
        <w:trPr>
          <w:trHeight w:val="250"/>
        </w:trPr>
        <w:tc>
          <w:tcPr>
            <w:tcW w:w="49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(1.8 )</w:t>
            </w:r>
          </w:p>
        </w:tc>
        <w:tc>
          <w:tcPr>
            <w:tcW w:w="3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(1.9 )</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(5.3 )</w:t>
            </w:r>
          </w:p>
        </w:tc>
      </w:tr>
      <w:tr>
        <w:trPr>
          <w:trHeight w:val="263"/>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fair value of preferred stock warrant liability</w:t>
            </w:r>
          </w:p>
        </w:tc>
        <w:tc>
          <w:tcPr>
            <w:tcW w:w="24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(10.8 )</w:t>
            </w:r>
          </w:p>
        </w:tc>
        <w:tc>
          <w:tcPr>
            <w:tcW w:w="38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(0.2 )</w:t>
            </w:r>
          </w:p>
        </w:tc>
        <w:tc>
          <w:tcPr>
            <w:tcW w:w="16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(10.6 )</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5,300.0</w:t>
            </w:r>
          </w:p>
        </w:tc>
        <w:tc>
          <w:tcPr>
            <w:tcW w:w="260" w:type="dxa"/>
            <w:vAlign w:val="bottom"/>
            <w:shd w:val="clear" w:color="auto" w:fill="CFF0FC"/>
          </w:tcPr>
          <w:p>
            <w:pPr>
              <w:spacing w:after="0"/>
              <w:rPr>
                <w:sz w:val="22"/>
                <w:szCs w:val="22"/>
                <w:color w:val="auto"/>
              </w:rPr>
            </w:pPr>
          </w:p>
        </w:tc>
      </w:tr>
      <w:tr>
        <w:trPr>
          <w:trHeight w:val="250"/>
        </w:trPr>
        <w:tc>
          <w:tcPr>
            <w:tcW w:w="49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(0.5 )</w:t>
            </w: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(0.6 )</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(600.0 )</w:t>
            </w:r>
          </w:p>
        </w:tc>
      </w:tr>
      <w:tr>
        <w:trPr>
          <w:trHeight w:val="263"/>
        </w:trPr>
        <w:tc>
          <w:tcPr>
            <w:tcW w:w="49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other expenses, net</w:t>
            </w:r>
          </w:p>
        </w:tc>
        <w:tc>
          <w:tcPr>
            <w:tcW w:w="24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(13.1 )</w:t>
            </w:r>
          </w:p>
        </w:tc>
        <w:tc>
          <w:tcPr>
            <w:tcW w:w="38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(2.0 )</w:t>
            </w:r>
          </w:p>
        </w:tc>
        <w:tc>
          <w:tcPr>
            <w:tcW w:w="16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(11.1 )</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555.0</w:t>
            </w:r>
          </w:p>
        </w:tc>
        <w:tc>
          <w:tcPr>
            <w:tcW w:w="260" w:type="dxa"/>
            <w:vAlign w:val="bottom"/>
            <w:shd w:val="clear" w:color="auto" w:fill="CFF0FC"/>
          </w:tcPr>
          <w:p>
            <w:pPr>
              <w:spacing w:after="0"/>
              <w:rPr>
                <w:sz w:val="22"/>
                <w:szCs w:val="22"/>
                <w:color w:val="auto"/>
              </w:rPr>
            </w:pPr>
          </w:p>
        </w:tc>
      </w:tr>
      <w:tr>
        <w:trPr>
          <w:trHeight w:val="250"/>
        </w:trPr>
        <w:tc>
          <w:tcPr>
            <w:tcW w:w="4940" w:type="dxa"/>
            <w:vAlign w:val="bottom"/>
            <w:gridSpan w:val="2"/>
          </w:tcPr>
          <w:p>
            <w:pPr>
              <w:ind w:left="26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(16.0 )</w:t>
            </w:r>
          </w:p>
        </w:tc>
        <w:tc>
          <w:tcPr>
            <w:tcW w:w="3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(14.8 )</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(1.2 )</w:t>
            </w: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21"/>
                <w:szCs w:val="21"/>
                <w:color w:val="auto"/>
              </w:rPr>
            </w:pPr>
          </w:p>
        </w:tc>
      </w:tr>
      <w:tr>
        <w:trPr>
          <w:trHeight w:val="263"/>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(7.8 )</w:t>
            </w:r>
          </w:p>
        </w:tc>
        <w:tc>
          <w:tcPr>
            <w:tcW w:w="1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(110.3 )</w:t>
            </w:r>
          </w:p>
        </w:tc>
      </w:tr>
      <w:tr>
        <w:trPr>
          <w:trHeight w:val="250"/>
        </w:trPr>
        <w:tc>
          <w:tcPr>
            <w:tcW w:w="4940" w:type="dxa"/>
            <w:vAlign w:val="bottom"/>
            <w:gridSpan w:val="2"/>
          </w:tcPr>
          <w:p>
            <w:pPr>
              <w:ind w:left="26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(16.8 )</w:t>
            </w:r>
          </w:p>
        </w:tc>
        <w:tc>
          <w:tcPr>
            <w:tcW w:w="3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(7.0 )</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(9.8 )</w:t>
            </w:r>
          </w:p>
        </w:tc>
        <w:tc>
          <w:tcPr>
            <w:tcW w:w="960" w:type="dxa"/>
            <w:vAlign w:val="bottom"/>
          </w:tcPr>
          <w:p>
            <w:pPr>
              <w:jc w:val="right"/>
              <w:spacing w:after="0"/>
              <w:rPr>
                <w:sz w:val="20"/>
                <w:szCs w:val="20"/>
                <w:color w:val="auto"/>
              </w:rPr>
            </w:pPr>
            <w:r>
              <w:rPr>
                <w:rFonts w:ascii="Arial" w:cs="Arial" w:eastAsia="Arial" w:hAnsi="Arial"/>
                <w:sz w:val="18"/>
                <w:szCs w:val="18"/>
                <w:color w:val="auto"/>
              </w:rPr>
              <w:t>140.0</w:t>
            </w:r>
          </w:p>
        </w:tc>
        <w:tc>
          <w:tcPr>
            <w:tcW w:w="260" w:type="dxa"/>
            <w:vAlign w:val="bottom"/>
          </w:tcPr>
          <w:p>
            <w:pPr>
              <w:spacing w:after="0"/>
              <w:rPr>
                <w:sz w:val="21"/>
                <w:szCs w:val="21"/>
                <w:color w:val="auto"/>
              </w:rPr>
            </w:pPr>
          </w:p>
        </w:tc>
      </w:tr>
      <w:tr>
        <w:trPr>
          <w:trHeight w:val="263"/>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(0.1 )</w:t>
            </w:r>
          </w:p>
        </w:tc>
        <w:tc>
          <w:tcPr>
            <w:tcW w:w="38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(0.1 )</w:t>
            </w:r>
          </w:p>
        </w:tc>
        <w:tc>
          <w:tcPr>
            <w:tcW w:w="1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50"/>
        </w:trPr>
        <w:tc>
          <w:tcPr>
            <w:tcW w:w="49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(16.9 )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(7.1 )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(9.8 )</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138.0 %</w:t>
            </w: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-193675</wp:posOffset>
            </wp:positionV>
            <wp:extent cx="14605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-193675</wp:posOffset>
            </wp:positionV>
            <wp:extent cx="13716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-193675</wp:posOffset>
            </wp:positionV>
            <wp:extent cx="12890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8905" cy="571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49"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Revenue was $149.8 million for the nine months ended September 30, 2021, compared to $98.6 million for the nine months ended September 30, 2020, an increase of $51.2 million or 51.9%.</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7"/>
        </w:trPr>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7"/>
                <w:szCs w:val="17"/>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7"/>
                <w:szCs w:val="17"/>
                <w:color w:val="auto"/>
              </w:rPr>
            </w:pPr>
          </w:p>
        </w:tc>
      </w:tr>
      <w:tr>
        <w:trPr>
          <w:trHeight w:val="256"/>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Transaction revenue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5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420" w:type="dxa"/>
            <w:vAlign w:val="bottom"/>
            <w:gridSpan w:val="3"/>
            <w:shd w:val="clear" w:color="auto" w:fill="CFF0FC"/>
          </w:tcPr>
          <w:p>
            <w:pPr>
              <w:ind w:left="800"/>
              <w:spacing w:after="0"/>
              <w:rPr>
                <w:sz w:val="20"/>
                <w:szCs w:val="20"/>
                <w:color w:val="auto"/>
              </w:rPr>
            </w:pPr>
            <w:r>
              <w:rPr>
                <w:rFonts w:ascii="Arial" w:cs="Arial" w:eastAsia="Arial" w:hAnsi="Arial"/>
                <w:sz w:val="18"/>
                <w:szCs w:val="18"/>
                <w:color w:val="auto"/>
              </w:rPr>
              <w:t>63.5 %</w:t>
            </w:r>
          </w:p>
        </w:tc>
      </w:tr>
      <w:tr>
        <w:trPr>
          <w:trHeight w:val="250"/>
        </w:trPr>
        <w:tc>
          <w:tcPr>
            <w:tcW w:w="4960" w:type="dxa"/>
            <w:vAlign w:val="bottom"/>
            <w:gridSpan w:val="2"/>
          </w:tcPr>
          <w:p>
            <w:pPr>
              <w:spacing w:after="0"/>
              <w:rPr>
                <w:sz w:val="20"/>
                <w:szCs w:val="20"/>
                <w:color w:val="auto"/>
              </w:rPr>
            </w:pPr>
            <w:r>
              <w:rPr>
                <w:rFonts w:ascii="Arial" w:cs="Arial" w:eastAsia="Arial" w:hAnsi="Arial"/>
                <w:sz w:val="18"/>
                <w:szCs w:val="18"/>
                <w:color w:val="auto"/>
              </w:rPr>
              <w:t>Platform and usage-based fee revenue</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1"/>
                <w:szCs w:val="21"/>
                <w:color w:val="auto"/>
              </w:rPr>
            </w:pPr>
          </w:p>
        </w:tc>
        <w:tc>
          <w:tcPr>
            <w:tcW w:w="9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6"/>
              </w:rPr>
              <w:t>27.3</w:t>
            </w:r>
          </w:p>
        </w:tc>
        <w:tc>
          <w:tcPr>
            <w:tcW w:w="260" w:type="dxa"/>
            <w:vAlign w:val="bottom"/>
          </w:tcPr>
          <w:p>
            <w:pPr>
              <w:spacing w:after="0"/>
              <w:rPr>
                <w:sz w:val="21"/>
                <w:szCs w:val="21"/>
                <w:color w:val="auto"/>
              </w:rPr>
            </w:pPr>
          </w:p>
        </w:tc>
      </w:tr>
      <w:tr>
        <w:trPr>
          <w:trHeight w:val="296"/>
        </w:trPr>
        <w:tc>
          <w:tcPr>
            <w:tcW w:w="49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1420" w:type="dxa"/>
            <w:vAlign w:val="bottom"/>
            <w:tcBorders>
              <w:bottom w:val="single" w:sz="8" w:color="CFF0FC"/>
            </w:tcBorders>
            <w:gridSpan w:val="3"/>
            <w:shd w:val="clear" w:color="auto" w:fill="CFF0FC"/>
          </w:tcPr>
          <w:p>
            <w:pPr>
              <w:ind w:left="800"/>
              <w:spacing w:after="0"/>
              <w:rPr>
                <w:sz w:val="20"/>
                <w:szCs w:val="20"/>
                <w:color w:val="auto"/>
              </w:rPr>
            </w:pPr>
            <w:r>
              <w:rPr>
                <w:rFonts w:ascii="Arial" w:cs="Arial" w:eastAsia="Arial" w:hAnsi="Arial"/>
                <w:sz w:val="18"/>
                <w:szCs w:val="18"/>
                <w:color w:val="auto"/>
              </w:rPr>
              <w:t>51.9 %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-24765</wp:posOffset>
            </wp:positionV>
            <wp:extent cx="1371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1371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12001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1200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12001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12001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Transaction revenue was $109.7 million for the nine months ended September 30, 2021, compared to $67.1 million for the nine months ended September 30, 2020, an increase of $42.6 million or 63.5%. The increase in transaction revenue was primarily driven by growth in transaction payment volumes from both our existing clients and new clients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both"/>
        <w:ind w:right="160"/>
        <w:spacing w:after="0" w:line="271" w:lineRule="auto"/>
        <w:rPr>
          <w:sz w:val="20"/>
          <w:szCs w:val="20"/>
          <w:color w:val="auto"/>
        </w:rPr>
      </w:pPr>
      <w:r>
        <w:rPr>
          <w:rFonts w:ascii="Arial" w:cs="Arial" w:eastAsia="Arial" w:hAnsi="Arial"/>
          <w:sz w:val="18"/>
          <w:szCs w:val="18"/>
          <w:color w:val="auto"/>
        </w:rPr>
        <w:t>added during the nine months ended September 30, 2021. We experienced strong growth in payment volume across all regions during the period. Total payment volume increased 76.0% during the nine months ended September 30, 2021 to $10.1 billion. Our marketing services revenue remained consistent in the nine months ended September 30, 2021 compared to the nine months ended September 30, 2020.</w:t>
      </w:r>
    </w:p>
    <w:p>
      <w:pPr>
        <w:spacing w:after="0" w:line="203"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Platform and usage-based fee revenue was $40.1 million for the nine months ended September 30, 2021, compared to $31.5 million for the nine months ended September 30, 2020, an increase of $8.6 million or 27.3%. The increase in platform and usage-based fee revenue was driven by the full nine months of revenue from Simplee, increased usage by our clients and new clients signed during the nine months ended September 30,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49" w:lineRule="exact"/>
        <w:rPr>
          <w:sz w:val="20"/>
          <w:szCs w:val="20"/>
          <w:color w:val="auto"/>
        </w:rPr>
      </w:pPr>
    </w:p>
    <w:p>
      <w:pPr>
        <w:ind w:right="160" w:firstLine="509"/>
        <w:spacing w:after="0" w:line="269" w:lineRule="auto"/>
        <w:rPr>
          <w:sz w:val="20"/>
          <w:szCs w:val="20"/>
          <w:color w:val="auto"/>
        </w:rPr>
      </w:pPr>
      <w:r>
        <w:rPr>
          <w:rFonts w:ascii="Arial" w:cs="Arial" w:eastAsia="Arial" w:hAnsi="Arial"/>
          <w:sz w:val="18"/>
          <w:szCs w:val="18"/>
          <w:color w:val="auto"/>
        </w:rPr>
        <w:t>Payment processing services costs were $50.9 million for the nine months ended September 30, 2021, compared to $36.3 million for the nine months ended September 30, 2020, an increase of $14.6 million or 40.2%. The increase in payment processing services costs is correlated with the increase in total payment volume of 76.0% over the same period, and was offset by lower processing costs related to bank, credit card and alternative payment transactions.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Technology and development expenses were $22.2 million for the nine months ended September 30, 2021, compared to $17.8 million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2020, an increase of $4.4 million or 24.7%. The increase in technology and development cost was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primarily driven by an increase in personnel costs, stock-based compensation expense, and an increase in amortization expense. Personnel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costs were $12.9 million for the nine months ended September 30, 2021, compared to $11.6 million for the nine months ended September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 2020 an increase of $1.3 million or 11.2%. The increase in personnel costs was primarily driven by an increase in headcount within our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technology and development teams partially offset by the capitalization of internally developed software costs during the period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$4.6million. Stock-based compensation expense was $2.0 million for the nine months ended September 30, 2021, compared to $0.7 million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2020, an increase of $1.3 million. Amortization of intangible assets was $3.6 million for the nine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months ended September 30, 2021, compared to $2.7 million for the nine months ended September 30, 2020, an increase of $0.9 million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The increase in amortization expense was the result of the acquisition of Simplee.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49" w:lineRule="exact"/>
        <w:rPr>
          <w:sz w:val="20"/>
          <w:szCs w:val="20"/>
          <w:color w:val="auto"/>
        </w:rPr>
      </w:pPr>
    </w:p>
    <w:p>
      <w:pPr>
        <w:ind w:right="20" w:firstLine="509"/>
        <w:spacing w:after="0" w:line="267" w:lineRule="auto"/>
        <w:rPr>
          <w:sz w:val="20"/>
          <w:szCs w:val="20"/>
          <w:color w:val="auto"/>
        </w:rPr>
      </w:pPr>
      <w:r>
        <w:rPr>
          <w:rFonts w:ascii="Arial" w:cs="Arial" w:eastAsia="Arial" w:hAnsi="Arial"/>
          <w:sz w:val="18"/>
          <w:szCs w:val="18"/>
          <w:color w:val="auto"/>
        </w:rPr>
        <w:t>Selling and marketing expenses were $35.4 million for the nine months ended September 30, 2021, compared to $24.3 million for the nine months ended September 30, 2020, an increase of $11.1 million or 45.7%. The increase in selling and marketing expenses was primarily driven by an increase in personnel costs, stock-based compensation and professional fee expenses, partially offset by a decrease in travel related expenses. Personnel costs increased by $5.3 million. The increase in personnel costs was primarily driven by an increase in headcount within our selling and marketing teams and commissions earned on sales during the period. Stock-based compensation was $4.2 million for the nine months ended September 30, 2021, compared to $0.9 million for the nine months ended September 30, 2020, an increase of $3.3 million. Amortization of intangibles was $1.8 million for the nine months ended September 30, 2021, compared to $1.5 million for the nine months ended September 30, 2020, an increase of $0.3 million or 20%. The increase in amortization expense was the result of the acquisition of Simplee which added $48.3 million of acquired client relationships, which have a weighted-average amortization period of 12 years. Professional fees were $2.6 million for the nine months ended September 30, 2021, compared to $1.0 million for the nine months ended September 30, 2020, an increase of $1.6 million or 160%. Marketing fees were $2.5 million for the nine months ended September 30, 2021, compared to $1.4 million for the nine months ended September 30, 2020, an increase of $1.1 million or 78.6%. Travel related costs during the nine months ended September 30, 2021 decreased by $0.2 million compared to the same period in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9"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General and administrative expenses were $44.2 million for the nine months ended September 30, 2021, compared to $33.0 million for the nine months ended September 30, 2020, an increase of $11.2 million or 33.9%. The increase in general and administrative expenses was primarily driven by the increase in stock-based compensation, professional fees and personnel offset by the change in the fair value of contingent consideration and acquisition related expenses. Stock-based compensation was $9.3 million for the nine months ended September 30, 2021, compared to $1.3 million for the nine months ended September 30, 2020, an increase of $8.0 million. The increase in compensation is directly attributable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41" w:name="page42"/>
    <w:bookmarkEnd w:id="41"/>
    <w:p>
      <w:pPr>
        <w:spacing w:after="0" w:line="268" w:lineRule="auto"/>
        <w:rPr>
          <w:sz w:val="20"/>
          <w:szCs w:val="20"/>
          <w:color w:val="auto"/>
        </w:rPr>
      </w:pPr>
      <w:r>
        <w:rPr>
          <w:rFonts w:ascii="Arial" w:cs="Arial" w:eastAsia="Arial" w:hAnsi="Arial"/>
          <w:sz w:val="18"/>
          <w:szCs w:val="18"/>
          <w:color w:val="auto"/>
        </w:rPr>
        <w:t>to incremental compensation charges taken in relation to a secondary sale during the period that involved stockholders who were also our employees. Professional fees were $4.9 million for the nine months ended September 30, 2021, compared to $3.1 million for the nine months ended September 30, 2020, an increase of $1.8 million. Personnel costs were $17.0 million for the nine months ended September 30, 2021, compared to $14.6 million for the nine months ended September 30, 2020, an increase of $2.4 million primarily due to increased headcount. The change in the fair value of contingent consideration related to acquisitions was $2.1 million for the nine months ended September 30, 2021, compared to $4.6 million for the nine months ended September 30, 2020, a decrease of $2.5 million. Acquisition costs were $0.0 million for the nine months ended September 30, 2021, compared to $1.4 million for the nine months ended September 30,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49"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Interest expense were $1.8 million for the nine months ended September 30, 2021, compared to $1.9 million for the nine months ended September 30, 2020, a decrease of $0.1 million. The decrease is attributable to non-cash interest expense being amortized over a longer period of time after the 2020 loan refinancing.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49"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The change in fair value of preferred stock warrant liability was $10.8 million for the nine months ended September 30, 2021, compared to $0.2 million for the nine months ended September 30, 2020, an increase of $10.6 million. The increase in the fair value of the preferred stock warrant liability was due to the increase in the value of our preferred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49" w:lineRule="exact"/>
        <w:rPr>
          <w:sz w:val="20"/>
          <w:szCs w:val="20"/>
          <w:color w:val="auto"/>
        </w:rPr>
      </w:pPr>
    </w:p>
    <w:p>
      <w:pPr>
        <w:ind w:right="40" w:firstLine="509"/>
        <w:spacing w:after="0" w:line="269" w:lineRule="auto"/>
        <w:rPr>
          <w:sz w:val="20"/>
          <w:szCs w:val="20"/>
          <w:color w:val="auto"/>
        </w:rPr>
      </w:pPr>
      <w:r>
        <w:rPr>
          <w:rFonts w:ascii="Arial" w:cs="Arial" w:eastAsia="Arial" w:hAnsi="Arial"/>
          <w:sz w:val="18"/>
          <w:szCs w:val="18"/>
          <w:color w:val="auto"/>
        </w:rPr>
        <w:t>Other income (expense), net, was ($0.5) million for the nine months ended September 30, 2021, compared to less than $0.1 million for the nine months ended September 30, 2020. Losses from the remeasurement of foreign currency transactions into their functional currencies were $0.5 million for the nine months ended September 30, 2021, compared to less than $0.1 million for the nine months ended September 30,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expense from income taxes was $0.8 million during the nine months ended September 30, 2021, compared to a tax benefit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 million for the nine months ended September 30, 2020, an increase of $8.6 million. During the nine months ended September 30,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recorded an income tax expense of $0.8 million, which was primarily attributable to foreign taxes, compared to the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we recorded an income tax benefit of $7.8 million, which was primarily attributable to a non-recurring benefit of $8.4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million relating to the release of a portion of our valuation allowance. This release was due to taxable temporary differences recorded as part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Simplee acquisition which are a source of income to realize certain pre-existing federal and state deferred tax assets. Our effective tax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rate was 5.1% for the nine months ended September 30, 2021 compared to 52.4% for the nine months ended September 30, 2020.</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September 30, 2021 and 2020</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7"/>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7"/>
                <w:szCs w:val="17"/>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7"/>
                <w:szCs w:val="17"/>
                <w:color w:val="auto"/>
              </w:rPr>
            </w:pPr>
          </w:p>
        </w:tc>
      </w:tr>
      <w:tr>
        <w:trPr>
          <w:trHeight w:val="256"/>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FF0FC"/>
          </w:tcPr>
          <w:p>
            <w:pPr>
              <w:jc w:val="right"/>
              <w:ind w:right="49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240" w:type="dxa"/>
            <w:vAlign w:val="bottom"/>
            <w:shd w:val="clear" w:color="auto" w:fill="CFF0FC"/>
          </w:tcPr>
          <w:p>
            <w:pPr>
              <w:spacing w:after="0"/>
              <w:rPr>
                <w:sz w:val="22"/>
                <w:szCs w:val="22"/>
                <w:color w:val="auto"/>
              </w:rPr>
            </w:pPr>
          </w:p>
        </w:tc>
        <w:tc>
          <w:tcPr>
            <w:tcW w:w="720" w:type="dxa"/>
            <w:vAlign w:val="bottom"/>
            <w:shd w:val="clear" w:color="auto" w:fill="CFF0FC"/>
          </w:tcPr>
          <w:p>
            <w:pPr>
              <w:jc w:val="right"/>
              <w:ind w:right="51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42.1</w:t>
            </w:r>
          </w:p>
        </w:tc>
        <w:tc>
          <w:tcPr>
            <w:tcW w:w="20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61.0 %</w:t>
            </w:r>
          </w:p>
        </w:tc>
      </w:tr>
      <w:tr>
        <w:trPr>
          <w:trHeight w:val="250"/>
        </w:trPr>
        <w:tc>
          <w:tcPr>
            <w:tcW w:w="4980" w:type="dxa"/>
            <w:vAlign w:val="bottom"/>
            <w:gridSpan w:val="2"/>
          </w:tcPr>
          <w:p>
            <w:pPr>
              <w:spacing w:after="0"/>
              <w:rPr>
                <w:sz w:val="20"/>
                <w:szCs w:val="20"/>
                <w:color w:val="auto"/>
              </w:rPr>
            </w:pPr>
            <w:r>
              <w:rPr>
                <w:rFonts w:ascii="Arial" w:cs="Arial" w:eastAsia="Arial" w:hAnsi="Arial"/>
                <w:sz w:val="18"/>
                <w:szCs w:val="18"/>
                <w:color w:val="auto"/>
              </w:rPr>
              <w:t>Payment processing and service costs</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13.8</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57.2</w:t>
            </w:r>
          </w:p>
        </w:tc>
        <w:tc>
          <w:tcPr>
            <w:tcW w:w="260" w:type="dxa"/>
            <w:vAlign w:val="bottom"/>
          </w:tcPr>
          <w:p>
            <w:pPr>
              <w:spacing w:after="0"/>
              <w:rPr>
                <w:sz w:val="21"/>
                <w:szCs w:val="21"/>
                <w:color w:val="auto"/>
              </w:rPr>
            </w:pPr>
          </w:p>
        </w:tc>
      </w:tr>
      <w:tr>
        <w:trPr>
          <w:trHeight w:val="263"/>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700" w:type="dxa"/>
            <w:vAlign w:val="bottom"/>
            <w:shd w:val="clear" w:color="auto" w:fill="CFF0FC"/>
          </w:tcPr>
          <w:p>
            <w:pPr>
              <w:spacing w:after="0"/>
              <w:rPr>
                <w:sz w:val="22"/>
                <w:szCs w:val="2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260" w:type="dxa"/>
            <w:vAlign w:val="bottom"/>
            <w:shd w:val="clear" w:color="auto" w:fill="CFF0FC"/>
          </w:tcPr>
          <w:p>
            <w:pPr>
              <w:spacing w:after="0"/>
              <w:rPr>
                <w:sz w:val="22"/>
                <w:szCs w:val="22"/>
                <w:color w:val="auto"/>
              </w:rPr>
            </w:pPr>
          </w:p>
        </w:tc>
      </w:tr>
      <w:tr>
        <w:trPr>
          <w:trHeight w:val="250"/>
        </w:trPr>
        <w:tc>
          <w:tcPr>
            <w:tcW w:w="4980" w:type="dxa"/>
            <w:vAlign w:val="bottom"/>
            <w:gridSpan w:val="2"/>
          </w:tcPr>
          <w:p>
            <w:pPr>
              <w:spacing w:after="0"/>
              <w:rPr>
                <w:sz w:val="20"/>
                <w:szCs w:val="20"/>
                <w:color w:val="auto"/>
              </w:rPr>
            </w:pPr>
            <w:r>
              <w:rPr>
                <w:rFonts w:ascii="Arial" w:cs="Arial" w:eastAsia="Arial" w:hAnsi="Arial"/>
                <w:sz w:val="18"/>
                <w:szCs w:val="18"/>
                <w:color w:val="auto"/>
              </w:rPr>
              <w:t>Selling and marketing</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64.5</w:t>
            </w:r>
          </w:p>
        </w:tc>
        <w:tc>
          <w:tcPr>
            <w:tcW w:w="260" w:type="dxa"/>
            <w:vAlign w:val="bottom"/>
          </w:tcPr>
          <w:p>
            <w:pPr>
              <w:spacing w:after="0"/>
              <w:rPr>
                <w:sz w:val="21"/>
                <w:szCs w:val="21"/>
                <w:color w:val="auto"/>
              </w:rPr>
            </w:pPr>
          </w:p>
        </w:tc>
      </w:tr>
      <w:tr>
        <w:trPr>
          <w:trHeight w:val="263"/>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FF0FC"/>
          </w:tcPr>
          <w:p>
            <w:pPr>
              <w:spacing w:after="0"/>
              <w:rPr>
                <w:sz w:val="22"/>
                <w:szCs w:val="2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260" w:type="dxa"/>
            <w:vAlign w:val="bottom"/>
            <w:shd w:val="clear" w:color="auto" w:fill="CFF0FC"/>
          </w:tcPr>
          <w:p>
            <w:pPr>
              <w:spacing w:after="0"/>
              <w:rPr>
                <w:sz w:val="22"/>
                <w:szCs w:val="22"/>
                <w:color w:val="auto"/>
              </w:rPr>
            </w:pPr>
          </w:p>
        </w:tc>
      </w:tr>
      <w:tr>
        <w:trPr>
          <w:trHeight w:val="250"/>
        </w:trPr>
        <w:tc>
          <w:tcPr>
            <w:tcW w:w="4980" w:type="dxa"/>
            <w:vAlign w:val="bottom"/>
            <w:gridSpan w:val="2"/>
          </w:tcPr>
          <w:p>
            <w:pPr>
              <w:ind w:left="260"/>
              <w:spacing w:after="0"/>
              <w:rPr>
                <w:sz w:val="20"/>
                <w:szCs w:val="20"/>
                <w:color w:val="auto"/>
              </w:rPr>
            </w:pPr>
            <w:r>
              <w:rPr>
                <w:rFonts w:ascii="Arial" w:cs="Arial" w:eastAsia="Arial" w:hAnsi="Arial"/>
                <w:sz w:val="18"/>
                <w:szCs w:val="18"/>
                <w:color w:val="auto"/>
              </w:rPr>
              <w:t>Total costs and operating expense</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36.7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54.5</w:t>
            </w:r>
          </w:p>
        </w:tc>
        <w:tc>
          <w:tcPr>
            <w:tcW w:w="260" w:type="dxa"/>
            <w:vAlign w:val="bottom"/>
          </w:tcPr>
          <w:p>
            <w:pPr>
              <w:spacing w:after="0"/>
              <w:rPr>
                <w:sz w:val="21"/>
                <w:szCs w:val="21"/>
                <w:color w:val="auto"/>
              </w:rPr>
            </w:pPr>
          </w:p>
        </w:tc>
      </w:tr>
      <w:tr>
        <w:trPr>
          <w:trHeight w:val="263"/>
        </w:trPr>
        <w:tc>
          <w:tcPr>
            <w:tcW w:w="4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Loss from operations</w:t>
            </w:r>
          </w:p>
        </w:tc>
        <w:tc>
          <w:tcPr>
            <w:tcW w:w="700" w:type="dxa"/>
            <w:vAlign w:val="bottom"/>
            <w:shd w:val="clear" w:color="auto" w:fill="CFF0FC"/>
          </w:tcPr>
          <w:p>
            <w:pPr>
              <w:spacing w:after="0"/>
              <w:rPr>
                <w:sz w:val="22"/>
                <w:szCs w:val="2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260" w:type="dxa"/>
            <w:vAlign w:val="bottom"/>
            <w:shd w:val="clear" w:color="auto" w:fill="CFF0FC"/>
          </w:tcPr>
          <w:p>
            <w:pPr>
              <w:spacing w:after="0"/>
              <w:rPr>
                <w:sz w:val="22"/>
                <w:szCs w:val="22"/>
                <w:color w:val="auto"/>
              </w:rPr>
            </w:pPr>
          </w:p>
        </w:tc>
      </w:tr>
      <w:tr>
        <w:trPr>
          <w:trHeight w:val="250"/>
        </w:trPr>
        <w:tc>
          <w:tcPr>
            <w:tcW w:w="49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(0.6 )</w:t>
            </w:r>
          </w:p>
        </w:tc>
        <w:tc>
          <w:tcPr>
            <w:tcW w:w="720" w:type="dxa"/>
            <w:vAlign w:val="bottom"/>
          </w:tcPr>
          <w:p>
            <w:pPr>
              <w:spacing w:after="0"/>
              <w:rPr>
                <w:sz w:val="21"/>
                <w:szCs w:val="2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(0.6 )</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r>
      <w:tr>
        <w:trPr>
          <w:trHeight w:val="263"/>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fair value of preferred stock warrant liability</w:t>
            </w:r>
          </w:p>
        </w:tc>
        <w:tc>
          <w:tcPr>
            <w:tcW w:w="700" w:type="dxa"/>
            <w:vAlign w:val="bottom"/>
            <w:shd w:val="clear" w:color="auto" w:fill="CFF0FC"/>
          </w:tcPr>
          <w:p>
            <w:pPr>
              <w:spacing w:after="0"/>
              <w:rPr>
                <w:sz w:val="22"/>
                <w:szCs w:val="2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NM</w:t>
            </w:r>
          </w:p>
        </w:tc>
      </w:tr>
      <w:tr>
        <w:trPr>
          <w:trHeight w:val="250"/>
        </w:trPr>
        <w:tc>
          <w:tcPr>
            <w:tcW w:w="49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70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(0.2 )</w:t>
            </w:r>
          </w:p>
        </w:tc>
        <w:tc>
          <w:tcPr>
            <w:tcW w:w="7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(0.2 )</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NM</w:t>
            </w:r>
          </w:p>
        </w:tc>
      </w:tr>
      <w:tr>
        <w:trPr>
          <w:trHeight w:val="263"/>
        </w:trPr>
        <w:tc>
          <w:tcPr>
            <w:tcW w:w="4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other expenses, net</w:t>
            </w:r>
          </w:p>
        </w:tc>
        <w:tc>
          <w:tcPr>
            <w:tcW w:w="700" w:type="dxa"/>
            <w:vAlign w:val="bottom"/>
            <w:shd w:val="clear" w:color="auto" w:fill="CFF0FC"/>
          </w:tcPr>
          <w:p>
            <w:pPr>
              <w:spacing w:after="0"/>
              <w:rPr>
                <w:sz w:val="22"/>
                <w:szCs w:val="22"/>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(0.8 )</w:t>
            </w:r>
          </w:p>
        </w:tc>
        <w:tc>
          <w:tcPr>
            <w:tcW w:w="720" w:type="dxa"/>
            <w:vAlign w:val="bottom"/>
            <w:shd w:val="clear" w:color="auto" w:fill="CFF0FC"/>
          </w:tcPr>
          <w:p>
            <w:pPr>
              <w:spacing w:after="0"/>
              <w:rPr>
                <w:sz w:val="22"/>
                <w:szCs w:val="22"/>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(0.6 )</w:t>
            </w:r>
          </w:p>
        </w:tc>
        <w:tc>
          <w:tcPr>
            <w:tcW w:w="32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(0.2 )</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60" w:type="dxa"/>
            <w:vAlign w:val="bottom"/>
            <w:shd w:val="clear" w:color="auto" w:fill="CFF0FC"/>
          </w:tcPr>
          <w:p>
            <w:pPr>
              <w:spacing w:after="0"/>
              <w:rPr>
                <w:sz w:val="22"/>
                <w:szCs w:val="22"/>
                <w:color w:val="auto"/>
              </w:rPr>
            </w:pPr>
          </w:p>
        </w:tc>
      </w:tr>
      <w:tr>
        <w:trPr>
          <w:trHeight w:val="250"/>
        </w:trPr>
        <w:tc>
          <w:tcPr>
            <w:tcW w:w="4980" w:type="dxa"/>
            <w:vAlign w:val="bottom"/>
            <w:gridSpan w:val="2"/>
          </w:tcPr>
          <w:p>
            <w:pPr>
              <w:ind w:left="260"/>
              <w:spacing w:after="0"/>
              <w:rPr>
                <w:sz w:val="20"/>
                <w:szCs w:val="20"/>
                <w:color w:val="auto"/>
              </w:rPr>
            </w:pPr>
            <w:r>
              <w:rPr>
                <w:rFonts w:ascii="Arial" w:cs="Arial" w:eastAsia="Arial" w:hAnsi="Arial"/>
                <w:sz w:val="18"/>
                <w:szCs w:val="18"/>
                <w:color w:val="auto"/>
              </w:rPr>
              <w:t>Loss before income taxes</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114.6</w:t>
            </w:r>
          </w:p>
        </w:tc>
        <w:tc>
          <w:tcPr>
            <w:tcW w:w="260" w:type="dxa"/>
            <w:vAlign w:val="bottom"/>
          </w:tcPr>
          <w:p>
            <w:pPr>
              <w:spacing w:after="0"/>
              <w:rPr>
                <w:sz w:val="21"/>
                <w:szCs w:val="21"/>
                <w:color w:val="auto"/>
              </w:rPr>
            </w:pPr>
          </w:p>
        </w:tc>
      </w:tr>
      <w:tr>
        <w:trPr>
          <w:trHeight w:val="263"/>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700" w:type="dxa"/>
            <w:vAlign w:val="bottom"/>
            <w:shd w:val="clear" w:color="auto" w:fill="CFF0FC"/>
          </w:tcPr>
          <w:p>
            <w:pPr>
              <w:spacing w:after="0"/>
              <w:rPr>
                <w:sz w:val="22"/>
                <w:szCs w:val="2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(0.4 )</w:t>
            </w:r>
          </w:p>
        </w:tc>
        <w:tc>
          <w:tcPr>
            <w:tcW w:w="32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(175.0 )</w:t>
            </w:r>
          </w:p>
        </w:tc>
      </w:tr>
      <w:tr>
        <w:trPr>
          <w:trHeight w:val="250"/>
        </w:trPr>
        <w:tc>
          <w:tcPr>
            <w:tcW w:w="4980" w:type="dxa"/>
            <w:vAlign w:val="bottom"/>
            <w:gridSpan w:val="2"/>
          </w:tcPr>
          <w:p>
            <w:pPr>
              <w:ind w:left="260"/>
              <w:spacing w:after="0"/>
              <w:rPr>
                <w:sz w:val="20"/>
                <w:szCs w:val="20"/>
                <w:color w:val="auto"/>
              </w:rPr>
            </w:pPr>
            <w:r>
              <w:rPr>
                <w:rFonts w:ascii="Arial" w:cs="Arial" w:eastAsia="Arial" w:hAnsi="Arial"/>
                <w:sz w:val="18"/>
                <w:szCs w:val="18"/>
                <w:color w:val="auto"/>
              </w:rPr>
              <w:t>Net income (loss)</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92.3</w:t>
            </w:r>
          </w:p>
        </w:tc>
        <w:tc>
          <w:tcPr>
            <w:tcW w:w="260" w:type="dxa"/>
            <w:vAlign w:val="bottom"/>
          </w:tcPr>
          <w:p>
            <w:pPr>
              <w:spacing w:after="0"/>
              <w:rPr>
                <w:sz w:val="21"/>
                <w:szCs w:val="21"/>
                <w:color w:val="auto"/>
              </w:rPr>
            </w:pPr>
          </w:p>
        </w:tc>
      </w:tr>
      <w:tr>
        <w:trPr>
          <w:trHeight w:val="263"/>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translation adjustment</w:t>
            </w:r>
          </w:p>
        </w:tc>
        <w:tc>
          <w:tcPr>
            <w:tcW w:w="700" w:type="dxa"/>
            <w:vAlign w:val="bottom"/>
            <w:shd w:val="clear" w:color="auto" w:fill="CFF0FC"/>
          </w:tcPr>
          <w:p>
            <w:pPr>
              <w:spacing w:after="0"/>
              <w:rPr>
                <w:sz w:val="22"/>
                <w:szCs w:val="22"/>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(0.3 )</w:t>
            </w:r>
          </w:p>
        </w:tc>
        <w:tc>
          <w:tcPr>
            <w:tcW w:w="720" w:type="dxa"/>
            <w:vAlign w:val="bottom"/>
            <w:shd w:val="clear" w:color="auto" w:fill="CFF0FC"/>
          </w:tcPr>
          <w:p>
            <w:pPr>
              <w:spacing w:after="0"/>
              <w:rPr>
                <w:sz w:val="22"/>
                <w:szCs w:val="2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(0.5 )</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(250.0 )</w:t>
            </w:r>
          </w:p>
        </w:tc>
      </w:tr>
      <w:tr>
        <w:trPr>
          <w:trHeight w:val="250"/>
        </w:trPr>
        <w:tc>
          <w:tcPr>
            <w:tcW w:w="4980" w:type="dxa"/>
            <w:vAlign w:val="bottom"/>
            <w:tcBorders>
              <w:top w:val="single" w:sz="8" w:color="CFF0FC"/>
            </w:tcBorders>
            <w:gridSpan w:val="2"/>
          </w:tcPr>
          <w:p>
            <w:pPr>
              <w:spacing w:after="0"/>
              <w:rPr>
                <w:sz w:val="20"/>
                <w:szCs w:val="20"/>
                <w:color w:val="auto"/>
              </w:rPr>
            </w:pPr>
            <w:r>
              <w:rPr>
                <w:rFonts w:ascii="Arial" w:cs="Arial" w:eastAsia="Arial" w:hAnsi="Arial"/>
                <w:sz w:val="18"/>
                <w:szCs w:val="18"/>
                <w:color w:val="auto"/>
              </w:rPr>
              <w:t>Comprehensive income (loss)</w:t>
            </w:r>
          </w:p>
        </w:tc>
        <w:tc>
          <w:tcPr>
            <w:tcW w:w="7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40" w:type="dxa"/>
            <w:vAlign w:val="bottom"/>
            <w:tcBorders>
              <w:top w:val="single" w:sz="8" w:color="CFF0FC"/>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top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top w:val="single" w:sz="8" w:color="CFF0FC"/>
            </w:tcBorders>
          </w:tcPr>
          <w:p>
            <w:pPr>
              <w:spacing w:after="0"/>
              <w:rPr>
                <w:sz w:val="21"/>
                <w:szCs w:val="21"/>
                <w:color w:val="auto"/>
              </w:rPr>
            </w:pPr>
          </w:p>
        </w:tc>
        <w:tc>
          <w:tcPr>
            <w:tcW w:w="1220" w:type="dxa"/>
            <w:vAlign w:val="bottom"/>
            <w:tcBorders>
              <w:top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79.6 %</w:t>
            </w: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-193675</wp:posOffset>
            </wp:positionV>
            <wp:extent cx="145415"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-193675</wp:posOffset>
            </wp:positionV>
            <wp:extent cx="128905"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-193675</wp:posOffset>
            </wp:positionV>
            <wp:extent cx="128905"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8905" cy="571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49"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Revenue was $67.8 million for the three months ended September 30, 2021, compared to $42.1 million for the three months ended September 30, 2020, an increase of $25.7 million or 61.0%.</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4"/>
          </w:tcPr>
          <w:p>
            <w:pPr>
              <w:jc w:val="right"/>
              <w:ind w:right="39"/>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7"/>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7"/>
                <w:szCs w:val="17"/>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7"/>
                <w:szCs w:val="17"/>
                <w:color w:val="auto"/>
              </w:rPr>
            </w:pPr>
          </w:p>
        </w:tc>
      </w:tr>
      <w:tr>
        <w:trPr>
          <w:trHeight w:val="256"/>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Transaction revenue</w:t>
            </w:r>
          </w:p>
        </w:tc>
        <w:tc>
          <w:tcPr>
            <w:tcW w:w="74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920" w:type="dxa"/>
            <w:vAlign w:val="bottom"/>
            <w:gridSpan w:val="2"/>
            <w:shd w:val="clear" w:color="auto" w:fill="CFF0FC"/>
          </w:tcPr>
          <w:p>
            <w:pPr>
              <w:jc w:val="right"/>
              <w:ind w:right="519"/>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30.7</w:t>
            </w:r>
          </w:p>
        </w:tc>
        <w:tc>
          <w:tcPr>
            <w:tcW w:w="520" w:type="dxa"/>
            <w:vAlign w:val="bottom"/>
            <w:gridSpan w:val="2"/>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380" w:type="dxa"/>
            <w:vAlign w:val="bottom"/>
            <w:gridSpan w:val="3"/>
            <w:shd w:val="clear" w:color="auto" w:fill="CFF0FC"/>
          </w:tcPr>
          <w:p>
            <w:pPr>
              <w:ind w:left="760"/>
              <w:spacing w:after="0"/>
              <w:rPr>
                <w:sz w:val="20"/>
                <w:szCs w:val="20"/>
                <w:color w:val="auto"/>
              </w:rPr>
            </w:pPr>
            <w:r>
              <w:rPr>
                <w:rFonts w:ascii="Arial" w:cs="Arial" w:eastAsia="Arial" w:hAnsi="Arial"/>
                <w:sz w:val="18"/>
                <w:szCs w:val="18"/>
                <w:color w:val="auto"/>
              </w:rPr>
              <w:t>72.6 %</w:t>
            </w:r>
          </w:p>
        </w:tc>
      </w:tr>
      <w:tr>
        <w:trPr>
          <w:trHeight w:val="250"/>
        </w:trPr>
        <w:tc>
          <w:tcPr>
            <w:tcW w:w="4980" w:type="dxa"/>
            <w:vAlign w:val="bottom"/>
            <w:gridSpan w:val="2"/>
          </w:tcPr>
          <w:p>
            <w:pPr>
              <w:spacing w:after="0"/>
              <w:rPr>
                <w:sz w:val="20"/>
                <w:szCs w:val="20"/>
                <w:color w:val="auto"/>
              </w:rPr>
            </w:pPr>
            <w:r>
              <w:rPr>
                <w:rFonts w:ascii="Arial" w:cs="Arial" w:eastAsia="Arial" w:hAnsi="Arial"/>
                <w:sz w:val="18"/>
                <w:szCs w:val="18"/>
                <w:color w:val="auto"/>
              </w:rPr>
              <w:t>Platform and usage-based fee revenue</w:t>
            </w:r>
          </w:p>
        </w:tc>
        <w:tc>
          <w:tcPr>
            <w:tcW w:w="7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11.4</w:t>
            </w:r>
          </w:p>
        </w:tc>
        <w:tc>
          <w:tcPr>
            <w:tcW w:w="180" w:type="dxa"/>
            <w:vAlign w:val="bottom"/>
          </w:tcPr>
          <w:p>
            <w:pPr>
              <w:spacing w:after="0"/>
              <w:rPr>
                <w:sz w:val="21"/>
                <w:szCs w:val="21"/>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1"/>
                <w:szCs w:val="21"/>
                <w:color w:val="auto"/>
              </w:rPr>
            </w:pP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6"/>
              </w:rPr>
              <w:t>29.8</w:t>
            </w:r>
          </w:p>
        </w:tc>
        <w:tc>
          <w:tcPr>
            <w:tcW w:w="260" w:type="dxa"/>
            <w:vAlign w:val="bottom"/>
          </w:tcPr>
          <w:p>
            <w:pPr>
              <w:spacing w:after="0"/>
              <w:rPr>
                <w:sz w:val="21"/>
                <w:szCs w:val="21"/>
                <w:color w:val="auto"/>
              </w:rPr>
            </w:pPr>
          </w:p>
        </w:tc>
      </w:tr>
      <w:tr>
        <w:trPr>
          <w:trHeight w:val="297"/>
        </w:trPr>
        <w:tc>
          <w:tcPr>
            <w:tcW w:w="49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Revenue</w:t>
            </w:r>
          </w:p>
        </w:tc>
        <w:tc>
          <w:tcPr>
            <w:tcW w:w="74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2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42.1</w:t>
            </w:r>
          </w:p>
        </w:tc>
        <w:tc>
          <w:tcPr>
            <w:tcW w:w="1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380" w:type="dxa"/>
            <w:vAlign w:val="bottom"/>
            <w:tcBorders>
              <w:bottom w:val="single" w:sz="8" w:color="CFF0FC"/>
            </w:tcBorders>
            <w:gridSpan w:val="3"/>
            <w:shd w:val="clear" w:color="auto" w:fill="CFF0FC"/>
          </w:tcPr>
          <w:p>
            <w:pPr>
              <w:ind w:left="760"/>
              <w:spacing w:after="0"/>
              <w:rPr>
                <w:sz w:val="20"/>
                <w:szCs w:val="20"/>
                <w:color w:val="auto"/>
              </w:rPr>
            </w:pPr>
            <w:r>
              <w:rPr>
                <w:rFonts w:ascii="Arial" w:cs="Arial" w:eastAsia="Arial" w:hAnsi="Arial"/>
                <w:sz w:val="18"/>
                <w:szCs w:val="18"/>
                <w:color w:val="auto"/>
              </w:rPr>
              <w:t>61.0 %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-24765</wp:posOffset>
            </wp:positionV>
            <wp:extent cx="1371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1371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12001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12001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12001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12001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240" w:firstLine="509"/>
        <w:spacing w:after="0" w:line="268" w:lineRule="auto"/>
        <w:rPr>
          <w:sz w:val="20"/>
          <w:szCs w:val="20"/>
          <w:color w:val="auto"/>
        </w:rPr>
      </w:pPr>
      <w:r>
        <w:rPr>
          <w:rFonts w:ascii="Arial" w:cs="Arial" w:eastAsia="Arial" w:hAnsi="Arial"/>
          <w:sz w:val="18"/>
          <w:szCs w:val="18"/>
          <w:color w:val="auto"/>
        </w:rPr>
        <w:t>Transaction revenue was $53.0 million for the three months ended September 30, 2021, compared to $30.7 million for the three months ended September 30, 2020, an increase of $22.3 million or 72.6%. The increase in transaction revenue was primarily driven by growth in transaction payment volumes from both our existing and new clients added since September 30, 2020. We experienced strong growth in payment volume across all regions during the quarter. Total payment volume increased 76.4% during the nine months ended September 30, 2021 to $5.3 billion. This increase was partially offset by a $0.1 million decrease in marketing services revenue. Our marketing services revenue declined as a result of our payment partners using fewer of our marketing services in the nine months ended September 30, 2021 compared to the nine months ended September 30, 2020.</w:t>
      </w:r>
    </w:p>
    <w:p>
      <w:pPr>
        <w:spacing w:after="0" w:line="205"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Platform and usage-based fee revenue was $14.8 million for the three months ended September 30, 2021, compared to $11.4 million for the three months ended September 30, 2020, an increase of $3.4 million or 29.8%. The increase in platform and usage-based fee revenue was driven by increased usage by our clients.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49"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Payment processing services costs were $21.7 million for the three months ended September 30, 2021, compared to $13.8 million for the three months ended September 30, 2020, an increase of $7.9 million or 57.2%. The increase in payment processing services costs is correlated with the increase in total payment volume of 76.4% over the same period, and was partially offset by lower processing costs related to bank, credit card and alternative payment transactions.</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Technology and Development</w:t>
      </w:r>
    </w:p>
    <w:p>
      <w:pPr>
        <w:spacing w:after="0" w:line="149" w:lineRule="exact"/>
        <w:rPr>
          <w:sz w:val="20"/>
          <w:szCs w:val="20"/>
          <w:color w:val="auto"/>
        </w:rPr>
      </w:pPr>
    </w:p>
    <w:p>
      <w:pPr>
        <w:ind w:right="120" w:firstLine="509"/>
        <w:spacing w:after="0" w:line="267" w:lineRule="auto"/>
        <w:rPr>
          <w:sz w:val="20"/>
          <w:szCs w:val="20"/>
          <w:color w:val="auto"/>
        </w:rPr>
      </w:pPr>
      <w:r>
        <w:rPr>
          <w:rFonts w:ascii="Arial" w:cs="Arial" w:eastAsia="Arial" w:hAnsi="Arial"/>
          <w:sz w:val="18"/>
          <w:szCs w:val="18"/>
          <w:color w:val="auto"/>
        </w:rPr>
        <w:t>Technology and development expenses were $7.8 million for the three months ended September 30, 2021, compared to $6.1 million for the three months ended September 30, 2020, an increase of $1.7 million or 27.9%. The increase in technology and development cost was primarily driven by an increase in personnel costs, stock-based compensation expense and an increase in amortization expense. Personnel costs increased by $0.8 million. The increase in personnel costs was driven primarily by an increase in headcount in our technology and development teams. Stock-based compensation expense was $0.5 million for the three months ended September 30, 2021, compared to $0.3 million for the three months ended September 30, 2020, an increase of $0.2 million. Amortization of intangible assets was $1.3 million for the three months ended September 30, 2021, compared to $1.0 million for the three months ended September 30, 2020, an increase of $0.3 million or 30.0%. The increase in amortization expense was the result of the acquisition of Simplee.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49" w:lineRule="exact"/>
        <w:rPr>
          <w:sz w:val="20"/>
          <w:szCs w:val="20"/>
          <w:color w:val="auto"/>
        </w:rPr>
      </w:pPr>
    </w:p>
    <w:p>
      <w:pPr>
        <w:ind w:right="20" w:firstLine="509"/>
        <w:spacing w:after="0" w:line="267" w:lineRule="auto"/>
        <w:rPr>
          <w:sz w:val="20"/>
          <w:szCs w:val="20"/>
          <w:color w:val="auto"/>
        </w:rPr>
      </w:pPr>
      <w:r>
        <w:rPr>
          <w:rFonts w:ascii="Arial" w:cs="Arial" w:eastAsia="Arial" w:hAnsi="Arial"/>
          <w:sz w:val="18"/>
          <w:szCs w:val="18"/>
          <w:color w:val="auto"/>
        </w:rPr>
        <w:t>Selling and marketing expenses were $12.5 million for the three months ended September 30, 2021, compared to $7.6 million for the three months ended September 30, 2020, an increase of $4.9 million or 64.5%. The increase in selling and marketing expenses was primarily driven by an increase in personnel costs, professional fees and marketing. Personnel costs increased by $2.8 million. The increase in personnel costs was primarily driven by an increase in headcount within our selling and marketing teams and commissions earned on sales during the period. Professional fees were $1.0 million for the three months ended September 30, 2021, compared to $0.3 million for the three months ended September 30, 2020 an increase of $0.7 million due to increase in third party commissions. Marketing costs were $1.0 million for the three months ended September 30, 2021, compared to $0.5 million for the three months ended September 30, 2020, an increase of $0.5 million due to increased marketing initiatives and hosted events.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9" w:lineRule="exact"/>
        <w:rPr>
          <w:sz w:val="20"/>
          <w:szCs w:val="20"/>
          <w:color w:val="auto"/>
        </w:rPr>
      </w:pPr>
    </w:p>
    <w:p>
      <w:pPr>
        <w:ind w:right="40" w:firstLine="509"/>
        <w:spacing w:after="0" w:line="267" w:lineRule="auto"/>
        <w:rPr>
          <w:sz w:val="20"/>
          <w:szCs w:val="20"/>
          <w:color w:val="auto"/>
        </w:rPr>
      </w:pPr>
      <w:r>
        <w:rPr>
          <w:rFonts w:ascii="Arial" w:cs="Arial" w:eastAsia="Arial" w:hAnsi="Arial"/>
          <w:sz w:val="18"/>
          <w:szCs w:val="18"/>
          <w:color w:val="auto"/>
        </w:rPr>
        <w:t>General and administrative expenses were $14.7 million for the three months ended September 30, 2021 and $9.2 million for the three months ended September 30, 2020, an increase of $5.5 million or 59.8%. The increases in general and administrative expenses primarily driven by the increase in stock-based compensation, personnel, professional fees, other costs. Stock-based compensation was $1.5 million for the three months ended September 30, 2021, compared to $0.5 million for the three months ended September 30, 2020, an increase of $1.0 million. The increase in stock based compensation is attributable to grants awarded to existing and new employees. Personnel costs were $5.8 million for the three months ended September 30, 2021, compared to $4.1 million for the three months ended September 30, 2020, an increase of $1.7 million due to increase in headcount. Professional fees were $1.7 million for the three months ended September 30, 2021, compared to $0.9 million for the three months ended September 30, 2020, an increase of $0.8 million due to increased legal and audit fees from the same period. Other costs increased by $1.6 million. The increase in other costs is primarily due to increased insurance costs as a public company and increased hedging fees related to increase in total payment volume.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was $0.6 million for the three months ended September 30, 2021 and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4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There was no expense due to the change of the fair value of preferred stock warrant liability for the three months ended September 30, 2021 and 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49"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Other income (expense), net, was $0.2 million for the three months ended September 30, 2021 compared to $0.0 million for the three months ended September 30, 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149"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The expense from income taxes was $0.3 million during the three months ended September 30, 2021, compared to a benefit from income taxes of $0.4 million for the three months ended September 30, 2020. The expense and the benefit from income taxes for the three months ended September 30, 2021 and 2020 was primarily attributable to foreign taxes.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ind w:right="100"/>
        <w:spacing w:after="0" w:line="277" w:lineRule="auto"/>
        <w:rPr>
          <w:sz w:val="20"/>
          <w:szCs w:val="20"/>
          <w:color w:val="auto"/>
        </w:rPr>
      </w:pPr>
      <w:r>
        <w:rPr>
          <w:rFonts w:ascii="Arial" w:cs="Arial" w:eastAsia="Arial" w:hAnsi="Arial"/>
          <w:sz w:val="18"/>
          <w:szCs w:val="18"/>
          <w:color w:val="auto"/>
        </w:rPr>
        <w:t>Our effective tax rate was 3.3% for the three months ended September 30, 2021 compared to 7.7% for the three months ended September 30, 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49"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Since inception, we have financed operations primarily through proceeds received from sales of equity securities, credit facilities and payments received from our clients as further detailed below.</w:t>
      </w:r>
    </w:p>
    <w:p>
      <w:pPr>
        <w:spacing w:after="0" w:line="19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In May 2021, we completed our IPO which resulted in aggregate net proceeds of $263.8 million, after underwriting discounts of $19.4 million and issuance costs of $4.9 million. As of September 30, 2021, our principal source of liquidity is cash of $453.1 million.</w:t>
      </w:r>
    </w:p>
    <w:p>
      <w:pPr>
        <w:spacing w:after="0" w:line="197"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We believe that our existing cash will be sufficient to support our working capital and capital expenditure requirements for at least the next 12 months. Our future capital requirements will depend on many factors, including our revenue growth rate, the timing and the amount of cash received from clients, the expansion of sales and marketing activities, the timing and extent of spending to support 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summary cash flow information for the periods presented.</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rPr>
              <w:t>Nine Months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rPr>
              <w:t>Ended</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24,805</w:t>
            </w:r>
          </w:p>
        </w:tc>
        <w:tc>
          <w:tcPr>
            <w:tcW w:w="20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(27,566 )</w:t>
            </w:r>
          </w:p>
        </w:tc>
        <w:tc>
          <w:tcPr>
            <w:tcW w:w="0" w:type="dxa"/>
            <w:vAlign w:val="bottom"/>
          </w:tcPr>
          <w:p>
            <w:pPr>
              <w:spacing w:after="0"/>
              <w:rPr>
                <w:sz w:val="1"/>
                <w:szCs w:val="1"/>
                <w:color w:val="auto"/>
              </w:rPr>
            </w:pPr>
          </w:p>
        </w:tc>
      </w:tr>
      <w:tr>
        <w:trPr>
          <w:trHeight w:val="250"/>
        </w:trPr>
        <w:tc>
          <w:tcPr>
            <w:tcW w:w="49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(5,348 )</w:t>
            </w:r>
          </w:p>
        </w:tc>
        <w:tc>
          <w:tcPr>
            <w:tcW w:w="44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(81,213 )</w:t>
            </w:r>
          </w:p>
        </w:tc>
        <w:tc>
          <w:tcPr>
            <w:tcW w:w="0" w:type="dxa"/>
            <w:vAlign w:val="bottom"/>
          </w:tcPr>
          <w:p>
            <w:pPr>
              <w:spacing w:after="0"/>
              <w:rPr>
                <w:sz w:val="1"/>
                <w:szCs w:val="1"/>
                <w:color w:val="auto"/>
              </w:rPr>
            </w:pPr>
          </w:p>
        </w:tc>
      </w:tr>
      <w:tr>
        <w:trPr>
          <w:trHeight w:val="263"/>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324,676</w:t>
            </w:r>
          </w:p>
        </w:tc>
        <w:tc>
          <w:tcPr>
            <w:tcW w:w="2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118,882</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w:t>
            </w:r>
          </w:p>
        </w:tc>
        <w:tc>
          <w:tcPr>
            <w:tcW w:w="320" w:type="dxa"/>
            <w:vAlign w:val="bottom"/>
          </w:tcPr>
          <w:p>
            <w:pPr>
              <w:spacing w:after="0"/>
              <w:rPr>
                <w:sz w:val="21"/>
                <w:szCs w:val="21"/>
                <w:color w:val="auto"/>
              </w:rPr>
            </w:pP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(55 )</w:t>
            </w:r>
          </w:p>
        </w:tc>
        <w:tc>
          <w:tcPr>
            <w:tcW w:w="440" w:type="dxa"/>
            <w:vAlign w:val="bottom"/>
          </w:tcPr>
          <w:p>
            <w:pPr>
              <w:spacing w:after="0"/>
              <w:rPr>
                <w:sz w:val="21"/>
                <w:szCs w:val="21"/>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29"/>
        </w:trPr>
        <w:tc>
          <w:tcPr>
            <w:tcW w:w="4900" w:type="dxa"/>
            <w:vAlign w:val="bottom"/>
            <w:gridSpan w:val="2"/>
          </w:tcPr>
          <w:p>
            <w:pPr>
              <w:ind w:left="160"/>
              <w:spacing w:after="0"/>
              <w:rPr>
                <w:sz w:val="20"/>
                <w:szCs w:val="20"/>
                <w:color w:val="auto"/>
              </w:rPr>
            </w:pPr>
            <w:r>
              <w:rPr>
                <w:rFonts w:ascii="Arial" w:cs="Arial" w:eastAsia="Arial" w:hAnsi="Arial"/>
                <w:sz w:val="18"/>
                <w:szCs w:val="18"/>
                <w:color w:val="auto"/>
              </w:rPr>
              <w:t>equivalents</w:t>
            </w:r>
          </w:p>
        </w:tc>
        <w:tc>
          <w:tcPr>
            <w:tcW w:w="3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(decrease) increase in cash, cash equivalents</w:t>
            </w:r>
          </w:p>
        </w:tc>
        <w:tc>
          <w:tcPr>
            <w:tcW w:w="320" w:type="dxa"/>
            <w:vAlign w:val="bottom"/>
            <w:tcBorders>
              <w:top w:val="single" w:sz="8" w:color="auto"/>
            </w:tcBorders>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344,078</w:t>
            </w:r>
          </w:p>
        </w:tc>
        <w:tc>
          <w:tcPr>
            <w:tcW w:w="200" w:type="dxa"/>
            <w:vAlign w:val="bottom"/>
            <w:shd w:val="clear" w:color="auto" w:fill="CFF0FC"/>
          </w:tcPr>
          <w:p>
            <w:pPr>
              <w:spacing w:after="0"/>
              <w:rPr>
                <w:sz w:val="20"/>
                <w:szCs w:val="20"/>
                <w:color w:val="auto"/>
              </w:rPr>
            </w:pPr>
          </w:p>
        </w:tc>
        <w:tc>
          <w:tcPr>
            <w:tcW w:w="440" w:type="dxa"/>
            <w:vAlign w:val="bottom"/>
            <w:tcBorders>
              <w:top w:val="single" w:sz="8" w:color="auto"/>
            </w:tcBorders>
            <w:vMerge w:val="restart"/>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9,955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FF0FC"/>
            </w:tcBorders>
            <w:gridSpan w:val="2"/>
            <w:shd w:val="clear" w:color="auto" w:fill="CFF0FC"/>
          </w:tcPr>
          <w:p>
            <w:pPr>
              <w:ind w:left="420"/>
              <w:spacing w:after="0" w:line="202" w:lineRule="exact"/>
              <w:rPr>
                <w:sz w:val="20"/>
                <w:szCs w:val="20"/>
                <w:color w:val="auto"/>
              </w:rPr>
            </w:pPr>
            <w:r>
              <w:rPr>
                <w:rFonts w:ascii="Arial" w:cs="Arial" w:eastAsia="Arial" w:hAnsi="Arial"/>
                <w:sz w:val="18"/>
                <w:szCs w:val="18"/>
                <w:color w:val="auto"/>
              </w:rPr>
              <w:t>and restricted cash.</w:t>
            </w:r>
          </w:p>
        </w:tc>
        <w:tc>
          <w:tcPr>
            <w:tcW w:w="320" w:type="dxa"/>
            <w:vAlign w:val="bottom"/>
            <w:tcBorders>
              <w:bottom w:val="single" w:sz="8" w:color="auto"/>
            </w:tcBorders>
            <w:vMerge w:val="continue"/>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vMerge w:val="continue"/>
            <w:shd w:val="clear" w:color="auto" w:fill="CFF0FC"/>
          </w:tcPr>
          <w:p>
            <w:pPr>
              <w:spacing w:after="0"/>
              <w:rPr>
                <w:sz w:val="21"/>
                <w:szCs w:val="21"/>
                <w:color w:val="auto"/>
              </w:rPr>
            </w:pPr>
          </w:p>
        </w:tc>
        <w:tc>
          <w:tcPr>
            <w:tcW w:w="86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-24765</wp:posOffset>
            </wp:positionV>
            <wp:extent cx="1371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13716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49"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color w:val="auto"/>
        </w:rPr>
        <w:t>Net cash used in operating activities consists of net loss adjusted for certain non-cash items and changes in other assets and liabilities.</w:t>
      </w:r>
    </w:p>
    <w:p>
      <w:pPr>
        <w:spacing w:after="0" w:line="197" w:lineRule="exact"/>
        <w:rPr>
          <w:sz w:val="20"/>
          <w:szCs w:val="20"/>
          <w:color w:val="auto"/>
        </w:rPr>
      </w:pPr>
    </w:p>
    <w:p>
      <w:pPr>
        <w:ind w:right="40" w:firstLine="509"/>
        <w:spacing w:after="0" w:line="268" w:lineRule="auto"/>
        <w:rPr>
          <w:sz w:val="20"/>
          <w:szCs w:val="20"/>
          <w:color w:val="auto"/>
        </w:rPr>
      </w:pPr>
      <w:r>
        <w:rPr>
          <w:rFonts w:ascii="Arial" w:cs="Arial" w:eastAsia="Arial" w:hAnsi="Arial"/>
          <w:sz w:val="18"/>
          <w:szCs w:val="18"/>
          <w:color w:val="auto"/>
        </w:rPr>
        <w:t>During the nine months ended September 30, 2021, cash generated by operating activities of $24.8 million was primarily the result of net loss of $16.8 million adjusted for non-cash expenses of $35.6 million, which primarily include depreciation and amortization of $6.6 million, stock-based compensation expenses of $15.5 million, change in fair value of preferred stock warrant liability of $10.8 million, and $5.9 million of cash generated from our change in operating assets and liabilities. Net cash generated by changes in operating assets and liabilities consisted primarily of a $6.9 million increase in funds payable to clients due to the timing of when we settle the amounts we owe to our clients, a $3.2 million decrease in contingent consideration, a $7.4 million decrease in prepaid expenses and other assets, and a $10.9 million increase in accounts payable, accrued expenses and other current liabilities.</w:t>
      </w:r>
    </w:p>
    <w:p>
      <w:pPr>
        <w:spacing w:after="0" w:line="205" w:lineRule="exact"/>
        <w:rPr>
          <w:sz w:val="20"/>
          <w:szCs w:val="20"/>
          <w:color w:val="auto"/>
        </w:rPr>
      </w:pPr>
    </w:p>
    <w:p>
      <w:pPr>
        <w:ind w:right="60" w:firstLine="509"/>
        <w:spacing w:after="0" w:line="268" w:lineRule="auto"/>
        <w:rPr>
          <w:sz w:val="20"/>
          <w:szCs w:val="20"/>
          <w:color w:val="auto"/>
        </w:rPr>
      </w:pPr>
      <w:r>
        <w:rPr>
          <w:rFonts w:ascii="Arial" w:cs="Arial" w:eastAsia="Arial" w:hAnsi="Arial"/>
          <w:sz w:val="18"/>
          <w:szCs w:val="18"/>
          <w:color w:val="auto"/>
        </w:rPr>
        <w:t>During the nine months ended September 30, 2020, cash used by operating activities of $27.6 million was primarily the result of net loss of $7.1 million adjusted for non-cash expenses of $5.0 million, which primarily include depreciation and amortization of $5.0 million, stock-based compensation expenses of $2.9 million, change in fair value of contingent consideration of $4.6 million, offset by the non-cash tax benefit of $8.5 million and the $25.4 million cash used from our change in operating assets and liabilities. Net cash used by changes in operating assets and liabilities consisted primarily of a $24.8 million decrease in funds payable to clients due to the timing of when we settle the amounts we owe to our</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90" w:right="439" w:bottom="1440" w:gutter="0" w:footer="0" w:header="0"/>
        </w:sectPr>
      </w:pPr>
    </w:p>
    <w:bookmarkStart w:id="45" w:name="page46"/>
    <w:bookmarkEnd w:id="45"/>
    <w:p>
      <w:pPr>
        <w:ind w:right="480"/>
        <w:spacing w:after="0" w:line="277" w:lineRule="auto"/>
        <w:rPr>
          <w:sz w:val="20"/>
          <w:szCs w:val="20"/>
          <w:color w:val="auto"/>
        </w:rPr>
      </w:pPr>
      <w:r>
        <w:rPr>
          <w:rFonts w:ascii="Arial" w:cs="Arial" w:eastAsia="Arial" w:hAnsi="Arial"/>
          <w:sz w:val="18"/>
          <w:szCs w:val="18"/>
          <w:color w:val="auto"/>
        </w:rPr>
        <w:t>clients, a $3.1 million decrease in prepaid expenses and other assets, a $3.9 million decrease in accounts receivable and a $5.0 million increase in funds receivable from payment partners.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49"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During the nine months ended September 30, 2021, cash used in investing activities of $5.3 million was primarily the result of the capitalization of internally-developed software costs of $4.6 million, capitalized leasehold improvement costs of $0.2 million, an acquisition of an asset of $0.1 million and $0.3 million of other computer equipment.</w:t>
      </w:r>
    </w:p>
    <w:p>
      <w:pPr>
        <w:spacing w:after="0" w:line="203"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During the nine months ended September 30, 2020, cash used in investing activities of $81.2 million was primarily the result of our acquisition of Simplee for a purchase price of $79.4 million in cash and $1.6 million related to the capitalization of internally-developed software costs.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nine months ended September 30, 2021, cash provided by financing activities of $324.6 million was primarily driven by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proceeds received from our IPO of $263.8 million, net proceeds received from our sale of preferred stock for aggregate proceeds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$59.7 million and proceeds from the exercise of stock options and warrants of $4.4 million, net proceeds from draw on our Revolving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facility of $25.9 million, offset by the payoff of our previously existing term loan of $25.0 million, partially offset by payments for contingent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consideration of $3.8 million related to our acquisition of Simplee and $0.4 million related to issuance costs associated with our revolving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w:t>
      </w:r>
    </w:p>
    <w:p>
      <w:pPr>
        <w:spacing w:after="0" w:line="239"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During the nine months ended September 30, 2020, cash provided by financing activities of $118.8 million was the result of our sale of preferred stock for aggregate proceeds of $119.8 million and $0.6 million from the proceeds of the exercise of stock options. The increase was offset by $1.3 million related to contingent consideration paid during the period.</w:t>
      </w:r>
    </w:p>
    <w:p>
      <w:pPr>
        <w:spacing w:after="0" w:line="203"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As of September 30, 2021, we had $25.9 million of outstanding indebtedness under the Revolving Credit Facility. The proceeds of the Revolving Credit Facility were used to pay off the existing loan of $25.0 million. The Revolving Credit Facility consists of Alternate Base Rate (ABR) loans or Eurodollar Borrowings, at our option. ABR loans bear interest at the ABR plus the applicable rate. Eurodollar Borrowings bear interest at the Adjusted LIBO Rate plus the applicable rate. The ABR rate is based on the greatest of (a) the Prime Rate (b) the Federal Funds Effective Rate plus 1/2 of 1% and (c) the Adjusted LIBO Rate for a one-month Interest Period plus 1%. The adjusted LIBO rate is based on (a) the LIBO Rate multiplied by (b) the Statutory Reserve Rate. The applicable rate is based upon our liquidity as of the most recent consolidated financial information and ranges from 0.75% to 2.25%. The Revolving Credit Facility incurs a commitment fee ranging from</w:t>
      </w:r>
    </w:p>
    <w:p>
      <w:pPr>
        <w:spacing w:after="0" w:line="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0.25% to 0.35% based upon our liquidity as of the most recent consolidated financial information assessed on the average undrawn portion of the available commitment. We have access to an additional $24.1 million of additional funds under the Revolving Credit Facility to draw in the future.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as of September 30,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Payments Due by Year</w:t>
            </w: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75"/>
        </w:trPr>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99"/>
              <w:spacing w:after="0"/>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1 to 3</w:t>
            </w:r>
          </w:p>
        </w:tc>
        <w:tc>
          <w:tcPr>
            <w:tcW w:w="1020" w:type="dxa"/>
            <w:vAlign w:val="bottom"/>
          </w:tcPr>
          <w:p>
            <w:pPr>
              <w:ind w:left="320"/>
              <w:spacing w:after="0"/>
              <w:rPr>
                <w:sz w:val="20"/>
                <w:szCs w:val="20"/>
                <w:color w:val="auto"/>
              </w:rPr>
            </w:pPr>
            <w:r>
              <w:rPr>
                <w:rFonts w:ascii="Arial" w:cs="Arial" w:eastAsia="Arial" w:hAnsi="Arial"/>
                <w:sz w:val="14"/>
                <w:szCs w:val="14"/>
                <w:b w:val="1"/>
                <w:bCs w:val="1"/>
                <w:color w:val="auto"/>
              </w:rPr>
              <w:t>4 to 5</w:t>
            </w:r>
          </w:p>
        </w:tc>
        <w:tc>
          <w:tcPr>
            <w:tcW w:w="2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More Than</w:t>
            </w:r>
          </w:p>
        </w:tc>
        <w:tc>
          <w:tcPr>
            <w:tcW w:w="80" w:type="dxa"/>
            <w:vAlign w:val="bottom"/>
          </w:tcPr>
          <w:p>
            <w:pPr>
              <w:spacing w:after="0"/>
              <w:rPr>
                <w:sz w:val="15"/>
                <w:szCs w:val="15"/>
                <w:color w:val="auto"/>
              </w:rPr>
            </w:pPr>
          </w:p>
        </w:tc>
      </w:tr>
      <w:tr>
        <w:trPr>
          <w:trHeight w:val="19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7"/>
                <w:szCs w:val="17"/>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 Years</w:t>
            </w:r>
          </w:p>
        </w:tc>
        <w:tc>
          <w:tcPr>
            <w:tcW w:w="80" w:type="dxa"/>
            <w:vAlign w:val="bottom"/>
          </w:tcPr>
          <w:p>
            <w:pPr>
              <w:spacing w:after="0"/>
              <w:rPr>
                <w:sz w:val="17"/>
                <w:szCs w:val="17"/>
                <w:color w:val="auto"/>
              </w:rPr>
            </w:pPr>
          </w:p>
        </w:tc>
      </w:tr>
      <w:tr>
        <w:trPr>
          <w:trHeight w:val="256"/>
        </w:trPr>
        <w:tc>
          <w:tcPr>
            <w:tcW w:w="51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Operating lease obligations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w:t>
            </w: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2"/>
                <w:szCs w:val="22"/>
                <w:color w:val="auto"/>
              </w:rPr>
            </w:pPr>
          </w:p>
        </w:tc>
      </w:tr>
      <w:tr>
        <w:trPr>
          <w:trHeight w:val="25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Debt obligations</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25,933</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25,933</w:t>
            </w:r>
          </w:p>
        </w:tc>
        <w:tc>
          <w:tcPr>
            <w:tcW w:w="200" w:type="dxa"/>
            <w:vAlign w:val="bottom"/>
          </w:tcPr>
          <w:p>
            <w:pPr>
              <w:spacing w:after="0"/>
              <w:rPr>
                <w:sz w:val="21"/>
                <w:szCs w:val="21"/>
                <w:color w:val="auto"/>
              </w:rPr>
            </w:pPr>
          </w:p>
        </w:tc>
        <w:tc>
          <w:tcPr>
            <w:tcW w:w="10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r>
      <w:tr>
        <w:trPr>
          <w:trHeight w:val="290"/>
        </w:trPr>
        <w:tc>
          <w:tcPr>
            <w:tcW w:w="510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30,423</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28,403</w:t>
            </w:r>
          </w:p>
        </w:tc>
        <w:tc>
          <w:tcPr>
            <w:tcW w:w="2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-24765</wp:posOffset>
            </wp:positionV>
            <wp:extent cx="137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13716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1371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13716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12001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12001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12001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12001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53" w:lineRule="exact"/>
        <w:rPr>
          <w:sz w:val="20"/>
          <w:szCs w:val="20"/>
          <w:color w:val="auto"/>
        </w:rPr>
      </w:pPr>
    </w:p>
    <w:p>
      <w:pPr>
        <w:jc w:val="both"/>
        <w:ind w:right="140" w:firstLine="509"/>
        <w:spacing w:after="0" w:line="266" w:lineRule="auto"/>
        <w:rPr>
          <w:sz w:val="20"/>
          <w:szCs w:val="20"/>
          <w:color w:val="auto"/>
        </w:rPr>
      </w:pPr>
      <w:r>
        <w:rPr>
          <w:rFonts w:ascii="Arial" w:cs="Arial" w:eastAsia="Arial" w:hAnsi="Arial"/>
          <w:sz w:val="18"/>
          <w:szCs w:val="18"/>
          <w:color w:val="auto"/>
        </w:rPr>
        <w:t>Our condensed consolidated financial statements and the related notes thereto included elsewhere in this Quarterly Report on Form 10-Q are prepared in accordance with GAAP. The preparation of our condensed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w:t>
      </w:r>
    </w:p>
    <w:p>
      <w:pPr>
        <w:ind w:right="460"/>
        <w:spacing w:after="0" w:line="271" w:lineRule="auto"/>
        <w:rPr>
          <w:sz w:val="20"/>
          <w:szCs w:val="20"/>
          <w:color w:val="auto"/>
        </w:rPr>
      </w:pPr>
      <w:r>
        <w:rPr>
          <w:rFonts w:ascii="Arial" w:cs="Arial" w:eastAsia="Arial" w:hAnsi="Arial"/>
          <w:sz w:val="18"/>
          <w:szCs w:val="18"/>
          <w:color w:val="auto"/>
        </w:rPr>
        <w:t>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6" w:name="page47"/>
    <w:bookmarkEnd w:id="46"/>
    <w:p>
      <w:pPr>
        <w:ind w:right="1080" w:firstLine="509"/>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“Management’s Discussion and Analysis of Financial Condition and Results of Operations” set forth in our Final 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53"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nonpublic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we will not be subject to the same new or revised accounting standards as other public companies that are not emerging growth companies, and our financial statements may not be comparable to other public companies that comply with new or revised accounting pronouncements as of public company effective dates. We may choose to early adopt any new or revised accounting standards whenever such early adoption is permitted for nonpublic companies.</w:t>
      </w:r>
    </w:p>
    <w:p>
      <w:pPr>
        <w:spacing w:after="0" w:line="210" w:lineRule="exact"/>
        <w:rPr>
          <w:sz w:val="20"/>
          <w:szCs w:val="20"/>
          <w:color w:val="auto"/>
        </w:rPr>
      </w:pPr>
    </w:p>
    <w:p>
      <w:pPr>
        <w:ind w:right="40" w:firstLine="509"/>
        <w:spacing w:after="0" w:line="269" w:lineRule="auto"/>
        <w:rPr>
          <w:sz w:val="20"/>
          <w:szCs w:val="20"/>
          <w:color w:val="auto"/>
        </w:rPr>
      </w:pPr>
      <w:r>
        <w:rPr>
          <w:rFonts w:ascii="Arial" w:cs="Arial" w:eastAsia="Arial" w:hAnsi="Arial"/>
          <w:sz w:val="18"/>
          <w:szCs w:val="18"/>
          <w:color w:val="auto"/>
        </w:rPr>
        <w:t>We will cease to be an emerging growth company on the date that is the earliest of (i) the last day of the fiscal year in which we have total annual gross revenues of $1.07 billion or more, (ii) December 31, 2026, (iii) the date on which we have issued more than $1.0 billion in nonconvertible debt during the previous three years or (iv) the date on which we are deemed to be a large accelerated filer under the rules of the SEC.</w:t>
      </w:r>
    </w:p>
    <w:p>
      <w:pPr>
        <w:spacing w:after="0" w:line="206" w:lineRule="exact"/>
        <w:rPr>
          <w:sz w:val="20"/>
          <w:szCs w:val="20"/>
          <w:color w:val="auto"/>
        </w:rPr>
      </w:pPr>
    </w:p>
    <w:p>
      <w:pPr>
        <w:ind w:right="20" w:firstLine="509"/>
        <w:spacing w:after="0" w:line="268"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See “Risk Factors—Risks Related to Ownership of Our Common Stock—We are an emerging growth company,” and we cannot be certain if the reduced disclosure requirements applicable to emerging growth companies will make our common stock less attractive to investors.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53"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We have reviewed all recently issued standards and have determined that, other than as disclosed in Note 1 to our unaudited condensed consolidated financial statements appearing elsewhere in this Quarterly Report on Form 10-Q, such standards will not have a material impact on our consolidated financial statements or do not otherwise apply to our operations.</w:t>
      </w:r>
    </w:p>
    <w:p>
      <w:pPr>
        <w:spacing w:after="0" w:line="28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53"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53"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 xml:space="preserve">The Revolving Credit Facility consists of ABR loans or Eurodollar Borrowings, at our option. ABR loans bear interest at the ABR plus the applicable rate. Eurodollar Borrowings bear interest at the Adjusted LIBO Rate plus the applicable rate. The ABR rate is based on the greatest of (a) the Prime Rate (b) the Federal Funds Effective Rate plus </w:t>
      </w:r>
      <w:r>
        <w:rPr>
          <w:rFonts w:ascii="Arial" w:cs="Arial" w:eastAsia="Arial" w:hAnsi="Arial"/>
          <w:sz w:val="18"/>
          <w:szCs w:val="18"/>
          <w:color w:val="auto"/>
          <w:vertAlign w:val="superscript"/>
        </w:rPr>
        <w:t>1</w:t>
      </w:r>
      <w:r>
        <w:rPr>
          <w:rFonts w:ascii="Arial" w:cs="Arial" w:eastAsia="Arial" w:hAnsi="Arial"/>
          <w:sz w:val="18"/>
          <w:szCs w:val="18"/>
          <w:color w:val="auto"/>
        </w:rPr>
        <w:t>/</w:t>
      </w:r>
      <w:r>
        <w:rPr>
          <w:rFonts w:ascii="Arial" w:cs="Arial" w:eastAsia="Arial" w:hAnsi="Arial"/>
          <w:sz w:val="9"/>
          <w:szCs w:val="9"/>
          <w:color w:val="auto"/>
        </w:rPr>
        <w:t>2</w:t>
      </w:r>
      <w:r>
        <w:rPr>
          <w:rFonts w:ascii="Arial" w:cs="Arial" w:eastAsia="Arial" w:hAnsi="Arial"/>
          <w:sz w:val="18"/>
          <w:szCs w:val="18"/>
          <w:color w:val="auto"/>
        </w:rPr>
        <w:t xml:space="preserve"> of 1% and (c) the Adjusted LIBO Rate for a one-month Interest Period plus 1%. The adjusted LIBO rate is based on (a) the LIBO Rate multiplied by (b) the Statutory Reserve Rate. The applicable rate is based upon our liquidity as of the most recent consolidated financial information and ranges from 0.75% to 2.25%. The Revolving Credit Facility incurs a commitment fee ranging from 0.25% to 0.35% based upon our liquidity as of the most recent consolidated financial information assessed on the average undrawn portion of the available commitment. As of September 30, 2021, $25.9 million was outstanding under our credit facility. An immediate 10% increase or decrease in interest rates would not have a material effect on our financial position, results of operations or cash flows.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53" w:lineRule="exact"/>
        <w:rPr>
          <w:sz w:val="20"/>
          <w:szCs w:val="20"/>
          <w:color w:val="auto"/>
        </w:rPr>
      </w:pPr>
    </w:p>
    <w:p>
      <w:pPr>
        <w:jc w:val="both"/>
        <w:ind w:right="220" w:firstLine="509"/>
        <w:spacing w:after="0" w:line="271" w:lineRule="auto"/>
        <w:rPr>
          <w:sz w:val="20"/>
          <w:szCs w:val="20"/>
          <w:color w:val="auto"/>
        </w:rPr>
      </w:pPr>
      <w:r>
        <w:rPr>
          <w:rFonts w:ascii="Arial" w:cs="Arial" w:eastAsia="Arial" w:hAnsi="Arial"/>
          <w:sz w:val="18"/>
          <w:szCs w:val="18"/>
          <w:color w:val="auto"/>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7" w:name="page48"/>
    <w:bookmarkEnd w:id="47"/>
    <w:p>
      <w:pPr>
        <w:spacing w:after="0" w:line="266" w:lineRule="auto"/>
        <w:rPr>
          <w:sz w:val="20"/>
          <w:szCs w:val="20"/>
          <w:color w:val="auto"/>
        </w:rPr>
      </w:pPr>
      <w:r>
        <w:rPr>
          <w:rFonts w:ascii="Arial" w:cs="Arial" w:eastAsia="Arial" w:hAnsi="Arial"/>
          <w:sz w:val="18"/>
          <w:szCs w:val="18"/>
          <w:color w:val="auto"/>
        </w:rPr>
        <w:t>paid to the client in that local currency based on the foreign exchange rate then in effect. The client’s customer then has a certain amount of time to complete payment—one to four days—that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mitigate the volatility related to fluctuations in the foreign exchange rates. As a result, to date foreign currency fluctuations with respect to our cross-border payments have not resulted in a materially unfavorable effect on our operating results, financial position or cash flows. In addition, our reporting currency is the U.S. Dollar. The financial statements of our foreign subsidiaries are translated from local currency into U.S. Dollars using the exchange rate at the balance sheet date for assets and liabilities, and the average exchange rate in effect during the period for revenue and expenses. Our functional currency and the functional currency of our subsidiaries, with the exception of our UK subsidiary, is the U.S. Dollar. The functional currency for our UK subsidiary is considered to be the local currency and, accordingly, translation adjustments for this entity are included as a component of accumulated other comprehensive loss in our consolidated balance sheets. Gains and losses from the remeasurement of foreign currency transactions into the functional currency are recognized as other income (expense), net in the consolidated statements of operations and comprehensive loss. We do not believe a 10% increase or decrease in current exchange rates would have a material impact on our operating results, financial position or cash flows.</w:t>
      </w:r>
    </w:p>
    <w:p>
      <w:pPr>
        <w:spacing w:after="0" w:line="30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53" w:lineRule="exact"/>
        <w:rPr>
          <w:sz w:val="20"/>
          <w:szCs w:val="20"/>
          <w:color w:val="auto"/>
        </w:rPr>
      </w:pPr>
    </w:p>
    <w:p>
      <w:pPr>
        <w:ind w:right="20" w:firstLine="509"/>
        <w:spacing w:after="0" w:line="267"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the end of the period covered by this Quarterly Report on Form 10-Q, our disclosure controls and procedures were effective at the reasonable assurance level.</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on Form 10-Q that have materially affected, or are reasonably likely to materially affect, our internal control over financial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53" w:lineRule="exact"/>
        <w:rPr>
          <w:sz w:val="20"/>
          <w:szCs w:val="20"/>
          <w:color w:val="auto"/>
        </w:rPr>
      </w:pPr>
    </w:p>
    <w:p>
      <w:pPr>
        <w:ind w:right="60" w:firstLine="509"/>
        <w:spacing w:after="0" w:line="267"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48" w:name="page49"/>
    <w:bookmarkEnd w:id="48"/>
    <w:p>
      <w:pPr>
        <w:spacing w:after="0" w:line="271" w:lineRule="auto"/>
        <w:rPr>
          <w:sz w:val="20"/>
          <w:szCs w:val="20"/>
          <w:color w:val="auto"/>
        </w:rPr>
      </w:pPr>
      <w:r>
        <w:rPr>
          <w:rFonts w:ascii="Arial" w:cs="Arial" w:eastAsia="Arial" w:hAnsi="Arial"/>
          <w:sz w:val="18"/>
          <w:szCs w:val="18"/>
          <w:color w:val="auto"/>
        </w:rPr>
        <w:t>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490" w:right="1059" w:bottom="1440" w:gutter="0" w:footer="0" w:header="0"/>
        </w:sectPr>
      </w:pPr>
    </w:p>
    <w:bookmarkStart w:id="49" w:name="page50"/>
    <w:bookmarkEnd w:id="49"/>
    <w:p>
      <w:pPr>
        <w:ind w:left="520"/>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w:t>
        <w:tab/>
        <w:t>Legal Proceedings.</w:t>
      </w:r>
    </w:p>
    <w:p>
      <w:pPr>
        <w:spacing w:after="0" w:line="153" w:lineRule="exact"/>
        <w:rPr>
          <w:sz w:val="20"/>
          <w:szCs w:val="20"/>
          <w:color w:val="auto"/>
        </w:rPr>
      </w:pPr>
    </w:p>
    <w:p>
      <w:pPr>
        <w:ind w:right="40" w:firstLine="509"/>
        <w:spacing w:after="0" w:line="268"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to our business or financial condition. The results of any future litigation cannot be predicted with certainty, and regardless of the outcome, litigation can have an adverse impact on us because of defense and settlement costs, diversion of management resources, and other factors.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 this Form 10-Q, including “Management’s Discussion and Analysis of Financial Condition and Results of Operations” and our consolidated financial statements and the accompanying notes included elsewhere in this Form 10-Q and in our Final Prospectus before deciding whether to invest in shares of our common stock.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53"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Our business operations are subject to numerous risks and uncertainties, including those outside of our control, that could cause our actual results to be harmed, including risks regarding the following: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5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have a history of operating losses and may not achieve or sustain profitability in the future.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have a short operating history at our current scale in a rapidly evolving industry.</w:t>
      </w:r>
    </w:p>
    <w:p>
      <w:pPr>
        <w:spacing w:after="0" w:line="131" w:lineRule="exact"/>
        <w:rPr>
          <w:sz w:val="20"/>
          <w:szCs w:val="20"/>
          <w:color w:val="auto"/>
        </w:rPr>
      </w:pPr>
    </w:p>
    <w:p>
      <w:pPr>
        <w:ind w:left="960" w:right="300"/>
        <w:spacing w:after="0" w:line="277" w:lineRule="auto"/>
        <w:rPr>
          <w:sz w:val="20"/>
          <w:szCs w:val="20"/>
          <w:color w:val="auto"/>
        </w:rPr>
      </w:pPr>
      <w:r>
        <w:rPr>
          <w:rFonts w:ascii="Arial" w:cs="Arial" w:eastAsia="Arial" w:hAnsi="Arial"/>
          <w:sz w:val="18"/>
          <w:szCs w:val="18"/>
          <w:color w:val="auto"/>
        </w:rPr>
        <w:t>We may be unable to retain our current clients, attract new clients, and increase the number of our clients’ customers that use our solutions or sell additional functionality to our clients.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be adversely affected by the COVID-19 global pandemic and related responsive actions.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expect our revenue mix to vary over time, which could affect our gross margin and results of operations.</w:t>
      </w:r>
    </w:p>
    <w:p>
      <w:pPr>
        <w:spacing w:after="0" w:line="131" w:lineRule="exact"/>
        <w:rPr>
          <w:sz w:val="20"/>
          <w:szCs w:val="20"/>
          <w:color w:val="auto"/>
        </w:rPr>
      </w:pPr>
    </w:p>
    <w:p>
      <w:pPr>
        <w:ind w:left="960" w:right="840"/>
        <w:spacing w:after="0" w:line="277" w:lineRule="auto"/>
        <w:rPr>
          <w:sz w:val="20"/>
          <w:szCs w:val="20"/>
          <w:color w:val="auto"/>
        </w:rPr>
      </w:pPr>
      <w:r>
        <w:rPr>
          <w:rFonts w:ascii="Arial" w:cs="Arial" w:eastAsia="Arial" w:hAnsi="Arial"/>
          <w:sz w:val="18"/>
          <w:szCs w:val="18"/>
          <w:color w:val="auto"/>
        </w:rPr>
        <w:t>Our business could be adversely affected if our clients and their customers are not satisfied with the timing or quality of implementation services provided by us or our partners.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financial and operating results are subject to seasonality and cyclicality.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Certain of our key performance indicators are subject to inherent challenges in measurement.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We may be unable to expand our direct and channel sales capabilities, grow our marketing reach and increase sales productivity.</w:t>
      </w:r>
    </w:p>
    <w:p>
      <w:pPr>
        <w:spacing w:after="0" w:line="142" w:lineRule="exact"/>
        <w:rPr>
          <w:sz w:val="20"/>
          <w:szCs w:val="20"/>
          <w:color w:val="auto"/>
        </w:rPr>
      </w:pPr>
    </w:p>
    <w:p>
      <w:pPr>
        <w:ind w:left="960" w:right="900"/>
        <w:spacing w:after="0" w:line="277" w:lineRule="auto"/>
        <w:rPr>
          <w:sz w:val="20"/>
          <w:szCs w:val="20"/>
          <w:color w:val="auto"/>
        </w:rPr>
      </w:pPr>
      <w:r>
        <w:rPr>
          <w:rFonts w:ascii="Arial" w:cs="Arial" w:eastAsia="Arial" w:hAnsi="Arial"/>
          <w:sz w:val="18"/>
          <w:szCs w:val="18"/>
          <w:color w:val="auto"/>
        </w:rPr>
        <w:t>Our business depends, in large part, on our proprietary network of global, regional, and local banking partners and our relationships with other third parties.</w:t>
      </w:r>
    </w:p>
    <w:p>
      <w:pPr>
        <w:spacing w:after="0" w:line="89" w:lineRule="exact"/>
        <w:rPr>
          <w:sz w:val="20"/>
          <w:szCs w:val="20"/>
          <w:color w:val="auto"/>
        </w:rPr>
      </w:pPr>
    </w:p>
    <w:p>
      <w:pPr>
        <w:ind w:left="960" w:right="580"/>
        <w:spacing w:after="0" w:line="277" w:lineRule="auto"/>
        <w:rPr>
          <w:sz w:val="20"/>
          <w:szCs w:val="20"/>
          <w:color w:val="auto"/>
        </w:rPr>
      </w:pPr>
      <w:r>
        <w:rPr>
          <w:rFonts w:ascii="Arial" w:cs="Arial" w:eastAsia="Arial" w:hAnsi="Arial"/>
          <w:sz w:val="18"/>
          <w:szCs w:val="18"/>
          <w:color w:val="auto"/>
        </w:rPr>
        <w:t>The estimates of market opportunity and our ability to capture a meaningful share of this payment volume may prove to be inaccurate.</w:t>
      </w:r>
    </w:p>
    <w:p>
      <w:pPr>
        <w:spacing w:after="0" w:line="89" w:lineRule="exact"/>
        <w:rPr>
          <w:sz w:val="20"/>
          <w:szCs w:val="20"/>
          <w:color w:val="auto"/>
        </w:rPr>
      </w:pPr>
    </w:p>
    <w:p>
      <w:pPr>
        <w:ind w:left="960" w:right="20"/>
        <w:spacing w:after="0" w:line="277" w:lineRule="auto"/>
        <w:rPr>
          <w:sz w:val="20"/>
          <w:szCs w:val="20"/>
          <w:color w:val="auto"/>
        </w:rPr>
      </w:pPr>
      <w:r>
        <w:rPr>
          <w:rFonts w:ascii="Arial" w:cs="Arial" w:eastAsia="Arial" w:hAnsi="Arial"/>
          <w:sz w:val="18"/>
          <w:szCs w:val="18"/>
          <w:color w:val="auto"/>
        </w:rPr>
        <w:t>Our education business may be adversely affected by decreases in enrollment or tuition, or increased operating expenses for our clients.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healthcare industry is rapidly evolving.</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travel business may be sensitive to events affecting the travel industry in general.</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p>
      <w:pPr>
        <w:ind w:left="960"/>
        <w:spacing w:after="0"/>
        <w:rPr>
          <w:sz w:val="20"/>
          <w:szCs w:val="20"/>
          <w:color w:val="auto"/>
        </w:rPr>
      </w:pPr>
      <w:r>
        <w:rPr>
          <w:rFonts w:ascii="Arial" w:cs="Arial" w:eastAsia="Arial" w:hAnsi="Arial"/>
          <w:sz w:val="18"/>
          <w:szCs w:val="18"/>
          <w:color w:val="auto"/>
        </w:rPr>
        <w:t>We may be unable to enter or expand into new verticals, including our relatively new B2B vertical.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There could be consolidation in the payment processing or enablement industry.</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15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not be able to scale our business quickly enough to meet our growing client base.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enable the transfer of large sums of funds to our clients daily, and are subject to the risk of errors.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be unable to maintain or expand our ability to offer a variety of local and international payments.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Improper or unauthorized use of, disclosure of, or access to personal or sensitive data could harm our reputation.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are exposed to fluctuations in foreign currency exchange rates.</w:t>
      </w:r>
    </w:p>
    <w:p>
      <w:pPr>
        <w:spacing w:after="0" w:line="131" w:lineRule="exact"/>
        <w:rPr>
          <w:sz w:val="20"/>
          <w:szCs w:val="20"/>
          <w:color w:val="auto"/>
        </w:rPr>
      </w:pPr>
    </w:p>
    <w:p>
      <w:pPr>
        <w:ind w:left="960" w:right="180"/>
        <w:spacing w:after="0" w:line="277" w:lineRule="auto"/>
        <w:rPr>
          <w:sz w:val="20"/>
          <w:szCs w:val="20"/>
          <w:color w:val="auto"/>
        </w:rPr>
      </w:pPr>
      <w:r>
        <w:rPr>
          <w:rFonts w:ascii="Arial" w:cs="Arial" w:eastAsia="Arial" w:hAnsi="Arial"/>
          <w:sz w:val="18"/>
          <w:szCs w:val="18"/>
          <w:color w:val="auto"/>
        </w:rPr>
        <w:t>We may fail to adapt and respond effectively to rapidly changing technology, evolving industry standards, changing regulations, and changing business needs, requirements, or preferences.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to payment card networks fees or rules could harm our business.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Legal, Regulatory and Compliance Landscape</w:t>
      </w:r>
    </w:p>
    <w:p>
      <w:pPr>
        <w:spacing w:after="0" w:line="15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Payments and other financial services-related regulations and oversight are material to our business.</w:t>
      </w:r>
    </w:p>
    <w:p>
      <w:pPr>
        <w:spacing w:after="0" w:line="131" w:lineRule="exact"/>
        <w:rPr>
          <w:sz w:val="20"/>
          <w:szCs w:val="20"/>
          <w:color w:val="auto"/>
        </w:rPr>
      </w:pPr>
    </w:p>
    <w:p>
      <w:pPr>
        <w:ind w:left="960" w:right="360"/>
        <w:spacing w:after="0" w:line="277" w:lineRule="auto"/>
        <w:rPr>
          <w:sz w:val="20"/>
          <w:szCs w:val="20"/>
          <w:color w:val="auto"/>
        </w:rPr>
      </w:pPr>
      <w:r>
        <w:rPr>
          <w:rFonts w:ascii="Arial" w:cs="Arial" w:eastAsia="Arial" w:hAnsi="Arial"/>
          <w:sz w:val="18"/>
          <w:szCs w:val="18"/>
          <w:color w:val="auto"/>
        </w:rPr>
        <w:t>We are subject to governmental laws and requirements regarding economic and trade sanctions, anti-money laundering, and counter-terror financing.</w:t>
      </w:r>
    </w:p>
    <w:p>
      <w:pPr>
        <w:spacing w:after="0" w:line="89" w:lineRule="exact"/>
        <w:rPr>
          <w:sz w:val="20"/>
          <w:szCs w:val="20"/>
          <w:color w:val="auto"/>
        </w:rPr>
      </w:pPr>
    </w:p>
    <w:p>
      <w:pPr>
        <w:ind w:left="960" w:right="540"/>
        <w:spacing w:after="0" w:line="277" w:lineRule="auto"/>
        <w:rPr>
          <w:sz w:val="20"/>
          <w:szCs w:val="20"/>
          <w:color w:val="auto"/>
        </w:rPr>
      </w:pPr>
      <w:r>
        <w:rPr>
          <w:rFonts w:ascii="Arial" w:cs="Arial" w:eastAsia="Arial" w:hAnsi="Arial"/>
          <w:sz w:val="18"/>
          <w:szCs w:val="18"/>
          <w:color w:val="auto"/>
        </w:rPr>
        <w:t>We are subject to governmental regulation and other legal obligations, particularly those related to privacy, data protection, information security, anti-corruption, anti-bribery, and similar laws.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Being a Public Company</w:t>
      </w:r>
    </w:p>
    <w:p>
      <w:pPr>
        <w:spacing w:after="0" w:line="15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fail to develop and maintain proper effective controls over financial reporting.</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Estimates relating to our critical accounting policies may prove to be incorrect.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will continue to incur increased costs as a public company.</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153" w:lineRule="exact"/>
        <w:rPr>
          <w:sz w:val="20"/>
          <w:szCs w:val="20"/>
          <w:color w:val="auto"/>
        </w:rPr>
      </w:pPr>
    </w:p>
    <w:p>
      <w:pPr>
        <w:ind w:left="960" w:right="60"/>
        <w:spacing w:after="0" w:line="277" w:lineRule="auto"/>
        <w:rPr>
          <w:sz w:val="20"/>
          <w:szCs w:val="20"/>
          <w:color w:val="auto"/>
        </w:rPr>
      </w:pPr>
      <w:r>
        <w:rPr>
          <w:rFonts w:ascii="Arial" w:cs="Arial" w:eastAsia="Arial" w:hAnsi="Arial"/>
          <w:sz w:val="18"/>
          <w:szCs w:val="18"/>
          <w:color w:val="auto"/>
        </w:rPr>
        <w:t>Raising additional capital may cause dilution to our existing stockholders, restrict our operations, or require us to relinquish rights to our intellectual property on unfavorable terms.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Securities and industry analysts may not publish or publish inaccurate or unfavorable research about our business.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153"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We were incorporated in 2009 and have experienced net losses from our operations since inception. We generated net losses of $20.1 million and $11.1 million for 2019 and 2020, respectively, and $26.8 million during the nine months ended September 30, 2021. In addition, as of September 30, 2021, we had an accumulated deficit of $124.6 million. We have experienced significant revenue growth in recent periods and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expend significant funds to further develop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usage-based fee revenue. Changes in our revenue mix from quarter to quarter, including those derived from cross-border or domestic currency transactions, will impact our margins, and we may not be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1" w:name="page52"/>
    <w:bookmarkEnd w:id="51"/>
    <w:p>
      <w:pPr>
        <w:spacing w:after="0" w:line="267" w:lineRule="auto"/>
        <w:rPr>
          <w:sz w:val="20"/>
          <w:szCs w:val="20"/>
          <w:color w:val="auto"/>
        </w:rPr>
      </w:pPr>
      <w:r>
        <w:rPr>
          <w:rFonts w:ascii="Arial" w:cs="Arial" w:eastAsia="Arial" w:hAnsi="Arial"/>
          <w:sz w:val="18"/>
          <w:szCs w:val="18"/>
          <w:color w:val="auto"/>
        </w:rPr>
        <w:t>able to grow our revenue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We will also face increased compliance and security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and sustain profitability, the value of our business and common stock may significantly decrease.</w:t>
      </w:r>
    </w:p>
    <w:p>
      <w:pPr>
        <w:spacing w:after="0" w:line="210" w:lineRule="exact"/>
        <w:rPr>
          <w:sz w:val="20"/>
          <w:szCs w:val="20"/>
          <w:color w:val="auto"/>
        </w:rPr>
      </w:pPr>
    </w:p>
    <w:p>
      <w:pPr>
        <w:ind w:right="200" w:firstLine="509"/>
        <w:spacing w:after="0" w:line="269" w:lineRule="auto"/>
        <w:rPr>
          <w:sz w:val="20"/>
          <w:szCs w:val="20"/>
          <w:color w:val="auto"/>
        </w:rPr>
      </w:pPr>
      <w:r>
        <w:rPr>
          <w:rFonts w:ascii="Arial" w:cs="Arial" w:eastAsia="Arial" w:hAnsi="Arial"/>
          <w:sz w:val="18"/>
          <w:szCs w:val="18"/>
          <w:color w:val="auto"/>
        </w:rPr>
        <w:t>If the assumptions we use to plan our business are incorrect or change in reaction to changes in our markets, or if we are unable to maintain consistent revenue or revenue growth, it may be difficult to achieve and maintain profitability. Our revenue from any prior quarterly or annual periods should not be relied upon as an indication of our future revenue or revenue growth or growth in its volume of payments processed.</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expect to continue to expend substantial management time, financial and other resources on:</w:t>
      </w:r>
    </w:p>
    <w:p>
      <w:pPr>
        <w:spacing w:after="0" w:line="131" w:lineRule="exact"/>
        <w:rPr>
          <w:sz w:val="20"/>
          <w:szCs w:val="20"/>
          <w:color w:val="auto"/>
        </w:rPr>
      </w:pPr>
    </w:p>
    <w:p>
      <w:pPr>
        <w:ind w:left="960" w:right="180"/>
        <w:spacing w:after="0" w:line="277" w:lineRule="auto"/>
        <w:rPr>
          <w:sz w:val="20"/>
          <w:szCs w:val="20"/>
          <w:color w:val="auto"/>
        </w:rPr>
      </w:pPr>
      <w:r>
        <w:rPr>
          <w:rFonts w:ascii="Arial" w:cs="Arial" w:eastAsia="Arial" w:hAnsi="Arial"/>
          <w:sz w:val="18"/>
          <w:szCs w:val="18"/>
          <w:color w:val="auto"/>
        </w:rPr>
        <w:t>sales, marketing, relationship management and client support, including an expansion of our sales organization, and new client support and payer retention initiatives;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31" w:lineRule="exact"/>
        <w:rPr>
          <w:sz w:val="20"/>
          <w:szCs w:val="20"/>
          <w:color w:val="auto"/>
        </w:rPr>
      </w:pPr>
    </w:p>
    <w:p>
      <w:pPr>
        <w:ind w:left="960" w:right="180"/>
        <w:spacing w:after="0" w:line="277" w:lineRule="auto"/>
        <w:rPr>
          <w:sz w:val="20"/>
          <w:szCs w:val="20"/>
          <w:color w:val="auto"/>
        </w:rPr>
      </w:pPr>
      <w:r>
        <w:rPr>
          <w:rFonts w:ascii="Arial" w:cs="Arial" w:eastAsia="Arial" w:hAnsi="Arial"/>
          <w:sz w:val="18"/>
          <w:szCs w:val="18"/>
          <w:color w:val="auto"/>
        </w:rPr>
        <w:t>our technology development, including investments in our technology development team and the development of new solutions and new functionality;</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expanding into more international markets;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attracting new clients and increasing the number of our clients’ customers that use our solutions;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acquisitions or strategic investments;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regulatory compliance and risk management;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239"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p>
    <w:p>
      <w:pPr>
        <w:spacing w:after="0" w:line="289" w:lineRule="exact"/>
        <w:rPr>
          <w:sz w:val="20"/>
          <w:szCs w:val="20"/>
          <w:color w:val="auto"/>
        </w:rPr>
      </w:pPr>
    </w:p>
    <w:p>
      <w:pPr>
        <w:ind w:right="260"/>
        <w:spacing w:after="0" w:line="303" w:lineRule="auto"/>
        <w:rPr>
          <w:sz w:val="20"/>
          <w:szCs w:val="20"/>
          <w:color w:val="auto"/>
        </w:rPr>
      </w:pPr>
      <w:r>
        <w:rPr>
          <w:rFonts w:ascii="Arial" w:cs="Arial" w:eastAsia="Arial" w:hAnsi="Arial"/>
          <w:sz w:val="18"/>
          <w:szCs w:val="18"/>
          <w:b w:val="1"/>
          <w:bCs w:val="1"/>
          <w:i w:val="1"/>
          <w:iCs w:val="1"/>
          <w:color w:val="auto"/>
        </w:rPr>
        <w:t>We have a short operating history at our current scale in a rapidly evolving industry and, as a result, our past results may not be indicative of future operating performance.</w:t>
      </w:r>
    </w:p>
    <w:p>
      <w:pPr>
        <w:spacing w:after="0" w:line="66"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We have a short history operating at our current scale in a rapidly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cost-effectively acquire new clients and retain existing clients;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withstand the impacts of the COVID-19 pandemic;</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increase our market share;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avoid pricing pressure on our solutions which would compress our margins;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effectively market our solutions;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enhance our existing solutions and develop new solutions;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increase awareness of our brand and maintain our reputation;</w:t>
      </w:r>
    </w:p>
    <w:p>
      <w:pPr>
        <w:spacing w:after="0" w:line="131" w:lineRule="exact"/>
        <w:rPr>
          <w:sz w:val="20"/>
          <w:szCs w:val="20"/>
          <w:color w:val="auto"/>
        </w:rPr>
      </w:pPr>
    </w:p>
    <w:p>
      <w:pPr>
        <w:ind w:left="960" w:right="280"/>
        <w:spacing w:after="0" w:line="277" w:lineRule="auto"/>
        <w:rPr>
          <w:sz w:val="20"/>
          <w:szCs w:val="20"/>
          <w:color w:val="auto"/>
        </w:rPr>
      </w:pPr>
      <w:r>
        <w:rPr>
          <w:rFonts w:ascii="Arial" w:cs="Arial" w:eastAsia="Arial" w:hAnsi="Arial"/>
          <w:sz w:val="18"/>
          <w:szCs w:val="18"/>
          <w:color w:val="auto"/>
        </w:rPr>
        <w:t>our ability to offer seamless experience for our clients and their customers, including all user facing attributes ranging from the user interface to client and customer support;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2" w:name="page53"/>
    <w:bookmarkEnd w:id="52"/>
    <w:p>
      <w:pPr>
        <w:ind w:left="960"/>
        <w:spacing w:after="0"/>
        <w:rPr>
          <w:sz w:val="20"/>
          <w:szCs w:val="20"/>
          <w:color w:val="auto"/>
        </w:rPr>
      </w:pPr>
      <w:r>
        <w:rPr>
          <w:rFonts w:ascii="Arial" w:cs="Arial" w:eastAsia="Arial" w:hAnsi="Arial"/>
          <w:sz w:val="18"/>
          <w:szCs w:val="18"/>
          <w:color w:val="auto"/>
        </w:rPr>
        <w:t>anticipate and respond to macroeconomic changes;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expand our solutions and geographic reach, including with respect to B2B and travel payments;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anticipate and effectively respond to changing trends and the preferences of clients and their customers;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compete effectively;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avoid interruptions in our business from information technology downtime, cybersecurity breaches, or labor stoppages;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effectively manage our growth;</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hire, integrate, and retain talented people at all levels of our organization;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maintain the quality of our technology infrastructure;</w:t>
      </w:r>
    </w:p>
    <w:p>
      <w:pPr>
        <w:spacing w:after="0" w:line="131" w:lineRule="exact"/>
        <w:rPr>
          <w:sz w:val="20"/>
          <w:szCs w:val="20"/>
          <w:color w:val="auto"/>
        </w:rPr>
      </w:pPr>
    </w:p>
    <w:p>
      <w:pPr>
        <w:ind w:left="960" w:right="280"/>
        <w:spacing w:after="0" w:line="277" w:lineRule="auto"/>
        <w:rPr>
          <w:sz w:val="20"/>
          <w:szCs w:val="20"/>
          <w:color w:val="auto"/>
        </w:rPr>
      </w:pPr>
      <w:r>
        <w:rPr>
          <w:rFonts w:ascii="Arial" w:cs="Arial" w:eastAsia="Arial" w:hAnsi="Arial"/>
          <w:sz w:val="18"/>
          <w:szCs w:val="18"/>
          <w:color w:val="auto"/>
        </w:rPr>
        <w:t>retain our existing proprietary global network of banking and other payment partners and add new banking and other payment partners to scale our business; and</w:t>
      </w:r>
    </w:p>
    <w:p>
      <w:pPr>
        <w:spacing w:after="0" w:line="89" w:lineRule="exact"/>
        <w:rPr>
          <w:sz w:val="20"/>
          <w:szCs w:val="20"/>
          <w:color w:val="auto"/>
        </w:rPr>
      </w:pPr>
    </w:p>
    <w:p>
      <w:pPr>
        <w:ind w:left="960" w:right="60"/>
        <w:spacing w:after="0" w:line="277" w:lineRule="auto"/>
        <w:rPr>
          <w:sz w:val="20"/>
          <w:szCs w:val="20"/>
          <w:color w:val="auto"/>
        </w:rPr>
      </w:pPr>
      <w:r>
        <w:rPr>
          <w:rFonts w:ascii="Arial" w:cs="Arial" w:eastAsia="Arial" w:hAnsi="Arial"/>
          <w:sz w:val="18"/>
          <w:szCs w:val="18"/>
          <w:color w:val="auto"/>
        </w:rPr>
        <w:t>retain our existing technology partners that allow us to provide alternative payment methods and add new technology partners to scale our business.</w:t>
      </w:r>
    </w:p>
    <w:p>
      <w:pPr>
        <w:spacing w:after="0" w:line="19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as well as those described elsewhere in this “Risk Factors” section, our business and operating results will be adversely affected.</w:t>
      </w:r>
    </w:p>
    <w:p>
      <w:pPr>
        <w:spacing w:after="0" w:line="283" w:lineRule="exact"/>
        <w:rPr>
          <w:sz w:val="20"/>
          <w:szCs w:val="20"/>
          <w:color w:val="auto"/>
        </w:rPr>
      </w:pPr>
    </w:p>
    <w:p>
      <w:pPr>
        <w:ind w:right="380"/>
        <w:spacing w:after="0" w:line="303" w:lineRule="auto"/>
        <w:rPr>
          <w:sz w:val="20"/>
          <w:szCs w:val="20"/>
          <w:color w:val="auto"/>
        </w:rPr>
      </w:pPr>
      <w:r>
        <w:rPr>
          <w:rFonts w:ascii="Arial" w:cs="Arial" w:eastAsia="Arial" w:hAnsi="Arial"/>
          <w:sz w:val="18"/>
          <w:szCs w:val="18"/>
          <w:b w:val="1"/>
          <w:bCs w:val="1"/>
          <w:i w:val="1"/>
          <w:iCs w:val="1"/>
          <w:color w:val="auto"/>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spacing w:after="0" w:line="66" w:lineRule="exact"/>
        <w:rPr>
          <w:sz w:val="20"/>
          <w:szCs w:val="20"/>
          <w:color w:val="auto"/>
        </w:rPr>
      </w:pPr>
    </w:p>
    <w:p>
      <w:pPr>
        <w:ind w:right="40" w:firstLine="509"/>
        <w:spacing w:after="0" w:line="267" w:lineRule="auto"/>
        <w:rPr>
          <w:sz w:val="20"/>
          <w:szCs w:val="20"/>
          <w:color w:val="auto"/>
        </w:rPr>
      </w:pPr>
      <w:r>
        <w:rPr>
          <w:rFonts w:ascii="Arial" w:cs="Arial" w:eastAsia="Arial" w:hAnsi="Arial"/>
          <w:sz w:val="18"/>
          <w:szCs w:val="18"/>
          <w:color w:val="auto"/>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renewal of existing clients’ contracts and sales of additional features and solutions to existing clients. As our market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margins, and other operating results, and accordingly, on the trading price of our common stock.</w:t>
      </w:r>
    </w:p>
    <w:p>
      <w:pPr>
        <w:spacing w:after="0" w:line="210" w:lineRule="exact"/>
        <w:rPr>
          <w:sz w:val="20"/>
          <w:szCs w:val="20"/>
          <w:color w:val="auto"/>
        </w:rPr>
      </w:pPr>
    </w:p>
    <w:p>
      <w:pPr>
        <w:ind w:right="220" w:firstLine="509"/>
        <w:spacing w:after="0" w:line="267" w:lineRule="auto"/>
        <w:rPr>
          <w:sz w:val="20"/>
          <w:szCs w:val="20"/>
          <w:color w:val="auto"/>
        </w:rPr>
      </w:pPr>
      <w:r>
        <w:rPr>
          <w:rFonts w:ascii="Arial" w:cs="Arial" w:eastAsia="Arial" w:hAnsi="Arial"/>
          <w:sz w:val="18"/>
          <w:szCs w:val="18"/>
          <w:color w:val="auto"/>
        </w:rPr>
        <w:t>As the market for our solutions mature,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margins. In particular, it has become more common in the education sector for competitors to offer very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profitability.</w:t>
      </w:r>
    </w:p>
    <w:p>
      <w:pPr>
        <w:spacing w:after="0" w:line="209"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the solution, and the pricing of additional functionality. If our efforts to sell additional functionality to our clients are not successful, our business and growth prospects would suffer.</w:t>
      </w:r>
    </w:p>
    <w:p>
      <w:pPr>
        <w:spacing w:after="0" w:line="208" w:lineRule="exact"/>
        <w:rPr>
          <w:sz w:val="20"/>
          <w:szCs w:val="20"/>
          <w:color w:val="auto"/>
        </w:rPr>
      </w:pPr>
    </w:p>
    <w:p>
      <w:pPr>
        <w:ind w:right="180" w:firstLine="509"/>
        <w:spacing w:after="0" w:line="269" w:lineRule="auto"/>
        <w:rPr>
          <w:sz w:val="20"/>
          <w:szCs w:val="20"/>
          <w:color w:val="auto"/>
        </w:rPr>
      </w:pPr>
      <w:r>
        <w:rPr>
          <w:rFonts w:ascii="Arial" w:cs="Arial" w:eastAsia="Arial" w:hAnsi="Arial"/>
          <w:sz w:val="18"/>
          <w:szCs w:val="18"/>
          <w:color w:val="auto"/>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3" w:name="page54"/>
    <w:bookmarkEnd w:id="53"/>
    <w:p>
      <w:pPr>
        <w:ind w:right="100"/>
        <w:spacing w:after="0" w:line="271" w:lineRule="auto"/>
        <w:rPr>
          <w:sz w:val="20"/>
          <w:szCs w:val="20"/>
          <w:color w:val="auto"/>
        </w:rPr>
      </w:pPr>
      <w:r>
        <w:rPr>
          <w:rFonts w:ascii="Arial" w:cs="Arial" w:eastAsia="Arial" w:hAnsi="Arial"/>
          <w:sz w:val="18"/>
          <w:szCs w:val="18"/>
          <w:color w:val="auto"/>
        </w:rPr>
        <w:t>future revenue growth may be constrained. Should any of our clients terminate their relationship with us after implementation has begun, we would not only lose our time, effort and resources invested in that implementation, but we would also have lost the opportunity to leverage those resources to build a relationship with other clients over that same period of time.</w:t>
      </w:r>
    </w:p>
    <w:p>
      <w:pPr>
        <w:spacing w:after="0" w:line="289" w:lineRule="exact"/>
        <w:rPr>
          <w:sz w:val="20"/>
          <w:szCs w:val="20"/>
          <w:color w:val="auto"/>
        </w:rPr>
      </w:pPr>
    </w:p>
    <w:p>
      <w:pPr>
        <w:ind w:right="340"/>
        <w:spacing w:after="0" w:line="303"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as well as our key metrics, due to a number of factors which make our future results difficult to predict and could cause our operating results to fall below expectations or our guidance.</w:t>
      </w:r>
    </w:p>
    <w:p>
      <w:pPr>
        <w:spacing w:after="0" w:line="174" w:lineRule="exact"/>
        <w:rPr>
          <w:sz w:val="20"/>
          <w:szCs w:val="20"/>
          <w:color w:val="auto"/>
        </w:rPr>
      </w:pPr>
    </w:p>
    <w:p>
      <w:pPr>
        <w:ind w:right="80" w:firstLine="509"/>
        <w:spacing w:after="0" w:line="269" w:lineRule="auto"/>
        <w:rPr>
          <w:sz w:val="20"/>
          <w:szCs w:val="20"/>
          <w:color w:val="auto"/>
        </w:rPr>
      </w:pPr>
      <w:r>
        <w:rPr>
          <w:rFonts w:ascii="Arial" w:cs="Arial" w:eastAsia="Arial" w:hAnsi="Arial"/>
          <w:sz w:val="18"/>
          <w:szCs w:val="18"/>
          <w:color w:val="auto"/>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revenue or operating results fall below the expectations of investors or securities analysts or below any guidance we may provide to the market, the price of our common stock could decline substantially.</w:t>
      </w:r>
    </w:p>
    <w:p>
      <w:pPr>
        <w:spacing w:after="0" w:line="206"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Our operating results have varied in the past and are expected to continue to do so in the future. In addition to other risk factors listed in this “Risk Factors” section, factors that may affect our quarterly operating results, business and financial condition include the following:</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demand for our solutions and the number, volume and timing of payments processed;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timing of tuition payments;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market acceptance of our current and future solutions;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revenue mix in a particular quarter;</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mix of payment methods and currencies utilized by our clients’ customers in a particular quarter;</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slowdown in spending on information technology (IT) and software by our current and/or prospective clients;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sales cycles and performance of our direct and indirect sales force;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budgeting and implementation cycles of our current or potential clients;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foreign currency exchange rate fluctuations;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management, performance and expansion of our domestic and international operations;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rate of renewals of contracts with our clients;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the competitive dynamics of our markets;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control and predict costs, including our operating expenses;</w:t>
      </w:r>
    </w:p>
    <w:p>
      <w:pPr>
        <w:spacing w:after="0" w:line="131" w:lineRule="exact"/>
        <w:rPr>
          <w:sz w:val="20"/>
          <w:szCs w:val="20"/>
          <w:color w:val="auto"/>
        </w:rPr>
      </w:pPr>
    </w:p>
    <w:p>
      <w:pPr>
        <w:ind w:left="960" w:right="940"/>
        <w:spacing w:after="0" w:line="277" w:lineRule="auto"/>
        <w:rPr>
          <w:sz w:val="20"/>
          <w:szCs w:val="20"/>
          <w:color w:val="auto"/>
        </w:rPr>
      </w:pPr>
      <w:r>
        <w:rPr>
          <w:rFonts w:ascii="Arial" w:cs="Arial" w:eastAsia="Arial" w:hAnsi="Arial"/>
          <w:sz w:val="18"/>
          <w:szCs w:val="18"/>
          <w:color w:val="auto"/>
        </w:rPr>
        <w:t>clients delaying purchasing decisions, including in anticipation of new products or product enhancements by us or our competitors;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seasonality of our business;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failure to successfully manage or integrate any acquisitions, including our recent acquisition of Simplee;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outcome or publicity surrounding any pending or threatened lawsuits;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general economic and political conditions in our domestic and international markets;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continuing effects of the COVID-19 pandemic and the responses thereto.</w:t>
      </w:r>
    </w:p>
    <w:p>
      <w:pPr>
        <w:spacing w:after="0" w:line="239"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spacing w:after="0" w:line="203"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54" w:name="page55"/>
    <w:bookmarkEnd w:id="54"/>
    <w:p>
      <w:pPr>
        <w:ind w:right="60"/>
        <w:spacing w:after="0" w:line="284" w:lineRule="auto"/>
        <w:rPr>
          <w:sz w:val="20"/>
          <w:szCs w:val="20"/>
          <w:color w:val="auto"/>
        </w:rPr>
      </w:pPr>
      <w:r>
        <w:rPr>
          <w:rFonts w:ascii="Arial" w:cs="Arial" w:eastAsia="Arial" w:hAnsi="Arial"/>
          <w:sz w:val="18"/>
          <w:szCs w:val="18"/>
          <w:b w:val="1"/>
          <w:bCs w:val="1"/>
          <w:i w:val="1"/>
          <w:iCs w:val="1"/>
          <w:color w:val="auto"/>
        </w:rPr>
        <w:t>The COVID-19 global pandemic and related government, private sector and individual consumer responsive actions may adversely impact our employees, strategic partners, and clients, which could adversely and materially impact our business, financial condition and results of operations.</w:t>
      </w:r>
    </w:p>
    <w:p>
      <w:pPr>
        <w:spacing w:after="0" w:line="84" w:lineRule="exact"/>
        <w:rPr>
          <w:sz w:val="20"/>
          <w:szCs w:val="20"/>
          <w:color w:val="auto"/>
        </w:rPr>
      </w:pPr>
    </w:p>
    <w:p>
      <w:pPr>
        <w:ind w:right="80" w:firstLine="509"/>
        <w:spacing w:after="0" w:line="269" w:lineRule="auto"/>
        <w:rPr>
          <w:sz w:val="20"/>
          <w:szCs w:val="20"/>
          <w:color w:val="auto"/>
        </w:rPr>
      </w:pPr>
      <w:r>
        <w:rPr>
          <w:rFonts w:ascii="Arial" w:cs="Arial" w:eastAsia="Arial" w:hAnsi="Arial"/>
          <w:sz w:val="18"/>
          <w:szCs w:val="18"/>
          <w:color w:val="auto"/>
        </w:rPr>
        <w:t>The global impacts of the COVID-19 outbreak and related government actions taken to reduce the spread of the virus, including the variants of the virus, have significantly increased economic uncertainty and reduced economic activity. The outbreak has resulted in authorities implementing numerous measures to try to contain the virus, such as travel bans and restrictions, quarantines, shelter-in-place or total lock-down orders and business limitations and shutdowns that began in the second quarter of fiscal year 2020.</w:t>
      </w:r>
    </w:p>
    <w:p>
      <w:pPr>
        <w:spacing w:after="0" w:line="206" w:lineRule="exact"/>
        <w:rPr>
          <w:sz w:val="20"/>
          <w:szCs w:val="20"/>
          <w:color w:val="auto"/>
        </w:rPr>
      </w:pPr>
    </w:p>
    <w:p>
      <w:pPr>
        <w:ind w:right="80" w:firstLine="509"/>
        <w:spacing w:after="0" w:line="268" w:lineRule="auto"/>
        <w:rPr>
          <w:sz w:val="20"/>
          <w:szCs w:val="20"/>
          <w:color w:val="auto"/>
        </w:rPr>
      </w:pPr>
      <w:r>
        <w:rPr>
          <w:rFonts w:ascii="Arial" w:cs="Arial" w:eastAsia="Arial" w:hAnsi="Arial"/>
          <w:sz w:val="18"/>
          <w:szCs w:val="18"/>
          <w:color w:val="auto"/>
        </w:rPr>
        <w:t>In addition, the spread of COVID-19 has caused us to modify our business practices, including restricting employee travel, implementing office closures, having our employees, who we call FlyMates, work remotely and cancelling physical participation in meetings, events and conferences. We may take further actions as may be required by government authorities or as we determine are in the best interests of our FlyMates, clients and business partners. This has caused us to make modifications to some of our planned activities and has impacted some of our business development and marketing initiatives.</w:t>
      </w:r>
    </w:p>
    <w:p>
      <w:pPr>
        <w:spacing w:after="0" w:line="208"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During the three months ended September 30, 2020, we experienced periods of reduced payment volume in some of the industries we serve, including travel and education. Cross-border payment volumes were heavily impacted by the decline in travel as a result of the COVID-19 pandemic. During the three months ended September 30, 2021 we observed a recovery in payment volumes in the industries we serve, including travel and education. The introduction of COVID-19 vaccines allowed for reopening of many higher education institutions to foreign students, and borders began to open for travel. The emergence of variants has slowed the reopening, and we will monitor new strains of COVID-19 as they are discovered. International cross-border transaction revenue represent a significant part of our revenue; international regulations and restrictions that inhibit cross-border travel and relocation of international students have had and may continue to have a material impact on our business. In addition, we may experience financial losses due to a number of operational factors, including:</w:t>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third party disruptions, including potential outages at network providers and other suppliers;</w:t>
      </w:r>
    </w:p>
    <w:p>
      <w:pPr>
        <w:spacing w:after="0" w:line="131" w:lineRule="exact"/>
        <w:rPr>
          <w:sz w:val="20"/>
          <w:szCs w:val="20"/>
          <w:color w:val="auto"/>
        </w:rPr>
      </w:pPr>
    </w:p>
    <w:p>
      <w:pPr>
        <w:ind w:left="960" w:right="80"/>
        <w:spacing w:after="0" w:line="271" w:lineRule="auto"/>
        <w:rPr>
          <w:sz w:val="20"/>
          <w:szCs w:val="20"/>
          <w:color w:val="auto"/>
        </w:rPr>
      </w:pPr>
      <w:r>
        <w:rPr>
          <w:rFonts w:ascii="Arial" w:cs="Arial" w:eastAsia="Arial" w:hAnsi="Arial"/>
          <w:sz w:val="18"/>
          <w:szCs w:val="18"/>
          <w:color w:val="auto"/>
        </w:rPr>
        <w:t>challenges to the availability and reliability of our network due to changes to normal operations, including the possibility of one or more clusters of COVID-19 cases occurring at our suppliers’ data centers, affecting our FlyMates, or affecting the systems or employees of our clients or business partners;</w:t>
      </w:r>
    </w:p>
    <w:p>
      <w:pPr>
        <w:spacing w:after="0" w:line="95" w:lineRule="exact"/>
        <w:rPr>
          <w:sz w:val="20"/>
          <w:szCs w:val="20"/>
          <w:color w:val="auto"/>
        </w:rPr>
      </w:pPr>
    </w:p>
    <w:p>
      <w:pPr>
        <w:ind w:left="960" w:right="260"/>
        <w:spacing w:after="0" w:line="271" w:lineRule="auto"/>
        <w:rPr>
          <w:sz w:val="20"/>
          <w:szCs w:val="20"/>
          <w:color w:val="auto"/>
        </w:rPr>
      </w:pPr>
      <w:r>
        <w:rPr>
          <w:rFonts w:ascii="Arial" w:cs="Arial" w:eastAsia="Arial" w:hAnsi="Arial"/>
          <w:sz w:val="18"/>
          <w:szCs w:val="18"/>
          <w:color w:val="auto"/>
        </w:rPr>
        <w:t>increased cyber and payment fraud risk related to the COVID-19 pandemic, as cybercriminals attempt DDoS related attacks, phishing scams and other disruptive actions, given the shift to online banking, e-commerce and other online activity, as well as more employees working remotely as a result of the outbreak; and</w:t>
      </w:r>
    </w:p>
    <w:p>
      <w:pPr>
        <w:spacing w:after="0" w:line="95" w:lineRule="exact"/>
        <w:rPr>
          <w:sz w:val="20"/>
          <w:szCs w:val="20"/>
          <w:color w:val="auto"/>
        </w:rPr>
      </w:pPr>
    </w:p>
    <w:p>
      <w:pPr>
        <w:ind w:left="960" w:right="20"/>
        <w:spacing w:after="0" w:line="277" w:lineRule="auto"/>
        <w:rPr>
          <w:sz w:val="20"/>
          <w:szCs w:val="20"/>
          <w:color w:val="auto"/>
        </w:rPr>
      </w:pPr>
      <w:r>
        <w:rPr>
          <w:rFonts w:ascii="Arial" w:cs="Arial" w:eastAsia="Arial" w:hAnsi="Arial"/>
          <w:sz w:val="18"/>
          <w:szCs w:val="18"/>
          <w:color w:val="auto"/>
        </w:rPr>
        <w:t>additional regulatory requirements, including, for example, government initiatives or requests to reduce or eliminate payment fees or other costs.</w:t>
      </w:r>
    </w:p>
    <w:p>
      <w:pPr>
        <w:spacing w:after="0" w:line="197" w:lineRule="exact"/>
        <w:rPr>
          <w:sz w:val="20"/>
          <w:szCs w:val="20"/>
          <w:color w:val="auto"/>
        </w:rPr>
      </w:pPr>
    </w:p>
    <w:p>
      <w:pPr>
        <w:jc w:val="both"/>
        <w:ind w:right="20" w:firstLine="509"/>
        <w:spacing w:after="0" w:line="268" w:lineRule="auto"/>
        <w:rPr>
          <w:sz w:val="20"/>
          <w:szCs w:val="20"/>
          <w:color w:val="auto"/>
        </w:rPr>
      </w:pPr>
      <w:r>
        <w:rPr>
          <w:rFonts w:ascii="Arial" w:cs="Arial" w:eastAsia="Arial" w:hAnsi="Arial"/>
          <w:sz w:val="18"/>
          <w:szCs w:val="18"/>
          <w:color w:val="auto"/>
        </w:rPr>
        <w:t>We adopted measures to modify our business practices and reduce operating expenses during the first half of 2020 in response to the COVID-19 pandemic, including a reduction in our workforce, delaying hiring plans, restricting travel, lowering marketing spend and the use of external resources. These measures may have slowed our growth while in effect. Although we began increasing our operating expense since such time, the impact from the COVID-19 pandemic on our business, results of operations and financial condition in the longer term remains difficult to predict.</w:t>
      </w:r>
    </w:p>
    <w:p>
      <w:pPr>
        <w:spacing w:after="0" w:line="208" w:lineRule="exact"/>
        <w:rPr>
          <w:sz w:val="20"/>
          <w:szCs w:val="20"/>
          <w:color w:val="auto"/>
        </w:rPr>
      </w:pPr>
    </w:p>
    <w:p>
      <w:pPr>
        <w:ind w:right="120" w:firstLine="509"/>
        <w:spacing w:after="0" w:line="269" w:lineRule="auto"/>
        <w:rPr>
          <w:sz w:val="20"/>
          <w:szCs w:val="20"/>
          <w:color w:val="auto"/>
        </w:rPr>
      </w:pPr>
      <w:r>
        <w:rPr>
          <w:rFonts w:ascii="Arial" w:cs="Arial" w:eastAsia="Arial" w:hAnsi="Arial"/>
          <w:sz w:val="18"/>
          <w:szCs w:val="18"/>
          <w:color w:val="auto"/>
        </w:rPr>
        <w:t>Our offices are currently open, in some instances at limited capacity, as allowed under national, state and local orders. While we have implemented what we believe to be a comprehensive protocol to ensure the safety and wellbeing of employees returning to the office, including daily health screenings, physical changes to our floor layout, periodic testing and required proper personal protection equipment, these protocols may not be sufficient to mitigate the risks posed by the virus or otherwise be satisfactory to government authorities.</w:t>
      </w:r>
    </w:p>
    <w:p>
      <w:pPr>
        <w:spacing w:after="0" w:line="206" w:lineRule="exact"/>
        <w:rPr>
          <w:sz w:val="20"/>
          <w:szCs w:val="20"/>
          <w:color w:val="auto"/>
        </w:rPr>
      </w:pPr>
    </w:p>
    <w:p>
      <w:pPr>
        <w:ind w:right="60" w:firstLine="509"/>
        <w:spacing w:after="0" w:line="268" w:lineRule="auto"/>
        <w:rPr>
          <w:sz w:val="20"/>
          <w:szCs w:val="20"/>
          <w:color w:val="auto"/>
        </w:rPr>
      </w:pPr>
      <w:r>
        <w:rPr>
          <w:rFonts w:ascii="Arial" w:cs="Arial" w:eastAsia="Arial" w:hAnsi="Arial"/>
          <w:sz w:val="18"/>
          <w:szCs w:val="18"/>
          <w:color w:val="auto"/>
        </w:rPr>
        <w:t>Our clients and their customers who are affected by the ongoing COVID-19 pandemic may continue to demonstrate changed behavior even after the COVID-19 outbreak has subsided. For example, colleges and universities may continue to rely on virtual courses as students may be hesitant to return to full social interaction, and we may continue to see reduced payment volume as economic worries continue, all of which may have adverse implications for our business. In addition, many of our clients who have historically depended upon a steady flow of international students (e.g., language schools) may have curtailed or suspended operations, or permanently closed. In our business model, we function as a merchant of record in connection with the receipt of payments by our clients’ customers, which subjects us to chargeback risk in the event a client’s customer cancels or otherwise does not receive the services for which such customer paid.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ind w:right="220"/>
        <w:spacing w:after="0" w:line="277" w:lineRule="auto"/>
        <w:rPr>
          <w:sz w:val="20"/>
          <w:szCs w:val="20"/>
          <w:color w:val="auto"/>
        </w:rPr>
      </w:pPr>
      <w:r>
        <w:rPr>
          <w:rFonts w:ascii="Arial" w:cs="Arial" w:eastAsia="Arial" w:hAnsi="Arial"/>
          <w:sz w:val="18"/>
          <w:szCs w:val="18"/>
          <w:color w:val="auto"/>
        </w:rPr>
        <w:t>Although our client contracts allow us to pass that chargeback risk to our client, if the client has gone out of business, we may be unable to collect on the chargeback and will bear the economic loss, which will negatively impact our business.</w:t>
      </w:r>
    </w:p>
    <w:p>
      <w:pPr>
        <w:spacing w:after="0" w:line="197" w:lineRule="exact"/>
        <w:rPr>
          <w:sz w:val="20"/>
          <w:szCs w:val="20"/>
          <w:color w:val="auto"/>
        </w:rPr>
      </w:pPr>
    </w:p>
    <w:p>
      <w:pPr>
        <w:jc w:val="both"/>
        <w:ind w:right="340" w:firstLine="509"/>
        <w:spacing w:after="0" w:line="271" w:lineRule="auto"/>
        <w:rPr>
          <w:sz w:val="20"/>
          <w:szCs w:val="20"/>
          <w:color w:val="auto"/>
        </w:rPr>
      </w:pPr>
      <w:r>
        <w:rPr>
          <w:rFonts w:ascii="Arial" w:cs="Arial" w:eastAsia="Arial" w:hAnsi="Arial"/>
          <w:sz w:val="18"/>
          <w:szCs w:val="18"/>
          <w:color w:val="auto"/>
        </w:rPr>
        <w:t>As a result, we may continue to experience materially adverse impacts to our business as a result of the global economic impact of COVID-19, including lower domestic and cross border spending trends, the availability of credit, adverse impacts on our liquidity, and any recessionary conditions that persist, and exacerbate many of the other known risks described in this “Risk Factors” section.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affect our gross margin and results of operations.</w:t>
      </w:r>
    </w:p>
    <w:p>
      <w:pPr>
        <w:spacing w:after="0" w:line="153" w:lineRule="exact"/>
        <w:rPr>
          <w:sz w:val="20"/>
          <w:szCs w:val="20"/>
          <w:color w:val="auto"/>
        </w:rPr>
      </w:pPr>
    </w:p>
    <w:p>
      <w:pPr>
        <w:ind w:right="60" w:firstLine="509"/>
        <w:spacing w:after="0" w:line="267" w:lineRule="auto"/>
        <w:rPr>
          <w:sz w:val="20"/>
          <w:szCs w:val="20"/>
          <w:color w:val="auto"/>
        </w:rPr>
      </w:pPr>
      <w:r>
        <w:rPr>
          <w:rFonts w:ascii="Arial" w:cs="Arial" w:eastAsia="Arial" w:hAnsi="Arial"/>
          <w:sz w:val="18"/>
          <w:szCs w:val="18"/>
          <w:color w:val="auto"/>
        </w:rPr>
        <w:t>We expect our revenue mix to vary over time due to a number of factors. Shifts in our business mix from quarter to quarter could produce substantial variation in revenue recognized. Further, our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296" w:lineRule="exact"/>
        <w:rPr>
          <w:sz w:val="20"/>
          <w:szCs w:val="20"/>
          <w:color w:val="auto"/>
        </w:rPr>
      </w:pPr>
    </w:p>
    <w:p>
      <w:pPr>
        <w:ind w:right="1100"/>
        <w:spacing w:after="0" w:line="303" w:lineRule="auto"/>
        <w:rPr>
          <w:sz w:val="20"/>
          <w:szCs w:val="20"/>
          <w:color w:val="auto"/>
        </w:rPr>
      </w:pPr>
      <w:r>
        <w:rPr>
          <w:rFonts w:ascii="Arial" w:cs="Arial" w:eastAsia="Arial" w:hAnsi="Arial"/>
          <w:sz w:val="18"/>
          <w:szCs w:val="18"/>
          <w:b w:val="1"/>
          <w:bCs w:val="1"/>
          <w:i w:val="1"/>
          <w:iCs w:val="1"/>
          <w:color w:val="auto"/>
        </w:rPr>
        <w:t>Our business could be adversely affected if our clients or their customers are not satisfied with the timing or quality of implementation services provided by us or our partners.</w:t>
      </w:r>
    </w:p>
    <w:p>
      <w:pPr>
        <w:spacing w:after="0" w:line="66" w:lineRule="exact"/>
        <w:rPr>
          <w:sz w:val="20"/>
          <w:szCs w:val="20"/>
          <w:color w:val="auto"/>
        </w:rPr>
      </w:pPr>
    </w:p>
    <w:p>
      <w:pPr>
        <w:ind w:right="20" w:firstLine="509"/>
        <w:spacing w:after="0" w:line="268" w:lineRule="auto"/>
        <w:rPr>
          <w:sz w:val="20"/>
          <w:szCs w:val="20"/>
          <w:color w:val="auto"/>
        </w:rPr>
      </w:pPr>
      <w:r>
        <w:rPr>
          <w:rFonts w:ascii="Arial" w:cs="Arial" w:eastAsia="Arial" w:hAnsi="Arial"/>
          <w:sz w:val="18"/>
          <w:szCs w:val="18"/>
          <w:color w:val="auto"/>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Flywire,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and operating results are subject to seasonality and cyclicality.</w:t>
      </w:r>
    </w:p>
    <w:p>
      <w:pPr>
        <w:spacing w:after="0" w:line="153" w:lineRule="exact"/>
        <w:rPr>
          <w:sz w:val="20"/>
          <w:szCs w:val="20"/>
          <w:color w:val="auto"/>
        </w:rPr>
      </w:pPr>
    </w:p>
    <w:p>
      <w:pPr>
        <w:ind w:right="60" w:firstLine="509"/>
        <w:spacing w:after="0" w:line="267" w:lineRule="auto"/>
        <w:rPr>
          <w:sz w:val="20"/>
          <w:szCs w:val="20"/>
          <w:color w:val="auto"/>
        </w:rPr>
      </w:pPr>
      <w:r>
        <w:rPr>
          <w:rFonts w:ascii="Arial" w:cs="Arial" w:eastAsia="Arial" w:hAnsi="Arial"/>
          <w:sz w:val="18"/>
          <w:szCs w:val="18"/>
          <w:color w:val="auto"/>
        </w:rPr>
        <w:t>Our financial and operational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entire academic year, or the spring semester, respectively. We expect this seasonality of education tuition processing to continue and expect it to impact the amount of processing fees that we earn in a particular fiscal quarter and the level of expenses we incur to generate tuition payment volume and process the higher volume activity. During the COVID-19 pandemic, we initially observed an increasing trend of education institutions delaying tuition invoicing or extending dates for payment due to uncertainties in the academic calendar, on-campus classes or remote learning planning, as well as relief being offered to families experiencing financial challenges. However, with the increase in availability of vaccines educational institutions have, for the most part, returned to their normal billing cycles and payment due dates. Many higher education institutions are mandating full vaccination to promote normal operations and allowing students from abroad to return to their facilities. Similarly, subsectors of our travel client portfolio will experience increased seasonality as many of our travel clients depend upon advance planning for vacation or holiday travel, which has been hampered by the ongoing COVID-19 pandemic and the regulatory responses to the pandemic.</w:t>
      </w:r>
    </w:p>
    <w:p>
      <w:pPr>
        <w:spacing w:after="0" w:line="293" w:lineRule="exact"/>
        <w:rPr>
          <w:sz w:val="20"/>
          <w:szCs w:val="20"/>
          <w:color w:val="auto"/>
        </w:rPr>
      </w:pPr>
    </w:p>
    <w:p>
      <w:pPr>
        <w:spacing w:after="0" w:line="303" w:lineRule="auto"/>
        <w:rPr>
          <w:sz w:val="20"/>
          <w:szCs w:val="20"/>
          <w:color w:val="auto"/>
        </w:rPr>
      </w:pPr>
      <w:r>
        <w:rPr>
          <w:rFonts w:ascii="Arial" w:cs="Arial" w:eastAsia="Arial" w:hAnsi="Arial"/>
          <w:sz w:val="18"/>
          <w:szCs w:val="18"/>
          <w:b w:val="1"/>
          <w:bCs w:val="1"/>
          <w:i w:val="1"/>
          <w:iCs w:val="1"/>
          <w:color w:val="auto"/>
        </w:rPr>
        <w:t>Certain of our key performance indicators are subject to inherent challenges in measurement, and real or perceived inaccuracies in such metrics may harm our reputation and negatively affect our business.</w:t>
      </w:r>
    </w:p>
    <w:p>
      <w:pPr>
        <w:spacing w:after="0" w:line="66" w:lineRule="exact"/>
        <w:rPr>
          <w:sz w:val="20"/>
          <w:szCs w:val="20"/>
          <w:color w:val="auto"/>
        </w:rPr>
      </w:pPr>
    </w:p>
    <w:p>
      <w:pPr>
        <w:ind w:right="20" w:firstLine="509"/>
        <w:spacing w:after="0" w:line="268" w:lineRule="auto"/>
        <w:rPr>
          <w:sz w:val="20"/>
          <w:szCs w:val="20"/>
          <w:color w:val="auto"/>
        </w:rPr>
      </w:pPr>
      <w:r>
        <w:rPr>
          <w:rFonts w:ascii="Arial" w:cs="Arial" w:eastAsia="Arial" w:hAnsi="Arial"/>
          <w:sz w:val="18"/>
          <w:szCs w:val="18"/>
          <w:color w:val="auto"/>
        </w:rPr>
        <w:t>We track certain key performance indicators, including metrics such as total payment volume, revenue less ancillary services, adjusted gross margin and adjusted EBITDA,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6" w:name="page57"/>
    <w:bookmarkEnd w:id="56"/>
    <w:p>
      <w:pPr>
        <w:ind w:right="140"/>
        <w:spacing w:after="0" w:line="269" w:lineRule="auto"/>
        <w:rPr>
          <w:sz w:val="20"/>
          <w:szCs w:val="20"/>
          <w:color w:val="auto"/>
        </w:rPr>
      </w:pPr>
      <w:r>
        <w:rPr>
          <w:rFonts w:ascii="Arial" w:cs="Arial" w:eastAsia="Arial" w:hAnsi="Arial"/>
          <w:sz w:val="18"/>
          <w:szCs w:val="18"/>
          <w:color w:val="auto"/>
        </w:rPr>
        <w:t>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292"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b w:val="1"/>
          <w:bCs w:val="1"/>
          <w:i w:val="1"/>
          <w:iCs w:val="1"/>
          <w:color w:val="auto"/>
        </w:rPr>
        <w:t>If our efforts to attract new clients and increase the number of our clients’ customers that use our solutions are unsuccessful, our revenue growth and operating results will be adversely affected.</w:t>
      </w:r>
    </w:p>
    <w:p>
      <w:pPr>
        <w:spacing w:after="0" w:line="66" w:lineRule="exact"/>
        <w:rPr>
          <w:sz w:val="20"/>
          <w:szCs w:val="20"/>
          <w:color w:val="auto"/>
        </w:rPr>
      </w:pPr>
    </w:p>
    <w:p>
      <w:pPr>
        <w:ind w:right="20" w:firstLine="509"/>
        <w:spacing w:after="0" w:line="267" w:lineRule="auto"/>
        <w:rPr>
          <w:sz w:val="20"/>
          <w:szCs w:val="20"/>
          <w:color w:val="auto"/>
        </w:rPr>
      </w:pPr>
      <w:r>
        <w:rPr>
          <w:rFonts w:ascii="Arial" w:cs="Arial" w:eastAsia="Arial" w:hAnsi="Arial"/>
          <w:sz w:val="18"/>
          <w:szCs w:val="18"/>
          <w:color w:val="auto"/>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spacing w:after="0" w:line="294"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b w:val="1"/>
          <w:bCs w:val="1"/>
          <w:i w:val="1"/>
          <w:iCs w:val="1"/>
          <w:color w:val="auto"/>
        </w:rPr>
        <w:t>If we are unable to expand our direct and channel sales capabilities, grow our marketing reach and increase sales productivity, we may not be able to generate increased revenues.</w:t>
      </w:r>
    </w:p>
    <w:p>
      <w:pPr>
        <w:spacing w:after="0" w:line="66"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in large part, on our proprietary network of global, regional and local banking partners.</w:t>
      </w:r>
    </w:p>
    <w:p>
      <w:pPr>
        <w:spacing w:after="0" w:line="153"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anti-money laundering (AML) policies and “know your customer”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spacing w:after="0" w:line="208" w:lineRule="exact"/>
        <w:rPr>
          <w:sz w:val="20"/>
          <w:szCs w:val="20"/>
          <w:color w:val="auto"/>
        </w:rPr>
      </w:pPr>
    </w:p>
    <w:p>
      <w:pPr>
        <w:ind w:right="80" w:firstLine="509"/>
        <w:spacing w:after="0" w:line="268" w:lineRule="auto"/>
        <w:rPr>
          <w:sz w:val="20"/>
          <w:szCs w:val="20"/>
          <w:color w:val="auto"/>
        </w:rPr>
      </w:pPr>
      <w:r>
        <w:rPr>
          <w:rFonts w:ascii="Arial" w:cs="Arial" w:eastAsia="Arial" w:hAnsi="Arial"/>
          <w:sz w:val="18"/>
          <w:szCs w:val="18"/>
          <w:color w:val="auto"/>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7" w:name="page58"/>
    <w:bookmarkEnd w:id="57"/>
    <w:p>
      <w:pPr>
        <w:ind w:right="400"/>
        <w:spacing w:after="0" w:line="277" w:lineRule="auto"/>
        <w:rPr>
          <w:sz w:val="20"/>
          <w:szCs w:val="20"/>
          <w:color w:val="auto"/>
        </w:rPr>
      </w:pPr>
      <w:r>
        <w:rPr>
          <w:rFonts w:ascii="Arial" w:cs="Arial" w:eastAsia="Arial" w:hAnsi="Arial"/>
          <w:sz w:val="18"/>
          <w:szCs w:val="18"/>
          <w:color w:val="auto"/>
        </w:rPr>
        <w:t>replace or compete with ours. If we are unsuccessful in establishing, growing, or maintaining our relationships with network partners, our ability to compete or to grow our revenue could be impaired, and our results of operations may suffer.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relationships with other (non-banking) third parties.</w:t>
      </w:r>
    </w:p>
    <w:p>
      <w:pPr>
        <w:spacing w:after="0" w:line="153" w:lineRule="exact"/>
        <w:rPr>
          <w:sz w:val="20"/>
          <w:szCs w:val="20"/>
          <w:color w:val="auto"/>
        </w:rPr>
      </w:pPr>
    </w:p>
    <w:p>
      <w:pPr>
        <w:ind w:right="40" w:firstLine="509"/>
        <w:spacing w:after="0" w:line="267" w:lineRule="auto"/>
        <w:rPr>
          <w:sz w:val="20"/>
          <w:szCs w:val="20"/>
          <w:color w:val="auto"/>
        </w:rPr>
      </w:pPr>
      <w:r>
        <w:rPr>
          <w:rFonts w:ascii="Arial" w:cs="Arial" w:eastAsia="Arial" w:hAnsi="Arial"/>
          <w:sz w:val="18"/>
          <w:szCs w:val="18"/>
          <w:color w:val="auto"/>
        </w:rPr>
        <w:t>We have established relationships with a number of other companies, including financial institutions, processors, other financial services suppliers, channel sales partners, 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our strategic relationships are successful, we cannot assure you that these relationships will result in increased client usage of our solutions or increased revenues.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operating results could be harmed.</w:t>
      </w:r>
    </w:p>
    <w:p>
      <w:pPr>
        <w:spacing w:after="0" w:line="153"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spacing w:after="0" w:line="217" w:lineRule="exact"/>
        <w:rPr>
          <w:sz w:val="20"/>
          <w:szCs w:val="20"/>
          <w:color w:val="auto"/>
        </w:rPr>
      </w:pPr>
    </w:p>
    <w:p>
      <w:pPr>
        <w:jc w:val="both"/>
        <w:ind w:right="180" w:firstLine="509"/>
        <w:spacing w:after="0" w:line="271" w:lineRule="auto"/>
        <w:rPr>
          <w:sz w:val="20"/>
          <w:szCs w:val="20"/>
          <w:color w:val="auto"/>
        </w:rPr>
      </w:pPr>
      <w:r>
        <w:rPr>
          <w:rFonts w:ascii="Arial" w:cs="Arial" w:eastAsia="Arial" w:hAnsi="Arial"/>
          <w:sz w:val="18"/>
          <w:szCs w:val="18"/>
          <w:color w:val="auto"/>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spacing w:after="0" w:line="289"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b w:val="1"/>
          <w:bCs w:val="1"/>
          <w:i w:val="1"/>
          <w:iCs w:val="1"/>
          <w:color w:val="auto"/>
        </w:rPr>
        <w:t>Our estimates of market opportunity and our ability to capture a meaningful share of this payment volume may prove to be inaccurate, and even if the market in which we compete achieves the forecasted growth, our business could fail to grow at similar rates, if at all.</w:t>
      </w:r>
    </w:p>
    <w:p>
      <w:pPr>
        <w:spacing w:after="0" w:line="84" w:lineRule="exact"/>
        <w:rPr>
          <w:sz w:val="20"/>
          <w:szCs w:val="20"/>
          <w:color w:val="auto"/>
        </w:rPr>
      </w:pPr>
    </w:p>
    <w:p>
      <w:pPr>
        <w:ind w:right="140" w:firstLine="509"/>
        <w:spacing w:after="0" w:line="267" w:lineRule="auto"/>
        <w:rPr>
          <w:sz w:val="20"/>
          <w:szCs w:val="20"/>
          <w:color w:val="auto"/>
        </w:rPr>
      </w:pPr>
      <w:r>
        <w:rPr>
          <w:rFonts w:ascii="Arial" w:cs="Arial" w:eastAsia="Arial" w:hAnsi="Arial"/>
          <w:sz w:val="18"/>
          <w:szCs w:val="18"/>
          <w:color w:val="auto"/>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our business could fail to grow at similar rates, if at all. Our growth is subject to many factors, including our success in implementing our business strategy, which is subject to many risks and uncertainties.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8" w:name="page59"/>
    <w:bookmarkEnd w:id="58"/>
    <w:p>
      <w:pPr>
        <w:ind w:right="200"/>
        <w:spacing w:after="0" w:line="303" w:lineRule="auto"/>
        <w:rPr>
          <w:sz w:val="20"/>
          <w:szCs w:val="20"/>
          <w:color w:val="auto"/>
        </w:rPr>
      </w:pPr>
      <w:r>
        <w:rPr>
          <w:rFonts w:ascii="Arial" w:cs="Arial" w:eastAsia="Arial" w:hAnsi="Arial"/>
          <w:sz w:val="18"/>
          <w:szCs w:val="18"/>
          <w:b w:val="1"/>
          <w:bCs w:val="1"/>
          <w:i w:val="1"/>
          <w:iCs w:val="1"/>
          <w:color w:val="auto"/>
        </w:rPr>
        <w:t>Our clients in the education sector may be adversely affected by decreases in enrollment, pressure on tuition costs, or increased operating expenses, which may reduce demand for our solutions.</w:t>
      </w:r>
    </w:p>
    <w:p>
      <w:pPr>
        <w:spacing w:after="0" w:line="66"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spacing w:after="0" w:line="95" w:lineRule="exact"/>
        <w:rPr>
          <w:sz w:val="20"/>
          <w:szCs w:val="20"/>
          <w:color w:val="auto"/>
        </w:rPr>
      </w:pPr>
    </w:p>
    <w:p>
      <w:pPr>
        <w:ind w:left="960" w:right="60"/>
        <w:spacing w:after="0" w:line="277" w:lineRule="auto"/>
        <w:rPr>
          <w:sz w:val="20"/>
          <w:szCs w:val="20"/>
          <w:color w:val="auto"/>
        </w:rPr>
      </w:pPr>
      <w:r>
        <w:rPr>
          <w:rFonts w:ascii="Arial" w:cs="Arial" w:eastAsia="Arial" w:hAnsi="Arial"/>
          <w:sz w:val="18"/>
          <w:szCs w:val="18"/>
          <w:color w:val="auto"/>
        </w:rPr>
        <w:t>Reduced enrollment in higher education due to lack of funding. Significant reductions in student funding, through grants or loans, may reduce enrollments and decrease the payment volume we process.</w:t>
      </w:r>
    </w:p>
    <w:p>
      <w:pPr>
        <w:spacing w:after="0" w:line="89" w:lineRule="exact"/>
        <w:rPr>
          <w:sz w:val="20"/>
          <w:szCs w:val="20"/>
          <w:color w:val="auto"/>
        </w:rPr>
      </w:pPr>
    </w:p>
    <w:p>
      <w:pPr>
        <w:ind w:left="960" w:right="300"/>
        <w:spacing w:after="0" w:line="277" w:lineRule="auto"/>
        <w:rPr>
          <w:sz w:val="20"/>
          <w:szCs w:val="20"/>
          <w:color w:val="auto"/>
        </w:rPr>
      </w:pPr>
      <w:r>
        <w:rPr>
          <w:rFonts w:ascii="Arial" w:cs="Arial" w:eastAsia="Arial" w:hAnsi="Arial"/>
          <w:sz w:val="18"/>
          <w:szCs w:val="18"/>
          <w:color w:val="auto"/>
        </w:rPr>
        <w:t>Government supported institutions may experience losses or reduction in public funding. Many of our clients rely considerably upon public funding or support, which may not always be available due to budget constraints.</w:t>
      </w:r>
    </w:p>
    <w:p>
      <w:pPr>
        <w:spacing w:after="0" w:line="89" w:lineRule="exact"/>
        <w:rPr>
          <w:sz w:val="20"/>
          <w:szCs w:val="20"/>
          <w:color w:val="auto"/>
        </w:rPr>
      </w:pPr>
    </w:p>
    <w:p>
      <w:pPr>
        <w:ind w:left="960" w:right="220"/>
        <w:spacing w:after="0" w:line="277" w:lineRule="auto"/>
        <w:rPr>
          <w:sz w:val="20"/>
          <w:szCs w:val="20"/>
          <w:color w:val="auto"/>
        </w:rPr>
      </w:pPr>
      <w:r>
        <w:rPr>
          <w:rFonts w:ascii="Arial" w:cs="Arial" w:eastAsia="Arial" w:hAnsi="Arial"/>
          <w:sz w:val="18"/>
          <w:szCs w:val="18"/>
          <w:color w:val="auto"/>
        </w:rPr>
        <w:t>Negative perceptions about in-person classes. Students may reject the opportunity to attend courses in person, when online or virtual classes are offered as an option, due to the ongoing COVID-19 pandemic or a lower price point for online classes.</w:t>
      </w:r>
    </w:p>
    <w:p>
      <w:pPr>
        <w:spacing w:after="0" w:line="89" w:lineRule="exact"/>
        <w:rPr>
          <w:sz w:val="20"/>
          <w:szCs w:val="20"/>
          <w:color w:val="auto"/>
        </w:rPr>
      </w:pPr>
    </w:p>
    <w:p>
      <w:pPr>
        <w:ind w:left="960" w:right="100"/>
        <w:spacing w:after="0" w:line="277" w:lineRule="auto"/>
        <w:rPr>
          <w:sz w:val="20"/>
          <w:szCs w:val="20"/>
          <w:color w:val="auto"/>
        </w:rPr>
      </w:pPr>
      <w:r>
        <w:rPr>
          <w:rFonts w:ascii="Arial" w:cs="Arial" w:eastAsia="Arial" w:hAnsi="Arial"/>
          <w:sz w:val="18"/>
          <w:szCs w:val="18"/>
          <w:color w:val="auto"/>
        </w:rPr>
        <w:t>Our clients’ rankings, reputation and marketing efforts strongly affect enrollments, none of which we control. If we fail to maintain or add clients with strong, stable reputations and rankings, they will fail to achieve consistent enrollments.</w:t>
      </w:r>
    </w:p>
    <w:p>
      <w:pPr>
        <w:spacing w:after="0" w:line="89" w:lineRule="exact"/>
        <w:rPr>
          <w:sz w:val="20"/>
          <w:szCs w:val="20"/>
          <w:color w:val="auto"/>
        </w:rPr>
      </w:pPr>
    </w:p>
    <w:p>
      <w:pPr>
        <w:ind w:left="960" w:right="340"/>
        <w:spacing w:after="0" w:line="271" w:lineRule="auto"/>
        <w:rPr>
          <w:sz w:val="20"/>
          <w:szCs w:val="20"/>
          <w:color w:val="auto"/>
        </w:rPr>
      </w:pPr>
      <w:r>
        <w:rPr>
          <w:rFonts w:ascii="Arial" w:cs="Arial" w:eastAsia="Arial" w:hAnsi="Arial"/>
          <w:sz w:val="18"/>
          <w:szCs w:val="18"/>
          <w:color w:val="auto"/>
        </w:rPr>
        <w:t>Declines in international student enrollment. The COVID-19 pandemic and restrictions on immigration or the award of student visas can negatively impact the cross-border education industry and schools that rely on foreign student populations will be negatively affected or may cease operations.</w:t>
      </w:r>
    </w:p>
    <w:p>
      <w:pPr>
        <w:spacing w:after="0" w:line="95" w:lineRule="exact"/>
        <w:rPr>
          <w:sz w:val="20"/>
          <w:szCs w:val="20"/>
          <w:color w:val="auto"/>
        </w:rPr>
      </w:pPr>
    </w:p>
    <w:p>
      <w:pPr>
        <w:jc w:val="both"/>
        <w:ind w:left="960" w:right="500"/>
        <w:spacing w:after="0" w:line="271" w:lineRule="auto"/>
        <w:rPr>
          <w:sz w:val="20"/>
          <w:szCs w:val="20"/>
          <w:color w:val="auto"/>
        </w:rPr>
      </w:pPr>
      <w:r>
        <w:rPr>
          <w:rFonts w:ascii="Arial" w:cs="Arial" w:eastAsia="Arial" w:hAnsi="Arial"/>
          <w:sz w:val="18"/>
          <w:szCs w:val="18"/>
          <w:color w:val="auto"/>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spacing w:after="0" w:line="203"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which represents, and is expected to continue to represent for the foreseeable future, a majority of our total payment volume and revenue, would have an adverse effect on our business, operating results and financial condition.</w:t>
      </w:r>
    </w:p>
    <w:p>
      <w:pPr>
        <w:spacing w:after="0" w:line="294" w:lineRule="exact"/>
        <w:rPr>
          <w:sz w:val="20"/>
          <w:szCs w:val="20"/>
          <w:color w:val="auto"/>
        </w:rPr>
      </w:pPr>
    </w:p>
    <w:p>
      <w:pPr>
        <w:ind w:right="480"/>
        <w:spacing w:after="0" w:line="284" w:lineRule="auto"/>
        <w:rPr>
          <w:sz w:val="20"/>
          <w:szCs w:val="20"/>
          <w:color w:val="auto"/>
        </w:rPr>
      </w:pPr>
      <w:r>
        <w:rPr>
          <w:rFonts w:ascii="Arial" w:cs="Arial" w:eastAsia="Arial" w:hAnsi="Arial"/>
          <w:sz w:val="18"/>
          <w:szCs w:val="18"/>
          <w:b w:val="1"/>
          <w:bCs w:val="1"/>
          <w:i w:val="1"/>
          <w:iCs w:val="1"/>
          <w:color w:val="auto"/>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spacing w:after="0" w:line="8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spacing w:after="0" w:line="210" w:lineRule="exact"/>
        <w:rPr>
          <w:sz w:val="20"/>
          <w:szCs w:val="20"/>
          <w:color w:val="auto"/>
        </w:rPr>
      </w:pPr>
    </w:p>
    <w:p>
      <w:pPr>
        <w:ind w:right="80" w:firstLine="509"/>
        <w:spacing w:after="0" w:line="268" w:lineRule="auto"/>
        <w:rPr>
          <w:sz w:val="20"/>
          <w:szCs w:val="20"/>
          <w:color w:val="auto"/>
        </w:rPr>
      </w:pPr>
      <w:r>
        <w:rPr>
          <w:rFonts w:ascii="Arial" w:cs="Arial" w:eastAsia="Arial" w:hAnsi="Arial"/>
          <w:sz w:val="18"/>
          <w:szCs w:val="18"/>
          <w:color w:val="auto"/>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w:t>
      </w:r>
    </w:p>
    <w:p>
      <w:pPr>
        <w:spacing w:after="0" w:line="208" w:lineRule="exact"/>
        <w:rPr>
          <w:sz w:val="20"/>
          <w:szCs w:val="20"/>
          <w:color w:val="auto"/>
        </w:rPr>
      </w:pPr>
    </w:p>
    <w:p>
      <w:pPr>
        <w:ind w:right="100" w:firstLine="509"/>
        <w:spacing w:after="0" w:line="268" w:lineRule="auto"/>
        <w:rPr>
          <w:sz w:val="20"/>
          <w:szCs w:val="20"/>
          <w:color w:val="auto"/>
        </w:rPr>
      </w:pPr>
      <w:r>
        <w:rPr>
          <w:rFonts w:ascii="Arial" w:cs="Arial" w:eastAsia="Arial" w:hAnsi="Arial"/>
          <w:sz w:val="18"/>
          <w:szCs w:val="18"/>
          <w:color w:val="auto"/>
        </w:rPr>
        <w:t>Our success depends on providing high-quality payment solutions that healthcare clients use to improve financial and operational performance, allow them to collect payments and enhance their revenue lifecycle management objectives and which are used and positively received by clients and their customers.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spacing w:after="0" w:line="268" w:lineRule="auto"/>
        <w:rPr>
          <w:sz w:val="20"/>
          <w:szCs w:val="20"/>
          <w:color w:val="auto"/>
        </w:rPr>
      </w:pPr>
      <w:r>
        <w:rPr>
          <w:rFonts w:ascii="Arial" w:cs="Arial" w:eastAsia="Arial" w:hAnsi="Arial"/>
          <w:sz w:val="18"/>
          <w:szCs w:val="18"/>
          <w:color w:val="auto"/>
        </w:rPr>
        <w:t>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spacing w:after="0" w:line="205"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which represents, and is expected to continue to represent for the foreseeable future, our second largest vertical by total payment volume and revenue, may have an adverse effect on our business, operating results and financial condition.</w:t>
      </w:r>
    </w:p>
    <w:p>
      <w:pPr>
        <w:spacing w:after="0" w:line="209"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spacing w:after="0" w:line="203" w:lineRule="exact"/>
        <w:rPr>
          <w:sz w:val="20"/>
          <w:szCs w:val="20"/>
          <w:color w:val="auto"/>
        </w:rPr>
      </w:pPr>
    </w:p>
    <w:p>
      <w:pPr>
        <w:ind w:right="100" w:firstLine="509"/>
        <w:spacing w:after="0" w:line="268" w:lineRule="auto"/>
        <w:rPr>
          <w:sz w:val="20"/>
          <w:szCs w:val="20"/>
          <w:color w:val="auto"/>
        </w:rPr>
      </w:pPr>
      <w:r>
        <w:rPr>
          <w:rFonts w:ascii="Arial" w:cs="Arial" w:eastAsia="Arial" w:hAnsi="Arial"/>
          <w:sz w:val="18"/>
          <w:szCs w:val="18"/>
          <w:color w:val="auto"/>
        </w:rPr>
        <w:t>Finally, our competitors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electronic health records space and business focused on revenue lifecycle management are critical to leverage if we are to add to our healthcare customer portfolio. Many of these companies may offer products and services similar to ours. If successful, their development efforts could render our solutions less desirable, resulting in the loss of our existing clients or a reduction in the fees we generate from our solutions.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serving clients in the travel sector may be sensitive to events affecting the travel industry in general.</w:t>
      </w:r>
    </w:p>
    <w:p>
      <w:pPr>
        <w:spacing w:after="0" w:line="153" w:lineRule="exact"/>
        <w:rPr>
          <w:sz w:val="20"/>
          <w:szCs w:val="20"/>
          <w:color w:val="auto"/>
        </w:rPr>
      </w:pPr>
    </w:p>
    <w:p>
      <w:pPr>
        <w:ind w:right="40" w:firstLine="509"/>
        <w:spacing w:after="0" w:line="266" w:lineRule="auto"/>
        <w:rPr>
          <w:sz w:val="20"/>
          <w:szCs w:val="20"/>
          <w:color w:val="auto"/>
        </w:rPr>
      </w:pPr>
      <w:r>
        <w:rPr>
          <w:rFonts w:ascii="Arial" w:cs="Arial" w:eastAsia="Arial" w:hAnsi="Arial"/>
          <w:sz w:val="18"/>
          <w:szCs w:val="18"/>
          <w:color w:val="auto"/>
        </w:rPr>
        <w:t>Events like regional or larger scale conflicts, terrorist attacks, mass shooting incidents, natural disasters, such as hurricanes, earthquakes, fires, droughts, floods and volcanic activity, and travel-related health events, such as the COVID-19 pandemic, have a negative impact on the travel industry and affect travelers’ behavior by limiting their ability or willingness to visit certain locations. We are not in a position to evaluate the net effect of these circumstances on our business as these events are largely unpredictable; however, we believe there has been negative impact to our business due to such events. Furthermore, in the longer term, our business might be negatively affected by financial pressures on or changes to the travel industry. For example, certain jurisdictions, particularly in Europe, are considering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The United States has implemented or proposed, or is considering, various travel restrictions and actions that could affect U.S. trade policy or practices, which could also adversely affect travel to or from the United States. If such events result in a long-term negative impact on the travel industry, such impact could have a material adverse effect on our business. The payment volume and resulting revenue from our travel vertical represents, and is expected for the foreseeable future to represent, less than 10% of our total payment volume and revenue. Because we seek to grow the payment volume and the revenue from this vertical in the future, failure to grow our payment volume and resulting revenue from this industry, may have an adverse effect on our business, operating results and financial condition.</w:t>
      </w:r>
    </w:p>
    <w:p>
      <w:pPr>
        <w:spacing w:after="0" w:line="21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In addition, the U.K’s withdrawal from the E.U. (Brexit), including uncertainty or delays in the implementation of Brexit, could continue to lead to economic uncertainty and have a negative impact on the travel industry and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0" w:name="page61"/>
    <w:bookmarkEnd w:id="60"/>
    <w:p>
      <w:pPr>
        <w:ind w:right="300"/>
        <w:spacing w:after="0" w:line="277" w:lineRule="auto"/>
        <w:rPr>
          <w:sz w:val="20"/>
          <w:szCs w:val="20"/>
          <w:color w:val="auto"/>
        </w:rPr>
      </w:pPr>
      <w:r>
        <w:rPr>
          <w:rFonts w:ascii="Arial" w:cs="Arial" w:eastAsia="Arial" w:hAnsi="Arial"/>
          <w:sz w:val="18"/>
          <w:szCs w:val="18"/>
          <w:color w:val="auto"/>
        </w:rPr>
        <w:t>European business. The U.K. could lose access to the single E.U. market, travel between the U.K. and E.U. countries could be restricted, and we could face new regulatory costs and challenges, the scope of which is presently unknown.</w:t>
      </w:r>
    </w:p>
    <w:p>
      <w:pPr>
        <w:spacing w:after="0" w:line="197"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With respect to the COVID-19 pandemic specifically, our 2020 financial results related to serving our existing travel clients and growing our client base in the travel sector were negatively impacted. In 2021, we have witnessed recoveries in our financial results and growth in revenue and payment volumes. While improvements have been noted, we are still experiencing impacts our travel clients. We expect the COVID-19 pandemic, including the emergence and spread of variants of COVID-19, will continue to negatively impact our business beyond 2021, but the extent and duration of such impact in the long term is largely uncertain as it is dependent on future developments that cannot be accurately predicted at this time, including but not limited to the severity and transmission rate of the virus, global availability of vaccines and administration of vaccination, the rate of “herd immunity” and the extent and effectiveness of containment actions taken, including mobility restrictions, and the impact of these and other factors on travel behavior.</w:t>
      </w:r>
    </w:p>
    <w:p>
      <w:pPr>
        <w:spacing w:after="0" w:line="296"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b w:val="1"/>
          <w:bCs w:val="1"/>
          <w:i w:val="1"/>
          <w:iCs w:val="1"/>
          <w:color w:val="auto"/>
        </w:rPr>
        <w:t>If we are unable to enter or expand new client verticals, including our relatively new B2B sector, or if our solutions for any new vertical fail to achieve market acceptance, our operating results could be adversely affected and we may be required to reconsider our growth strategy.</w:t>
      </w:r>
    </w:p>
    <w:p>
      <w:pPr>
        <w:spacing w:after="0" w:line="84" w:lineRule="exact"/>
        <w:rPr>
          <w:sz w:val="20"/>
          <w:szCs w:val="20"/>
          <w:color w:val="auto"/>
        </w:rPr>
      </w:pPr>
    </w:p>
    <w:p>
      <w:pPr>
        <w:ind w:right="80" w:firstLine="509"/>
        <w:spacing w:after="0" w:line="267" w:lineRule="auto"/>
        <w:rPr>
          <w:sz w:val="20"/>
          <w:szCs w:val="20"/>
          <w:color w:val="auto"/>
        </w:rPr>
      </w:pPr>
      <w:r>
        <w:rPr>
          <w:rFonts w:ascii="Arial" w:cs="Arial" w:eastAsia="Arial" w:hAnsi="Arial"/>
          <w:sz w:val="18"/>
          <w:szCs w:val="18"/>
          <w:color w:val="auto"/>
        </w:rPr>
        <w:t>Our growth strategy is influenced, in part, on our ability to expand into new client verticals, including our relatively new B2B payment vertical. The B2B sector represents a relatively new vertical market for us, and we have limited prior experience with the key ERP platforms that are critical to the B2B vertical. Accordingly, our lack of experience in the B2B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The payment volume and resulting revenue from our B2B payment vertical represents,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p>
    <w:p>
      <w:pPr>
        <w:spacing w:after="0" w:line="20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may be unable to identify new 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spacing w:after="0" w:line="203" w:lineRule="exact"/>
        <w:rPr>
          <w:sz w:val="20"/>
          <w:szCs w:val="20"/>
          <w:color w:val="auto"/>
        </w:rPr>
      </w:pPr>
    </w:p>
    <w:p>
      <w:pPr>
        <w:ind w:right="60" w:firstLine="509"/>
        <w:spacing w:after="0" w:line="267" w:lineRule="auto"/>
        <w:rPr>
          <w:sz w:val="20"/>
          <w:szCs w:val="20"/>
          <w:color w:val="auto"/>
        </w:rPr>
      </w:pPr>
      <w:r>
        <w:rPr>
          <w:rFonts w:ascii="Arial" w:cs="Arial" w:eastAsia="Arial" w:hAnsi="Arial"/>
          <w:sz w:val="18"/>
          <w:szCs w:val="18"/>
          <w:color w:val="auto"/>
        </w:rPr>
        <w:t>Even if we choose to enter new 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p>
    <w:p>
      <w:pPr>
        <w:spacing w:after="0" w:line="296" w:lineRule="exact"/>
        <w:rPr>
          <w:sz w:val="20"/>
          <w:szCs w:val="20"/>
          <w:color w:val="auto"/>
        </w:rPr>
      </w:pPr>
    </w:p>
    <w:p>
      <w:pPr>
        <w:ind w:right="240"/>
        <w:spacing w:after="0" w:line="303" w:lineRule="auto"/>
        <w:rPr>
          <w:sz w:val="20"/>
          <w:szCs w:val="20"/>
          <w:color w:val="auto"/>
        </w:rPr>
      </w:pPr>
      <w:r>
        <w:rPr>
          <w:rFonts w:ascii="Arial" w:cs="Arial" w:eastAsia="Arial" w:hAnsi="Arial"/>
          <w:sz w:val="18"/>
          <w:szCs w:val="18"/>
          <w:b w:val="1"/>
          <w:bCs w:val="1"/>
          <w:i w:val="1"/>
          <w:iCs w:val="1"/>
          <w:color w:val="auto"/>
        </w:rPr>
        <w:t>Consolidation in the payment processing or enablement industry could have a material adverse effect on our business, financial condition and results of operations.</w:t>
      </w:r>
    </w:p>
    <w:p>
      <w:pPr>
        <w:spacing w:after="0" w:line="66" w:lineRule="exact"/>
        <w:rPr>
          <w:sz w:val="20"/>
          <w:szCs w:val="20"/>
          <w:color w:val="auto"/>
        </w:rPr>
      </w:pPr>
    </w:p>
    <w:p>
      <w:pPr>
        <w:ind w:right="60" w:firstLine="509"/>
        <w:spacing w:after="0" w:line="267" w:lineRule="auto"/>
        <w:rPr>
          <w:sz w:val="20"/>
          <w:szCs w:val="20"/>
          <w:color w:val="auto"/>
        </w:rPr>
      </w:pPr>
      <w:r>
        <w:rPr>
          <w:rFonts w:ascii="Arial" w:cs="Arial" w:eastAsia="Arial" w:hAnsi="Arial"/>
          <w:sz w:val="18"/>
          <w:szCs w:val="18"/>
          <w:color w:val="auto"/>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31" w:lineRule="exact"/>
        <w:rPr>
          <w:sz w:val="20"/>
          <w:szCs w:val="20"/>
          <w:color w:val="auto"/>
        </w:rPr>
      </w:pPr>
    </w:p>
    <w:p>
      <w:pPr>
        <w:ind w:right="900"/>
        <w:spacing w:after="0" w:line="303"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growing client base, and if we are not able to grow efficiently, our operating results could be harmed.</w:t>
      </w:r>
    </w:p>
    <w:p>
      <w:pPr>
        <w:spacing w:after="0" w:line="66" w:lineRule="exact"/>
        <w:rPr>
          <w:sz w:val="20"/>
          <w:szCs w:val="20"/>
          <w:color w:val="auto"/>
        </w:rPr>
      </w:pPr>
    </w:p>
    <w:p>
      <w:pPr>
        <w:ind w:right="40" w:firstLine="509"/>
        <w:spacing w:after="0" w:line="269" w:lineRule="auto"/>
        <w:rPr>
          <w:sz w:val="20"/>
          <w:szCs w:val="20"/>
          <w:color w:val="auto"/>
        </w:rPr>
      </w:pPr>
      <w:r>
        <w:rPr>
          <w:rFonts w:ascii="Arial" w:cs="Arial" w:eastAsia="Arial" w:hAnsi="Arial"/>
          <w:sz w:val="18"/>
          <w:szCs w:val="18"/>
          <w:color w:val="auto"/>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assistance to clients’ customers and risk and compliance operations, to serve our growing client base.</w:t>
      </w:r>
    </w:p>
    <w:p>
      <w:pPr>
        <w:spacing w:after="0" w:line="206"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295" w:lineRule="exact"/>
        <w:rPr>
          <w:sz w:val="20"/>
          <w:szCs w:val="20"/>
          <w:color w:val="auto"/>
        </w:rPr>
      </w:pPr>
    </w:p>
    <w:p>
      <w:pPr>
        <w:ind w:right="480"/>
        <w:spacing w:after="0" w:line="303" w:lineRule="auto"/>
        <w:rPr>
          <w:sz w:val="20"/>
          <w:szCs w:val="20"/>
          <w:color w:val="auto"/>
        </w:rPr>
      </w:pPr>
      <w:r>
        <w:rPr>
          <w:rFonts w:ascii="Arial" w:cs="Arial" w:eastAsia="Arial" w:hAnsi="Arial"/>
          <w:sz w:val="18"/>
          <w:szCs w:val="18"/>
          <w:b w:val="1"/>
          <w:bCs w:val="1"/>
          <w:i w:val="1"/>
          <w:iCs w:val="1"/>
          <w:color w:val="auto"/>
        </w:rPr>
        <w:t>We enable the transfer of large sums of funds to our clients daily, and are subject to the risk of errors, which could result in financial losses, damage to our reputation, or loss of trust in our brand, which would harm our business and financial results.</w:t>
      </w:r>
    </w:p>
    <w:p>
      <w:pPr>
        <w:spacing w:after="0" w:line="66" w:lineRule="exact"/>
        <w:rPr>
          <w:sz w:val="20"/>
          <w:szCs w:val="20"/>
          <w:color w:val="auto"/>
        </w:rPr>
      </w:pPr>
    </w:p>
    <w:p>
      <w:pPr>
        <w:ind w:right="40" w:firstLine="509"/>
        <w:spacing w:after="0" w:line="268" w:lineRule="auto"/>
        <w:rPr>
          <w:sz w:val="20"/>
          <w:szCs w:val="20"/>
          <w:color w:val="auto"/>
        </w:rPr>
      </w:pPr>
      <w:r>
        <w:rPr>
          <w:rFonts w:ascii="Arial" w:cs="Arial" w:eastAsia="Arial" w:hAnsi="Arial"/>
          <w:sz w:val="18"/>
          <w:szCs w:val="18"/>
          <w:color w:val="auto"/>
        </w:rPr>
        <w:t>For the year ended December 31, 2020, we processed over $7.5 billion in payments on our solutions, compared to approximately $5.8 billion for the year ended December 31, 2019. For the nine months ended September 30, 2021, we processed approximately $4.8 billion in payments on our solutions. We have grown rapidly and seek to continue to grow, and our business is subject to the risk of financial losses as a result of chargebacks for client-related losses, credit losses, operational errors, software defects, service disruption, employee misconduct, security breaches, or other similar actions or errors in our solutions. As a provider of accounts receivable and other payment solutions, we enable the transfer of funds to our clients from their customers. Software errors in our solutions and operational errors by our FlyMates and business partners may also expose us to losses.</w:t>
      </w:r>
    </w:p>
    <w:p>
      <w:pPr>
        <w:spacing w:after="0" w:line="205" w:lineRule="exact"/>
        <w:rPr>
          <w:sz w:val="20"/>
          <w:szCs w:val="20"/>
          <w:color w:val="auto"/>
        </w:rPr>
      </w:pPr>
    </w:p>
    <w:p>
      <w:pPr>
        <w:jc w:val="both"/>
        <w:ind w:right="600" w:firstLine="509"/>
        <w:spacing w:after="0" w:line="269" w:lineRule="auto"/>
        <w:rPr>
          <w:sz w:val="20"/>
          <w:szCs w:val="20"/>
          <w:color w:val="auto"/>
        </w:rPr>
      </w:pPr>
      <w:r>
        <w:rPr>
          <w:rFonts w:ascii="Arial" w:cs="Arial" w:eastAsia="Arial" w:hAnsi="Arial"/>
          <w:sz w:val="18"/>
          <w:szCs w:val="18"/>
          <w:color w:val="auto"/>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spacing w:after="0" w:line="9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loss of clients or a reduction in use of our solutions by our clients’ customers;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lost or delayed market acceptance and acquisition of new clients;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legal claims against us;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regulatory enforcement action; or</w:t>
      </w:r>
    </w:p>
    <w:p>
      <w:pPr>
        <w:spacing w:after="0" w:line="131" w:lineRule="exact"/>
        <w:rPr>
          <w:sz w:val="20"/>
          <w:szCs w:val="20"/>
          <w:color w:val="auto"/>
        </w:rPr>
      </w:pPr>
    </w:p>
    <w:p>
      <w:pPr>
        <w:ind w:left="960" w:right="460"/>
        <w:spacing w:after="0" w:line="277" w:lineRule="auto"/>
        <w:rPr>
          <w:sz w:val="20"/>
          <w:szCs w:val="20"/>
          <w:color w:val="auto"/>
        </w:rPr>
      </w:pPr>
      <w:r>
        <w:rPr>
          <w:rFonts w:ascii="Arial" w:cs="Arial" w:eastAsia="Arial" w:hAnsi="Arial"/>
          <w:sz w:val="18"/>
          <w:szCs w:val="18"/>
          <w:color w:val="auto"/>
        </w:rPr>
        <w:t>diversion of our resources, including through increased service expenses or financial concessions, and increased insurance costs.</w:t>
      </w:r>
    </w:p>
    <w:p>
      <w:pPr>
        <w:spacing w:after="0" w:line="197"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spacing w:after="0" w:line="289" w:lineRule="exact"/>
        <w:rPr>
          <w:sz w:val="20"/>
          <w:szCs w:val="20"/>
          <w:color w:val="auto"/>
        </w:rPr>
      </w:pPr>
    </w:p>
    <w:p>
      <w:pPr>
        <w:ind w:right="240"/>
        <w:spacing w:after="0" w:line="284" w:lineRule="auto"/>
        <w:rPr>
          <w:sz w:val="20"/>
          <w:szCs w:val="20"/>
          <w:color w:val="auto"/>
        </w:rPr>
      </w:pPr>
      <w:r>
        <w:rPr>
          <w:rFonts w:ascii="Arial" w:cs="Arial" w:eastAsia="Arial" w:hAnsi="Arial"/>
          <w:sz w:val="18"/>
          <w:szCs w:val="18"/>
          <w:b w:val="1"/>
          <w:bCs w:val="1"/>
          <w:i w:val="1"/>
          <w:iCs w:val="1"/>
          <w:color w:val="auto"/>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spacing w:after="0" w:line="84"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continued growth and development of our proprietary global payments network will also depend on our ability to anticipate and adapt to changes in client and customer behavior. For example, behavior may change regarding the use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ind w:right="40"/>
        <w:spacing w:after="0" w:line="268" w:lineRule="auto"/>
        <w:rPr>
          <w:sz w:val="20"/>
          <w:szCs w:val="20"/>
          <w:color w:val="auto"/>
        </w:rPr>
      </w:pPr>
      <w:r>
        <w:rPr>
          <w:rFonts w:ascii="Arial" w:cs="Arial" w:eastAsia="Arial" w:hAnsi="Arial"/>
          <w:sz w:val="18"/>
          <w:szCs w:val="18"/>
          <w:color w:val="auto"/>
        </w:rPr>
        <w:t>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spacing w:after="0" w:line="208"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profits, and operating results.</w:t>
      </w:r>
    </w:p>
    <w:p>
      <w:pPr>
        <w:spacing w:after="0" w:line="203" w:lineRule="exact"/>
        <w:rPr>
          <w:sz w:val="20"/>
          <w:szCs w:val="20"/>
          <w:color w:val="auto"/>
        </w:rPr>
      </w:pPr>
    </w:p>
    <w:p>
      <w:pPr>
        <w:ind w:right="160" w:firstLine="509"/>
        <w:spacing w:after="0" w:line="268" w:lineRule="auto"/>
        <w:rPr>
          <w:sz w:val="20"/>
          <w:szCs w:val="20"/>
          <w:color w:val="auto"/>
        </w:rPr>
      </w:pPr>
      <w:r>
        <w:rPr>
          <w:rFonts w:ascii="Arial" w:cs="Arial" w:eastAsia="Arial" w:hAnsi="Arial"/>
          <w:sz w:val="18"/>
          <w:szCs w:val="18"/>
          <w:color w:val="auto"/>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spacing w:after="0" w:line="291"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b w:val="1"/>
          <w:bCs w:val="1"/>
          <w:i w:val="1"/>
          <w:iCs w:val="1"/>
          <w:color w:val="auto"/>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spacing w:after="0" w:line="84"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spacing w:after="0" w:line="208" w:lineRule="exact"/>
        <w:rPr>
          <w:sz w:val="20"/>
          <w:szCs w:val="20"/>
          <w:color w:val="auto"/>
        </w:rPr>
      </w:pPr>
    </w:p>
    <w:p>
      <w:pPr>
        <w:ind w:right="40" w:firstLine="509"/>
        <w:spacing w:after="0" w:line="267" w:lineRule="auto"/>
        <w:rPr>
          <w:sz w:val="20"/>
          <w:szCs w:val="20"/>
          <w:color w:val="auto"/>
        </w:rPr>
      </w:pPr>
      <w:r>
        <w:rPr>
          <w:rFonts w:ascii="Arial" w:cs="Arial" w:eastAsia="Arial" w:hAnsi="Arial"/>
          <w:sz w:val="18"/>
          <w:szCs w:val="18"/>
          <w:color w:val="auto"/>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National Automated Clearing House Association (NACHA), which manages the governance of the Automated Clearing House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customers for our failure or the failure of third parties with whom we contract to protect this data in accordance with Payment Card Industry Data Security Standards (PCI DSS) and network requirements. The loss, destruction or unauthorized modification or disclosure of merchant or cardholder data by us or our contracted third parties could result in significant fines, sanctions and proceedings or actions against us by the payment networks, governmental entities, clients, client customers or others and damage our reputation.</w:t>
      </w:r>
    </w:p>
    <w:p>
      <w:pPr>
        <w:spacing w:after="0" w:line="208" w:lineRule="exact"/>
        <w:rPr>
          <w:sz w:val="20"/>
          <w:szCs w:val="20"/>
          <w:color w:val="auto"/>
        </w:rPr>
      </w:pPr>
    </w:p>
    <w:p>
      <w:pPr>
        <w:ind w:right="20" w:firstLine="509"/>
        <w:spacing w:after="0" w:line="267" w:lineRule="auto"/>
        <w:rPr>
          <w:sz w:val="20"/>
          <w:szCs w:val="20"/>
          <w:color w:val="auto"/>
        </w:rPr>
      </w:pPr>
      <w:r>
        <w:rPr>
          <w:rFonts w:ascii="Arial" w:cs="Arial" w:eastAsia="Arial" w:hAnsi="Arial"/>
          <w:sz w:val="18"/>
          <w:szCs w:val="18"/>
          <w:color w:val="auto"/>
        </w:rPr>
        <w:t>Similarly, there are existing regulatory regimes designed to protect the privacy of categories of personal or otherwise sensitive data. Relevant U.S. federal privacy laws include the Family Educational Rights and Privacy Act (FERPA), the Gramm-Leach-Bliley Act (GLBA), and the Health Insurance Portability and Accountability Act (HIPAA). We also are subject to stringent contractual obligations relating to the handling of such data, including obligations that are more restrictive than legally required. For example, under HIPAA, the information we collect during the payment experience may include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the regulators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3" w:name="page64"/>
    <w:bookmarkEnd w:id="63"/>
    <w:p>
      <w:pPr>
        <w:ind w:right="140"/>
        <w:spacing w:after="0" w:line="277" w:lineRule="auto"/>
        <w:rPr>
          <w:sz w:val="20"/>
          <w:szCs w:val="20"/>
          <w:color w:val="auto"/>
        </w:rPr>
      </w:pPr>
      <w:r>
        <w:rPr>
          <w:rFonts w:ascii="Arial" w:cs="Arial" w:eastAsia="Arial" w:hAnsi="Arial"/>
          <w:sz w:val="18"/>
          <w:szCs w:val="18"/>
          <w:color w:val="auto"/>
        </w:rPr>
        <w:t>of Flywire and our clients. Any unauthorized disclosure of PHI or other data we are obligated to protect by regulation or contract could result in significant fines, sanctions, or requirements to take corrective action that could materially adversely affect our reputation and business.</w:t>
      </w:r>
    </w:p>
    <w:p>
      <w:pPr>
        <w:spacing w:after="0" w:line="197" w:lineRule="exact"/>
        <w:rPr>
          <w:sz w:val="20"/>
          <w:szCs w:val="20"/>
          <w:color w:val="auto"/>
        </w:rPr>
      </w:pPr>
    </w:p>
    <w:p>
      <w:pPr>
        <w:ind w:right="60" w:firstLine="509"/>
        <w:spacing w:after="0" w:line="267" w:lineRule="auto"/>
        <w:rPr>
          <w:sz w:val="20"/>
          <w:szCs w:val="20"/>
          <w:color w:val="auto"/>
        </w:rPr>
      </w:pPr>
      <w:r>
        <w:rPr>
          <w:rFonts w:ascii="Arial" w:cs="Arial" w:eastAsia="Arial" w:hAnsi="Arial"/>
          <w:sz w:val="18"/>
          <w:szCs w:val="18"/>
          <w:color w:val="auto"/>
        </w:rPr>
        <w:t>Threats may derive from human error, fraud, or malice on the part of employees or third parties, or from accidental technological failure. For example, certain of our employees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spacing w:after="0" w:line="208" w:lineRule="exact"/>
        <w:rPr>
          <w:sz w:val="20"/>
          <w:szCs w:val="20"/>
          <w:color w:val="auto"/>
        </w:rPr>
      </w:pPr>
    </w:p>
    <w:p>
      <w:pPr>
        <w:ind w:right="20" w:firstLine="509"/>
        <w:spacing w:after="0" w:line="267" w:lineRule="auto"/>
        <w:rPr>
          <w:sz w:val="20"/>
          <w:szCs w:val="20"/>
          <w:color w:val="auto"/>
        </w:rPr>
      </w:pPr>
      <w:r>
        <w:rPr>
          <w:rFonts w:ascii="Arial" w:cs="Arial" w:eastAsia="Arial" w:hAnsi="Arial"/>
          <w:sz w:val="18"/>
          <w:szCs w:val="18"/>
          <w:color w:val="auto"/>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208" w:lineRule="exact"/>
        <w:rPr>
          <w:sz w:val="20"/>
          <w:szCs w:val="20"/>
          <w:color w:val="auto"/>
        </w:rPr>
      </w:pPr>
    </w:p>
    <w:p>
      <w:pPr>
        <w:ind w:right="100" w:firstLine="509"/>
        <w:spacing w:after="0" w:line="266" w:lineRule="auto"/>
        <w:rPr>
          <w:sz w:val="20"/>
          <w:szCs w:val="20"/>
          <w:color w:val="auto"/>
        </w:rPr>
      </w:pPr>
      <w:r>
        <w:rPr>
          <w:rFonts w:ascii="Arial" w:cs="Arial" w:eastAsia="Arial" w:hAnsi="Arial"/>
          <w:sz w:val="18"/>
          <w:szCs w:val="18"/>
          <w:color w:val="auto"/>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Because of this, we face additional cybersecurity challenges, including threats to our own IT infrastructure or those of our clients, our customers’ clients,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spacing w:after="0" w:line="217" w:lineRule="exact"/>
        <w:rPr>
          <w:sz w:val="20"/>
          <w:szCs w:val="20"/>
          <w:color w:val="auto"/>
        </w:rPr>
      </w:pPr>
    </w:p>
    <w:p>
      <w:pPr>
        <w:ind w:right="80" w:firstLine="509"/>
        <w:spacing w:after="0" w:line="269"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customers, suppliers or other vendors. While we are not currently aware of any impact that the SolarWinds supply chain attack had on our business, this is a recent event, and the scope of the attack is yet unknown. Therefore, there is residual risk that we may experience a security breach arising from the SolarWinds supply chain attack.</w:t>
      </w:r>
    </w:p>
    <w:p>
      <w:pPr>
        <w:spacing w:after="0" w:line="206"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4" w:name="page65"/>
    <w:bookmarkEnd w:id="64"/>
    <w:p>
      <w:pPr>
        <w:spacing w:after="0" w:line="267" w:lineRule="auto"/>
        <w:rPr>
          <w:sz w:val="20"/>
          <w:szCs w:val="20"/>
          <w:color w:val="auto"/>
        </w:rPr>
      </w:pPr>
      <w:r>
        <w:rPr>
          <w:rFonts w:ascii="Arial" w:cs="Arial" w:eastAsia="Arial" w:hAnsi="Arial"/>
          <w:sz w:val="18"/>
          <w:szCs w:val="18"/>
          <w:color w:val="auto"/>
        </w:rPr>
        <w:t>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w:t>
      </w:r>
    </w:p>
    <w:p>
      <w:pPr>
        <w:spacing w:after="0" w:line="208" w:lineRule="exact"/>
        <w:rPr>
          <w:sz w:val="20"/>
          <w:szCs w:val="20"/>
          <w:color w:val="auto"/>
        </w:rPr>
      </w:pPr>
    </w:p>
    <w:p>
      <w:pPr>
        <w:ind w:right="100" w:firstLine="509"/>
        <w:spacing w:after="0" w:line="267" w:lineRule="auto"/>
        <w:rPr>
          <w:sz w:val="20"/>
          <w:szCs w:val="20"/>
          <w:color w:val="auto"/>
        </w:rPr>
      </w:pPr>
      <w:r>
        <w:rPr>
          <w:rFonts w:ascii="Arial" w:cs="Arial" w:eastAsia="Arial" w:hAnsi="Arial"/>
          <w:sz w:val="18"/>
          <w:szCs w:val="18"/>
          <w:color w:val="auto"/>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p>
    <w:p>
      <w:pPr>
        <w:spacing w:after="0" w:line="209" w:lineRule="exact"/>
        <w:rPr>
          <w:sz w:val="20"/>
          <w:szCs w:val="20"/>
          <w:color w:val="auto"/>
        </w:rPr>
      </w:pPr>
    </w:p>
    <w:p>
      <w:pPr>
        <w:ind w:right="40" w:firstLine="509"/>
        <w:spacing w:after="0" w:line="268" w:lineRule="auto"/>
        <w:rPr>
          <w:sz w:val="20"/>
          <w:szCs w:val="20"/>
          <w:color w:val="auto"/>
        </w:rPr>
      </w:pPr>
      <w:r>
        <w:rPr>
          <w:rFonts w:ascii="Arial" w:cs="Arial" w:eastAsia="Arial" w:hAnsi="Arial"/>
          <w:sz w:val="18"/>
          <w:szCs w:val="18"/>
          <w:color w:val="auto"/>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94" w:lineRule="exact"/>
        <w:rPr>
          <w:sz w:val="20"/>
          <w:szCs w:val="20"/>
          <w:color w:val="auto"/>
        </w:rPr>
      </w:pPr>
    </w:p>
    <w:p>
      <w:pPr>
        <w:ind w:right="540"/>
        <w:spacing w:after="0" w:line="303"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by our customers, employees or other third parties, which could expose us to material financial losses and liability and otherwise harm our business.</w:t>
      </w:r>
    </w:p>
    <w:p>
      <w:pPr>
        <w:spacing w:after="0" w:line="66" w:lineRule="exact"/>
        <w:rPr>
          <w:sz w:val="20"/>
          <w:szCs w:val="20"/>
          <w:color w:val="auto"/>
        </w:rPr>
      </w:pPr>
    </w:p>
    <w:p>
      <w:pPr>
        <w:jc w:val="both"/>
        <w:ind w:right="180" w:firstLine="509"/>
        <w:spacing w:after="0" w:line="268" w:lineRule="auto"/>
        <w:rPr>
          <w:sz w:val="20"/>
          <w:szCs w:val="20"/>
          <w:color w:val="auto"/>
        </w:rPr>
      </w:pPr>
      <w:r>
        <w:rPr>
          <w:rFonts w:ascii="Arial" w:cs="Arial" w:eastAsia="Arial" w:hAnsi="Arial"/>
          <w:sz w:val="18"/>
          <w:szCs w:val="18"/>
          <w:color w:val="auto"/>
        </w:rPr>
        <w:t>Our software provides payment facilitation solutions for a large number of clients and our clients’ customers. We are responsible for performing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 fraud, account takeover, false applications, and fake invoicing. We may suffer losses from acts of financial fraud committed by our clients, our clients’ customers, our employees and payment partners or third-parties.</w:t>
      </w:r>
    </w:p>
    <w:p>
      <w:pPr>
        <w:spacing w:after="0" w:line="208" w:lineRule="exact"/>
        <w:rPr>
          <w:sz w:val="20"/>
          <w:szCs w:val="20"/>
          <w:color w:val="auto"/>
        </w:rPr>
      </w:pPr>
    </w:p>
    <w:p>
      <w:pPr>
        <w:ind w:right="20" w:firstLine="509"/>
        <w:spacing w:after="0" w:line="267" w:lineRule="auto"/>
        <w:rPr>
          <w:sz w:val="20"/>
          <w:szCs w:val="20"/>
          <w:color w:val="auto"/>
        </w:rPr>
      </w:pPr>
      <w:r>
        <w:rPr>
          <w:rFonts w:ascii="Arial" w:cs="Arial" w:eastAsia="Arial" w:hAnsi="Arial"/>
          <w:sz w:val="18"/>
          <w:szCs w:val="18"/>
          <w:color w:val="auto"/>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employees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w:t>
      </w:r>
    </w:p>
    <w:p>
      <w:pPr>
        <w:spacing w:after="0" w:line="210" w:lineRule="exact"/>
        <w:rPr>
          <w:sz w:val="20"/>
          <w:szCs w:val="20"/>
          <w:color w:val="auto"/>
        </w:rPr>
      </w:pPr>
    </w:p>
    <w:p>
      <w:pPr>
        <w:ind w:right="120" w:firstLine="509"/>
        <w:spacing w:after="0" w:line="268" w:lineRule="auto"/>
        <w:rPr>
          <w:sz w:val="20"/>
          <w:szCs w:val="20"/>
          <w:color w:val="auto"/>
        </w:rPr>
      </w:pPr>
      <w:r>
        <w:rPr>
          <w:rFonts w:ascii="Arial" w:cs="Arial" w:eastAsia="Arial" w:hAnsi="Arial"/>
          <w:sz w:val="18"/>
          <w:szCs w:val="18"/>
          <w:color w:val="auto"/>
        </w:rPr>
        <w:t>Our current business and anticipated growth will continue to place significant demands on our risk management efforts, and we will need to continue developing and improving and investing in our existing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65" w:name="page66"/>
    <w:bookmarkEnd w:id="65"/>
    <w:p>
      <w:pPr>
        <w:ind w:right="140"/>
        <w:spacing w:after="0" w:line="277" w:lineRule="auto"/>
        <w:rPr>
          <w:sz w:val="20"/>
          <w:szCs w:val="20"/>
          <w:color w:val="auto"/>
        </w:rPr>
      </w:pPr>
      <w:r>
        <w:rPr>
          <w:rFonts w:ascii="Arial" w:cs="Arial" w:eastAsia="Arial" w:hAnsi="Arial"/>
          <w:sz w:val="18"/>
          <w:szCs w:val="18"/>
          <w:color w:val="auto"/>
        </w:rPr>
        <w:t>of fraudulent activities targeting our solutions can also expose us to civil and criminal liability, governmental and regulatory sanctions as well as potentially cause us to be in breach of our contractual obligations to our clients and partners.</w:t>
      </w:r>
    </w:p>
    <w:p>
      <w:pPr>
        <w:spacing w:after="0" w:line="283" w:lineRule="exact"/>
        <w:rPr>
          <w:sz w:val="20"/>
          <w:szCs w:val="20"/>
          <w:color w:val="auto"/>
        </w:rPr>
      </w:pPr>
    </w:p>
    <w:p>
      <w:pPr>
        <w:ind w:right="760"/>
        <w:spacing w:after="0" w:line="303" w:lineRule="auto"/>
        <w:rPr>
          <w:sz w:val="20"/>
          <w:szCs w:val="20"/>
          <w:color w:val="auto"/>
        </w:rPr>
      </w:pPr>
      <w:r>
        <w:rPr>
          <w:rFonts w:ascii="Arial" w:cs="Arial" w:eastAsia="Arial" w:hAnsi="Arial"/>
          <w:sz w:val="18"/>
          <w:szCs w:val="18"/>
          <w:b w:val="1"/>
          <w:bCs w:val="1"/>
          <w:i w:val="1"/>
          <w:iCs w:val="1"/>
          <w:color w:val="auto"/>
        </w:rPr>
        <w:t>We are exposed to fluctuations in foreign currency exchange rates that could materially and adversely affect our results of operations.</w:t>
      </w:r>
    </w:p>
    <w:p>
      <w:pPr>
        <w:spacing w:after="0" w:line="66"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could result in the dollar equivalent of our expenses being higher which may not be offset by additional revenue earned in the local currency. This could have a negative impact on our reported results of operations.</w:t>
      </w:r>
    </w:p>
    <w:p>
      <w:pPr>
        <w:spacing w:after="0" w:line="209" w:lineRule="exact"/>
        <w:rPr>
          <w:sz w:val="20"/>
          <w:szCs w:val="20"/>
          <w:color w:val="auto"/>
        </w:rPr>
      </w:pPr>
    </w:p>
    <w:p>
      <w:pPr>
        <w:ind w:right="220" w:firstLine="509"/>
        <w:spacing w:after="0" w:line="268" w:lineRule="auto"/>
        <w:rPr>
          <w:sz w:val="20"/>
          <w:szCs w:val="20"/>
          <w:color w:val="auto"/>
        </w:rPr>
      </w:pPr>
      <w:r>
        <w:rPr>
          <w:rFonts w:ascii="Arial" w:cs="Arial" w:eastAsia="Arial" w:hAnsi="Arial"/>
          <w:sz w:val="18"/>
          <w:szCs w:val="18"/>
          <w:color w:val="auto"/>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spacing w:after="0" w:line="208" w:lineRule="exact"/>
        <w:rPr>
          <w:sz w:val="20"/>
          <w:szCs w:val="20"/>
          <w:color w:val="auto"/>
        </w:rPr>
      </w:pPr>
    </w:p>
    <w:p>
      <w:pPr>
        <w:ind w:right="40" w:firstLine="509"/>
        <w:spacing w:after="0" w:line="268" w:lineRule="auto"/>
        <w:rPr>
          <w:sz w:val="20"/>
          <w:szCs w:val="20"/>
          <w:color w:val="auto"/>
        </w:rPr>
      </w:pPr>
      <w:r>
        <w:rPr>
          <w:rFonts w:ascii="Arial" w:cs="Arial" w:eastAsia="Arial" w:hAnsi="Arial"/>
          <w:sz w:val="18"/>
          <w:szCs w:val="18"/>
          <w:color w:val="auto"/>
        </w:rPr>
        <w:t>As our international operations continue to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In addition, currency fluctuations or a weakening U.S. dollar can increase the costs of our international operations, and the strengthening U.S. dollar could slow international demand as solutions priced in the U.S. dollar become more expensive.</w:t>
      </w:r>
    </w:p>
    <w:p>
      <w:pPr>
        <w:spacing w:after="0" w:line="294" w:lineRule="exact"/>
        <w:rPr>
          <w:sz w:val="20"/>
          <w:szCs w:val="20"/>
          <w:color w:val="auto"/>
        </w:rPr>
      </w:pPr>
    </w:p>
    <w:p>
      <w:pPr>
        <w:jc w:val="both"/>
        <w:ind w:right="120"/>
        <w:spacing w:after="0" w:line="284"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and changing business needs, requirements, or preferences, or if we fail to continue to grow and develop our payments solutions, our business may be materially and adversely affected.</w:t>
      </w:r>
    </w:p>
    <w:p>
      <w:pPr>
        <w:spacing w:after="0" w:line="84" w:lineRule="exact"/>
        <w:rPr>
          <w:sz w:val="20"/>
          <w:szCs w:val="20"/>
          <w:color w:val="auto"/>
        </w:rPr>
      </w:pPr>
    </w:p>
    <w:p>
      <w:pPr>
        <w:ind w:right="140" w:firstLine="509"/>
        <w:spacing w:after="0" w:line="288" w:lineRule="auto"/>
        <w:rPr>
          <w:sz w:val="20"/>
          <w:szCs w:val="20"/>
          <w:color w:val="auto"/>
        </w:rPr>
      </w:pPr>
      <w:r>
        <w:rPr>
          <w:rFonts w:ascii="Arial" w:cs="Arial" w:eastAsia="Arial" w:hAnsi="Arial"/>
          <w:sz w:val="17"/>
          <w:szCs w:val="17"/>
          <w:color w:val="auto"/>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The success of our business will depend, in part, on our ability to adapt and respond effectively to these changes through methods which include launching new solutions.</w:t>
      </w:r>
    </w:p>
    <w:p>
      <w:pPr>
        <w:spacing w:after="0" w:line="191" w:lineRule="exact"/>
        <w:rPr>
          <w:sz w:val="20"/>
          <w:szCs w:val="20"/>
          <w:color w:val="auto"/>
        </w:rPr>
      </w:pPr>
    </w:p>
    <w:p>
      <w:pPr>
        <w:ind w:right="80" w:firstLine="509"/>
        <w:spacing w:after="0" w:line="267" w:lineRule="auto"/>
        <w:rPr>
          <w:sz w:val="20"/>
          <w:szCs w:val="20"/>
          <w:color w:val="auto"/>
        </w:rPr>
      </w:pPr>
      <w:r>
        <w:rPr>
          <w:rFonts w:ascii="Arial" w:cs="Arial" w:eastAsia="Arial" w:hAnsi="Arial"/>
          <w:sz w:val="18"/>
          <w:szCs w:val="18"/>
          <w:color w:val="auto"/>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Valencia, Spain, Cluj, Romania, Chicago and Tel Aviv, Israel),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customers' dissatisfaction and adversely affect our business.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payment card networks fees or rules could harm our business.</w:t>
      </w:r>
    </w:p>
    <w:p>
      <w:pPr>
        <w:spacing w:after="0" w:line="153"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We are required to comply with MasterCard, American Express, and Visa payment card network operating rules and the rules of other regional card (such as China Unionpay or JCB) or payment providers, in connection with our solutions. We have agreed to reimburse our merchant acquirers for any fines they are assessed by payment card networks as 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6" w:name="page67"/>
    <w:bookmarkEnd w:id="66"/>
    <w:p>
      <w:pPr>
        <w:spacing w:after="0" w:line="266" w:lineRule="auto"/>
        <w:rPr>
          <w:sz w:val="20"/>
          <w:szCs w:val="20"/>
          <w:color w:val="auto"/>
        </w:rPr>
      </w:pPr>
      <w:r>
        <w:rPr>
          <w:rFonts w:ascii="Arial" w:cs="Arial" w:eastAsia="Arial" w:hAnsi="Arial"/>
          <w:sz w:val="18"/>
          <w:szCs w:val="18"/>
          <w:color w:val="auto"/>
        </w:rPr>
        <w:t>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spacing w:after="0" w:line="303"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b w:val="1"/>
          <w:bCs w:val="1"/>
          <w:i w:val="1"/>
          <w:iCs w:val="1"/>
          <w:color w:val="auto"/>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spacing w:after="0" w:line="84" w:lineRule="exact"/>
        <w:rPr>
          <w:sz w:val="20"/>
          <w:szCs w:val="20"/>
          <w:color w:val="auto"/>
        </w:rPr>
      </w:pPr>
    </w:p>
    <w:p>
      <w:pPr>
        <w:ind w:right="80" w:firstLine="509"/>
        <w:spacing w:after="0" w:line="269" w:lineRule="auto"/>
        <w:rPr>
          <w:sz w:val="20"/>
          <w:szCs w:val="20"/>
          <w:color w:val="auto"/>
        </w:rPr>
      </w:pPr>
      <w:r>
        <w:rPr>
          <w:rFonts w:ascii="Arial" w:cs="Arial" w:eastAsia="Arial" w:hAnsi="Arial"/>
          <w:sz w:val="18"/>
          <w:szCs w:val="18"/>
          <w:color w:val="auto"/>
        </w:rPr>
        <w:t>Our solutions integrate with enterprise resource planning systems, such as Ellucian Company, L.P. in education, Epic Systems Corporation in healthcare, Rezdy Pty Ltd in travel and Oracle Corporation in B2B payments.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spacing w:after="0" w:line="206" w:lineRule="exact"/>
        <w:rPr>
          <w:sz w:val="20"/>
          <w:szCs w:val="20"/>
          <w:color w:val="auto"/>
        </w:rPr>
      </w:pPr>
    </w:p>
    <w:p>
      <w:pPr>
        <w:jc w:val="both"/>
        <w:ind w:right="540" w:firstLine="509"/>
        <w:spacing w:after="0" w:line="271" w:lineRule="auto"/>
        <w:rPr>
          <w:sz w:val="20"/>
          <w:szCs w:val="20"/>
          <w:color w:val="auto"/>
        </w:rPr>
      </w:pPr>
      <w:r>
        <w:rPr>
          <w:rFonts w:ascii="Arial" w:cs="Arial" w:eastAsia="Arial" w:hAnsi="Arial"/>
          <w:sz w:val="18"/>
          <w:szCs w:val="18"/>
          <w:color w:val="auto"/>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spacing w:after="0" w:line="203" w:lineRule="exact"/>
        <w:rPr>
          <w:sz w:val="20"/>
          <w:szCs w:val="20"/>
          <w:color w:val="auto"/>
        </w:rPr>
      </w:pPr>
    </w:p>
    <w:p>
      <w:pPr>
        <w:ind w:right="100" w:firstLine="509"/>
        <w:spacing w:after="0" w:line="268" w:lineRule="auto"/>
        <w:rPr>
          <w:sz w:val="20"/>
          <w:szCs w:val="20"/>
          <w:color w:val="auto"/>
        </w:rPr>
      </w:pPr>
      <w:r>
        <w:rPr>
          <w:rFonts w:ascii="Arial" w:cs="Arial" w:eastAsia="Arial" w:hAnsi="Arial"/>
          <w:sz w:val="18"/>
          <w:szCs w:val="18"/>
          <w:color w:val="auto"/>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p>
    <w:p>
      <w:pPr>
        <w:spacing w:after="0" w:line="206" w:lineRule="exact"/>
        <w:rPr>
          <w:sz w:val="20"/>
          <w:szCs w:val="20"/>
          <w:color w:val="auto"/>
        </w:rPr>
      </w:pPr>
    </w:p>
    <w:p>
      <w:pPr>
        <w:jc w:val="both"/>
        <w:ind w:right="20" w:firstLine="509"/>
        <w:spacing w:after="0" w:line="294" w:lineRule="auto"/>
        <w:rPr>
          <w:sz w:val="20"/>
          <w:szCs w:val="20"/>
          <w:color w:val="auto"/>
        </w:rPr>
      </w:pPr>
      <w:r>
        <w:rPr>
          <w:rFonts w:ascii="Arial" w:cs="Arial" w:eastAsia="Arial" w:hAnsi="Arial"/>
          <w:sz w:val="17"/>
          <w:szCs w:val="17"/>
          <w:color w:val="auto"/>
        </w:rPr>
        <w:t>If any of the third party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spacing w:after="0" w:line="272" w:lineRule="exact"/>
        <w:rPr>
          <w:sz w:val="20"/>
          <w:szCs w:val="20"/>
          <w:color w:val="auto"/>
        </w:rPr>
      </w:pPr>
    </w:p>
    <w:p>
      <w:pPr>
        <w:ind w:right="440"/>
        <w:spacing w:after="0" w:line="303"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client base will be impaired and our business, operating results, and financial condition may suffer.</w:t>
      </w:r>
    </w:p>
    <w:p>
      <w:pPr>
        <w:spacing w:after="0" w:line="66" w:lineRule="exact"/>
        <w:rPr>
          <w:sz w:val="20"/>
          <w:szCs w:val="20"/>
          <w:color w:val="auto"/>
        </w:rPr>
      </w:pPr>
    </w:p>
    <w:p>
      <w:pPr>
        <w:ind w:right="100" w:firstLine="509"/>
        <w:spacing w:after="0" w:line="267" w:lineRule="auto"/>
        <w:rPr>
          <w:sz w:val="20"/>
          <w:szCs w:val="20"/>
          <w:color w:val="auto"/>
        </w:rPr>
      </w:pPr>
      <w:r>
        <w:rPr>
          <w:rFonts w:ascii="Arial" w:cs="Arial" w:eastAsia="Arial" w:hAnsi="Arial"/>
          <w:sz w:val="18"/>
          <w:szCs w:val="18"/>
          <w:color w:val="auto"/>
        </w:rPr>
        <w:t>We believe that further developing, maintaining and enhancing the Flywire brand domestically and on a global basis is important to support the marketing and sale of our existing and future solutions to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solutions from competitive solutions. Our brand promotion activities may not generate client awareness or yield increased revenue, and even if they do, any increased revenue may not offset the expenses we incur in building our brand. If we fail to successfully promote and maintain our brand, our business could suffer.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7" w:name="page68"/>
    <w:bookmarkEnd w:id="67"/>
    <w:p>
      <w:pPr>
        <w:ind w:right="20"/>
        <w:spacing w:after="0" w:line="303" w:lineRule="auto"/>
        <w:rPr>
          <w:sz w:val="20"/>
          <w:szCs w:val="20"/>
          <w:color w:val="auto"/>
        </w:rPr>
      </w:pPr>
      <w:r>
        <w:rPr>
          <w:rFonts w:ascii="Arial" w:cs="Arial" w:eastAsia="Arial" w:hAnsi="Arial"/>
          <w:sz w:val="18"/>
          <w:szCs w:val="18"/>
          <w:b w:val="1"/>
          <w:bCs w:val="1"/>
          <w:i w:val="1"/>
          <w:iCs w:val="1"/>
          <w:color w:val="auto"/>
        </w:rPr>
        <w:t>If we lose key members of our management team or are unable to attract and retain executives and employees we need to support our operations and growth, our business may be harmed.</w:t>
      </w:r>
    </w:p>
    <w:p>
      <w:pPr>
        <w:spacing w:after="0" w:line="66" w:lineRule="exact"/>
        <w:rPr>
          <w:sz w:val="20"/>
          <w:szCs w:val="20"/>
          <w:color w:val="auto"/>
        </w:rPr>
      </w:pPr>
    </w:p>
    <w:p>
      <w:pPr>
        <w:ind w:right="20" w:firstLine="509"/>
        <w:spacing w:after="0" w:line="267"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We currently have “key person” insurance on our Chief Executive Officer, Michael Massaro, but not for any of the other members of our management team. Certain of our key employees have been with us for a long period of time and have fully vested stock options or other long-term equity incentives that may become valuable and are publicly tradable subject to lock-up restrictions and Rule 144 limitations, which reduces the incentive for each of these key employees to remain at our company.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spacing w:after="0" w:line="292"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 and growth plans.</w:t>
      </w:r>
    </w:p>
    <w:p>
      <w:pPr>
        <w:spacing w:after="0" w:line="66" w:lineRule="exact"/>
        <w:rPr>
          <w:sz w:val="20"/>
          <w:szCs w:val="20"/>
          <w:color w:val="auto"/>
        </w:rPr>
      </w:pPr>
    </w:p>
    <w:p>
      <w:pPr>
        <w:ind w:right="160" w:firstLine="509"/>
        <w:spacing w:after="0" w:line="268"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 locations is intense and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If we fail to identify, attract, develop and integrate new personnel, or fail to retain and motivate our current personnel, our growth prospects would be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may be harmed.</w:t>
      </w:r>
    </w:p>
    <w:p>
      <w:pPr>
        <w:spacing w:after="0" w:line="153"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adversely affected.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cycles may be long and vary.</w:t>
      </w:r>
    </w:p>
    <w:p>
      <w:pPr>
        <w:spacing w:after="0" w:line="153"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The sales cycles for sales of our solutions tend to vary depending on the client industry sector which may make forecasting more complex and uncertain.</w:t>
      </w:r>
    </w:p>
    <w:p>
      <w:pPr>
        <w:spacing w:after="0" w:line="203" w:lineRule="exact"/>
        <w:rPr>
          <w:sz w:val="20"/>
          <w:szCs w:val="20"/>
          <w:color w:val="auto"/>
        </w:rPr>
      </w:pPr>
    </w:p>
    <w:p>
      <w:pPr>
        <w:ind w:right="20" w:firstLine="509"/>
        <w:spacing w:after="0" w:line="267" w:lineRule="auto"/>
        <w:rPr>
          <w:sz w:val="20"/>
          <w:szCs w:val="20"/>
          <w:color w:val="auto"/>
        </w:rPr>
      </w:pPr>
      <w:r>
        <w:rPr>
          <w:rFonts w:ascii="Arial" w:cs="Arial" w:eastAsia="Arial" w:hAnsi="Arial"/>
          <w:sz w:val="18"/>
          <w:szCs w:val="18"/>
          <w:color w:val="auto"/>
        </w:rPr>
        <w:t>As a result of the ongoing COVID-19 pandemic, many enterprises have limited travel, prohibited in person meetings and implemented other restrictions that could make the sales process more lengthy and difficult.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requests for proposals (RFPs), which are generally a time- and resource-intensive process, with no assurances of being selected as a vendor after the RFP process is completed. Finally,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84" w:right="419" w:bottom="1440" w:gutter="0" w:footer="0" w:header="0"/>
        </w:sectPr>
      </w:pPr>
    </w:p>
    <w:bookmarkStart w:id="68" w:name="page69"/>
    <w:bookmarkEnd w:id="68"/>
    <w:p>
      <w:pPr>
        <w:ind w:right="400"/>
        <w:spacing w:after="0" w:line="277" w:lineRule="auto"/>
        <w:rPr>
          <w:sz w:val="20"/>
          <w:szCs w:val="20"/>
          <w:color w:val="auto"/>
        </w:rPr>
      </w:pPr>
      <w:r>
        <w:rPr>
          <w:rFonts w:ascii="Arial" w:cs="Arial" w:eastAsia="Arial" w:hAnsi="Arial"/>
          <w:sz w:val="18"/>
          <w:szCs w:val="18"/>
          <w:color w:val="auto"/>
        </w:rPr>
        <w:t>to realize an expected sale from a large end-client in a particular quarter or at all, our business, operating results, and financial condition could be materially and adversely affected.</w:t>
      </w:r>
    </w:p>
    <w:p>
      <w:pPr>
        <w:spacing w:after="0" w:line="197" w:lineRule="exact"/>
        <w:rPr>
          <w:sz w:val="20"/>
          <w:szCs w:val="20"/>
          <w:color w:val="auto"/>
        </w:rPr>
      </w:pPr>
    </w:p>
    <w:p>
      <w:pPr>
        <w:ind w:right="60" w:firstLine="509"/>
        <w:spacing w:after="0" w:line="268" w:lineRule="auto"/>
        <w:rPr>
          <w:sz w:val="20"/>
          <w:szCs w:val="20"/>
          <w:color w:val="auto"/>
        </w:rPr>
      </w:pPr>
      <w:r>
        <w:rPr>
          <w:rFonts w:ascii="Arial" w:cs="Arial" w:eastAsia="Arial" w:hAnsi="Arial"/>
          <w:sz w:val="18"/>
          <w:szCs w:val="18"/>
          <w:color w:val="auto"/>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Any difficulties or delays in the initial implementation could cause clients to reject our solutions or lead to the delay or non-receipt of future orders, in which case our business, operating results and financial condition would be harmed.</w:t>
      </w:r>
    </w:p>
    <w:p>
      <w:pPr>
        <w:spacing w:after="0" w:line="208" w:lineRule="exact"/>
        <w:rPr>
          <w:sz w:val="20"/>
          <w:szCs w:val="20"/>
          <w:color w:val="auto"/>
        </w:rPr>
      </w:pPr>
    </w:p>
    <w:p>
      <w:pPr>
        <w:ind w:right="320" w:firstLine="509"/>
        <w:spacing w:after="0" w:line="268" w:lineRule="auto"/>
        <w:rPr>
          <w:sz w:val="20"/>
          <w:szCs w:val="20"/>
          <w:color w:val="auto"/>
        </w:rPr>
      </w:pPr>
      <w:r>
        <w:rPr>
          <w:rFonts w:ascii="Arial" w:cs="Arial" w:eastAsia="Arial" w:hAnsi="Arial"/>
          <w:sz w:val="18"/>
          <w:szCs w:val="18"/>
          <w:color w:val="auto"/>
        </w:rPr>
        <w:t>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294"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b w:val="1"/>
          <w:bCs w:val="1"/>
          <w:i w:val="1"/>
          <w:iCs w:val="1"/>
          <w:color w:val="auto"/>
        </w:rPr>
        <w:t>We typically incur significant upfront costs in our client relationships, and if we are unable to develop or grow these relationships over time, we are unlikely to recover these costs and our operating results may suffer.</w:t>
      </w:r>
    </w:p>
    <w:p>
      <w:pPr>
        <w:spacing w:after="0" w:line="66"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as a result of the COVID-19 pandemic and other factors.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295" w:lineRule="exact"/>
        <w:rPr>
          <w:sz w:val="20"/>
          <w:szCs w:val="20"/>
          <w:color w:val="auto"/>
        </w:rPr>
      </w:pPr>
    </w:p>
    <w:p>
      <w:pPr>
        <w:ind w:right="440"/>
        <w:spacing w:after="0" w:line="303" w:lineRule="auto"/>
        <w:rPr>
          <w:sz w:val="20"/>
          <w:szCs w:val="20"/>
          <w:color w:val="auto"/>
        </w:rPr>
      </w:pPr>
      <w:r>
        <w:rPr>
          <w:rFonts w:ascii="Arial" w:cs="Arial" w:eastAsia="Arial" w:hAnsi="Arial"/>
          <w:sz w:val="18"/>
          <w:szCs w:val="18"/>
          <w:b w:val="1"/>
          <w:bCs w:val="1"/>
          <w:i w:val="1"/>
          <w:iCs w:val="1"/>
          <w:color w:val="auto"/>
        </w:rPr>
        <w:t>If we fail to offer high-quality client support, or if our support is more expensive than anticipated, our business and reputation could suffer.</w:t>
      </w:r>
    </w:p>
    <w:p>
      <w:pPr>
        <w:spacing w:after="0" w:line="66" w:lineRule="exact"/>
        <w:rPr>
          <w:sz w:val="20"/>
          <w:szCs w:val="20"/>
          <w:color w:val="auto"/>
        </w:rPr>
      </w:pPr>
    </w:p>
    <w:p>
      <w:pPr>
        <w:ind w:right="60" w:firstLine="509"/>
        <w:spacing w:after="0" w:line="267" w:lineRule="auto"/>
        <w:rPr>
          <w:sz w:val="20"/>
          <w:szCs w:val="20"/>
          <w:color w:val="auto"/>
        </w:rPr>
      </w:pPr>
      <w:r>
        <w:rPr>
          <w:rFonts w:ascii="Arial" w:cs="Arial" w:eastAsia="Arial" w:hAnsi="Arial"/>
          <w:sz w:val="18"/>
          <w:szCs w:val="18"/>
          <w:color w:val="auto"/>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p>
    <w:p>
      <w:pPr>
        <w:spacing w:after="0" w:line="209" w:lineRule="exact"/>
        <w:rPr>
          <w:sz w:val="20"/>
          <w:szCs w:val="20"/>
          <w:color w:val="auto"/>
        </w:rPr>
      </w:pPr>
    </w:p>
    <w:p>
      <w:pPr>
        <w:ind w:right="100" w:firstLine="509"/>
        <w:spacing w:after="0" w:line="269" w:lineRule="auto"/>
        <w:rPr>
          <w:sz w:val="20"/>
          <w:szCs w:val="20"/>
          <w:color w:val="auto"/>
        </w:rPr>
      </w:pPr>
      <w:r>
        <w:rPr>
          <w:rFonts w:ascii="Arial" w:cs="Arial" w:eastAsia="Arial" w:hAnsi="Arial"/>
          <w:sz w:val="18"/>
          <w:szCs w:val="18"/>
          <w:color w:val="auto"/>
        </w:rPr>
        <w:t>In addition, as we continue to grow our operations and continue to expand to new jurisdictions, we need to be able to provide efficient client service that meets our clients’ needs globally at scale. In geographies where we sell through our indirect sales channel, if we are unable to provide a high quality client experience tailored to the language and culture of the applicable jurisdiction, our business operations and reputation may suffer.</w:t>
      </w:r>
    </w:p>
    <w:p>
      <w:pPr>
        <w:spacing w:after="0" w:line="292" w:lineRule="exact"/>
        <w:rPr>
          <w:sz w:val="20"/>
          <w:szCs w:val="20"/>
          <w:color w:val="auto"/>
        </w:rPr>
      </w:pPr>
    </w:p>
    <w:p>
      <w:pPr>
        <w:ind w:right="440"/>
        <w:spacing w:after="0" w:line="303"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66" w:lineRule="exact"/>
        <w:rPr>
          <w:sz w:val="20"/>
          <w:szCs w:val="20"/>
          <w:color w:val="auto"/>
        </w:rPr>
      </w:pPr>
    </w:p>
    <w:p>
      <w:pPr>
        <w:ind w:right="60" w:firstLine="509"/>
        <w:spacing w:after="0" w:line="268" w:lineRule="auto"/>
        <w:rPr>
          <w:sz w:val="20"/>
          <w:szCs w:val="20"/>
          <w:color w:val="auto"/>
        </w:rPr>
      </w:pPr>
      <w:r>
        <w:rPr>
          <w:rFonts w:ascii="Arial" w:cs="Arial" w:eastAsia="Arial" w:hAnsi="Arial"/>
          <w:sz w:val="18"/>
          <w:szCs w:val="18"/>
          <w:color w:val="auto"/>
        </w:rPr>
        <w:t>We have funded our operations since inception primarily through equity and debt financings, sales of our solutions, and fees.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69" w:name="page70"/>
    <w:bookmarkEnd w:id="69"/>
    <w:p>
      <w:pPr>
        <w:ind w:right="380"/>
        <w:spacing w:after="0" w:line="288" w:lineRule="auto"/>
        <w:rPr>
          <w:sz w:val="20"/>
          <w:szCs w:val="20"/>
          <w:color w:val="auto"/>
        </w:rPr>
      </w:pPr>
      <w:r>
        <w:rPr>
          <w:rFonts w:ascii="Arial" w:cs="Arial" w:eastAsia="Arial" w:hAnsi="Arial"/>
          <w:sz w:val="17"/>
          <w:szCs w:val="17"/>
          <w:color w:val="auto"/>
        </w:rPr>
        <w:t>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as a result of the risks associated with our acquisitions.</w:t>
      </w:r>
    </w:p>
    <w:p>
      <w:pPr>
        <w:spacing w:after="0" w:line="153"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p>
    <w:p>
      <w:pPr>
        <w:spacing w:after="0" w:line="209" w:lineRule="exact"/>
        <w:rPr>
          <w:sz w:val="20"/>
          <w:szCs w:val="20"/>
          <w:color w:val="auto"/>
        </w:rPr>
      </w:pPr>
    </w:p>
    <w:p>
      <w:pPr>
        <w:ind w:right="700" w:firstLine="509"/>
        <w:spacing w:after="0" w:line="277" w:lineRule="auto"/>
        <w:rPr>
          <w:sz w:val="20"/>
          <w:szCs w:val="20"/>
          <w:color w:val="auto"/>
        </w:rPr>
      </w:pPr>
      <w:r>
        <w:rPr>
          <w:rFonts w:ascii="Arial" w:cs="Arial" w:eastAsia="Arial" w:hAnsi="Arial"/>
          <w:sz w:val="18"/>
          <w:szCs w:val="18"/>
          <w:color w:val="auto"/>
        </w:rPr>
        <w:t>Any acquisitions we undertake or have recently completed, including the acquisition of Simplee in February 2020, will likely be accompanied by business risks which may include, among other things: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effect of the acquisition on our financial and strategic position and reputation;</w:t>
      </w:r>
    </w:p>
    <w:p>
      <w:pPr>
        <w:spacing w:after="0" w:line="131" w:lineRule="exact"/>
        <w:rPr>
          <w:sz w:val="20"/>
          <w:szCs w:val="20"/>
          <w:color w:val="auto"/>
        </w:rPr>
      </w:pPr>
    </w:p>
    <w:p>
      <w:pPr>
        <w:ind w:left="960" w:right="60"/>
        <w:spacing w:after="0" w:line="277" w:lineRule="auto"/>
        <w:rPr>
          <w:sz w:val="20"/>
          <w:szCs w:val="20"/>
          <w:color w:val="auto"/>
        </w:rPr>
      </w:pPr>
      <w:r>
        <w:rPr>
          <w:rFonts w:ascii="Arial" w:cs="Arial" w:eastAsia="Arial" w:hAnsi="Arial"/>
          <w:sz w:val="18"/>
          <w:szCs w:val="18"/>
          <w:color w:val="auto"/>
        </w:rPr>
        <w:t>the failure of an acquisition to result in expected benefits, which may include benefits relating to enhanced revenues, technology, human resources, costs savings, operating efficiencies, goodwill and other synergies;</w:t>
      </w:r>
    </w:p>
    <w:p>
      <w:pPr>
        <w:spacing w:after="0" w:line="89" w:lineRule="exact"/>
        <w:rPr>
          <w:sz w:val="20"/>
          <w:szCs w:val="20"/>
          <w:color w:val="auto"/>
        </w:rPr>
      </w:pPr>
    </w:p>
    <w:p>
      <w:pPr>
        <w:ind w:left="960" w:right="960"/>
        <w:spacing w:after="0" w:line="277" w:lineRule="auto"/>
        <w:rPr>
          <w:sz w:val="20"/>
          <w:szCs w:val="20"/>
          <w:color w:val="auto"/>
        </w:rPr>
      </w:pPr>
      <w:r>
        <w:rPr>
          <w:rFonts w:ascii="Arial" w:cs="Arial" w:eastAsia="Arial" w:hAnsi="Arial"/>
          <w:sz w:val="18"/>
          <w:szCs w:val="18"/>
          <w:color w:val="auto"/>
        </w:rPr>
        <w:t>the difficulty, cost and management effort required to integrate the acquired businesses, including costs and delays in implementing common systems and procedures and costs and delays caused by communication difficulties;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assumption of certain known or unknown liabilities of the acquired business, including litigation-related liabilities;</w:t>
      </w:r>
    </w:p>
    <w:p>
      <w:pPr>
        <w:spacing w:after="0" w:line="131" w:lineRule="exact"/>
        <w:rPr>
          <w:sz w:val="20"/>
          <w:szCs w:val="20"/>
          <w:color w:val="auto"/>
        </w:rPr>
      </w:pPr>
    </w:p>
    <w:p>
      <w:pPr>
        <w:ind w:left="960" w:right="380"/>
        <w:spacing w:after="0" w:line="277" w:lineRule="auto"/>
        <w:rPr>
          <w:sz w:val="20"/>
          <w:szCs w:val="20"/>
          <w:color w:val="auto"/>
        </w:rPr>
      </w:pPr>
      <w:r>
        <w:rPr>
          <w:rFonts w:ascii="Arial" w:cs="Arial" w:eastAsia="Arial" w:hAnsi="Arial"/>
          <w:sz w:val="18"/>
          <w:szCs w:val="18"/>
          <w:color w:val="auto"/>
        </w:rPr>
        <w:t>the reduction of our cash available for operations and other uses, the increase in amortization expense related to identifiable assets acquired, potentially dilutive issuances of equity securities or the incurrence of debt;</w:t>
      </w:r>
    </w:p>
    <w:p>
      <w:pPr>
        <w:spacing w:after="0" w:line="89" w:lineRule="exact"/>
        <w:rPr>
          <w:sz w:val="20"/>
          <w:szCs w:val="20"/>
          <w:color w:val="auto"/>
        </w:rPr>
      </w:pPr>
    </w:p>
    <w:p>
      <w:pPr>
        <w:ind w:left="960" w:right="520"/>
        <w:spacing w:after="0" w:line="277" w:lineRule="auto"/>
        <w:rPr>
          <w:sz w:val="20"/>
          <w:szCs w:val="20"/>
          <w:color w:val="auto"/>
        </w:rPr>
      </w:pPr>
      <w:r>
        <w:rPr>
          <w:rFonts w:ascii="Arial" w:cs="Arial" w:eastAsia="Arial" w:hAnsi="Arial"/>
          <w:sz w:val="18"/>
          <w:szCs w:val="18"/>
          <w:color w:val="auto"/>
        </w:rPr>
        <w:t>a lack of experience in new markets, new business culture, products or technologies or an initial dependence on unfamiliar distribution partners;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possibility that we will pay more than the value we derive from the acquisition;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impairment of relationships with our clients, clients’ customers, partners or suppliers or those of the acquired business;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potential loss of key employees of the acquired business.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factors could harm our business, results of operations or financial condition.</w:t>
      </w:r>
    </w:p>
    <w:p>
      <w:pPr>
        <w:spacing w:after="0" w:line="239"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Systems failures and resulting interruptions in the availability of our solutions could harm our business.</w:t>
      </w:r>
    </w:p>
    <w:p>
      <w:pPr>
        <w:spacing w:after="0" w:line="153" w:lineRule="exact"/>
        <w:rPr>
          <w:sz w:val="20"/>
          <w:szCs w:val="20"/>
          <w:color w:val="auto"/>
        </w:rPr>
      </w:pPr>
    </w:p>
    <w:p>
      <w:pPr>
        <w:ind w:right="200" w:firstLine="509"/>
        <w:spacing w:after="0" w:line="268" w:lineRule="auto"/>
        <w:rPr>
          <w:sz w:val="20"/>
          <w:szCs w:val="20"/>
          <w:color w:val="auto"/>
        </w:rPr>
      </w:pPr>
      <w:r>
        <w:rPr>
          <w:rFonts w:ascii="Arial" w:cs="Arial" w:eastAsia="Arial" w:hAnsi="Arial"/>
          <w:sz w:val="18"/>
          <w:szCs w:val="18"/>
          <w:color w:val="auto"/>
        </w:rPr>
        <w:t>Our systems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70" w:name="page71"/>
    <w:bookmarkEnd w:id="70"/>
    <w:p>
      <w:pPr>
        <w:ind w:right="40"/>
        <w:spacing w:after="0" w:line="277" w:lineRule="auto"/>
        <w:rPr>
          <w:sz w:val="20"/>
          <w:szCs w:val="20"/>
          <w:color w:val="auto"/>
        </w:rPr>
      </w:pPr>
      <w:r>
        <w:rPr>
          <w:rFonts w:ascii="Arial" w:cs="Arial" w:eastAsia="Arial" w:hAnsi="Arial"/>
          <w:sz w:val="18"/>
          <w:szCs w:val="18"/>
          <w:color w:val="auto"/>
        </w:rPr>
        <w:t>require specific business continuity, resiliency and disaster recovery plans, and more rigorous testing of such plans, which may be costly and time-consuming to implement, and may divert our resources from other business priorities.</w:t>
      </w:r>
    </w:p>
    <w:p>
      <w:pPr>
        <w:spacing w:after="0" w:line="197"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A prolonged interruption in the availability, speed, or functionality of our solutions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spacing w:after="0" w:line="206" w:lineRule="exact"/>
        <w:rPr>
          <w:sz w:val="20"/>
          <w:szCs w:val="20"/>
          <w:color w:val="auto"/>
        </w:rPr>
      </w:pPr>
    </w:p>
    <w:p>
      <w:pPr>
        <w:ind w:right="80" w:firstLine="509"/>
        <w:spacing w:after="0" w:line="268" w:lineRule="auto"/>
        <w:rPr>
          <w:sz w:val="20"/>
          <w:szCs w:val="20"/>
          <w:color w:val="auto"/>
        </w:rPr>
      </w:pPr>
      <w:r>
        <w:rPr>
          <w:rFonts w:ascii="Arial" w:cs="Arial" w:eastAsia="Arial" w:hAnsi="Arial"/>
          <w:sz w:val="18"/>
          <w:szCs w:val="18"/>
          <w:color w:val="auto"/>
        </w:rPr>
        <w:t>We have undertaken and continue to make certain technology and network upgrades and redundancies which are designed to improve the reliability of our solutions.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206"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We use public cloud hosting with Amazon Web Services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military actions, terrorist attacks, negligence, and other similar events beyond our control could negatively affect our solutions.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 System failures or outages, including any potential disruptions due to significantly increased global demand on certain cloud-based systems during the COVID-19 pandemic, could compromise our ability to provide our solutions in a timely manner, which could harm our ability to conduct business or delay our financial reporting. Such failures could adversely affect our operating results and financial condition.</w:t>
      </w:r>
    </w:p>
    <w:p>
      <w:pPr>
        <w:spacing w:after="0" w:line="217"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Our solutions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p>
    <w:p>
      <w:pPr>
        <w:spacing w:after="0" w:line="192" w:lineRule="exact"/>
        <w:rPr>
          <w:sz w:val="20"/>
          <w:szCs w:val="20"/>
          <w:color w:val="auto"/>
        </w:rPr>
      </w:pPr>
    </w:p>
    <w:p>
      <w:pPr>
        <w:ind w:right="40" w:firstLine="509"/>
        <w:spacing w:after="0" w:line="268" w:lineRule="auto"/>
        <w:rPr>
          <w:sz w:val="20"/>
          <w:szCs w:val="20"/>
          <w:color w:val="auto"/>
        </w:rPr>
      </w:pPr>
      <w:r>
        <w:rPr>
          <w:rFonts w:ascii="Arial" w:cs="Arial" w:eastAsia="Arial" w:hAnsi="Arial"/>
          <w:sz w:val="18"/>
          <w:szCs w:val="18"/>
          <w:color w:val="auto"/>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spacing w:after="0" w:line="208"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71" w:name="page72"/>
    <w:bookmarkEnd w:id="71"/>
    <w:p>
      <w:pPr>
        <w:spacing w:after="0" w:line="277" w:lineRule="auto"/>
        <w:rPr>
          <w:sz w:val="20"/>
          <w:szCs w:val="20"/>
          <w:color w:val="auto"/>
        </w:rPr>
      </w:pPr>
      <w:r>
        <w:rPr>
          <w:rFonts w:ascii="Arial" w:cs="Arial" w:eastAsia="Arial" w:hAnsi="Arial"/>
          <w:sz w:val="18"/>
          <w:szCs w:val="18"/>
          <w:color w:val="auto"/>
        </w:rPr>
        <w:t>systems and technologies do not operate as intended, this could have an adverse impact on our business, internal controls (including internal controls over financial reporting), results of operations, and financial condition.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Regulatory and Compliance Landscape</w:t>
      </w:r>
    </w:p>
    <w:p>
      <w:pPr>
        <w:spacing w:after="0" w:line="131"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We currently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p>
    <w:p>
      <w:pPr>
        <w:spacing w:after="0" w:line="89" w:lineRule="exact"/>
        <w:rPr>
          <w:sz w:val="20"/>
          <w:szCs w:val="20"/>
          <w:color w:val="auto"/>
        </w:rPr>
      </w:pPr>
    </w:p>
    <w:p>
      <w:pPr>
        <w:ind w:right="100" w:firstLine="509"/>
        <w:spacing w:after="0" w:line="267" w:lineRule="auto"/>
        <w:rPr>
          <w:sz w:val="20"/>
          <w:szCs w:val="20"/>
          <w:color w:val="auto"/>
        </w:rPr>
      </w:pPr>
      <w:r>
        <w:rPr>
          <w:rFonts w:ascii="Arial" w:cs="Arial" w:eastAsia="Arial" w:hAnsi="Arial"/>
          <w:sz w:val="18"/>
          <w:szCs w:val="18"/>
          <w:color w:val="auto"/>
        </w:rPr>
        <w:t>Our business is subject to risks inherent in conducting business globally, including cross-border payments and domestic payments in the U.S.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possibility of renegotiated trade deals and international tax law treaties,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foreign currency exchange rate volatility;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risks related to government regulation or required compliance with local laws;</w:t>
      </w:r>
    </w:p>
    <w:p>
      <w:pPr>
        <w:spacing w:after="0" w:line="131" w:lineRule="exact"/>
        <w:rPr>
          <w:sz w:val="20"/>
          <w:szCs w:val="20"/>
          <w:color w:val="auto"/>
        </w:rPr>
      </w:pPr>
    </w:p>
    <w:p>
      <w:pPr>
        <w:ind w:left="960" w:right="40"/>
        <w:spacing w:after="0" w:line="277" w:lineRule="auto"/>
        <w:rPr>
          <w:sz w:val="20"/>
          <w:szCs w:val="20"/>
          <w:color w:val="auto"/>
        </w:rPr>
      </w:pPr>
      <w:r>
        <w:rPr>
          <w:rFonts w:ascii="Arial" w:cs="Arial" w:eastAsia="Arial" w:hAnsi="Arial"/>
          <w:sz w:val="18"/>
          <w:szCs w:val="18"/>
          <w:color w:val="auto"/>
        </w:rPr>
        <w:t>local licensing and reporting obligations or the imposition of currency controls which make it impossible or increasingly difficult for our clients to collect payments from international customers;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local regulatory and legal obligations related to privacy, data protection, data localization, and user protections;</w:t>
      </w:r>
    </w:p>
    <w:p>
      <w:pPr>
        <w:spacing w:after="0" w:line="131" w:lineRule="exact"/>
        <w:rPr>
          <w:sz w:val="20"/>
          <w:szCs w:val="20"/>
          <w:color w:val="auto"/>
        </w:rPr>
      </w:pPr>
    </w:p>
    <w:p>
      <w:pPr>
        <w:ind w:left="960" w:right="640"/>
        <w:spacing w:after="0" w:line="308" w:lineRule="auto"/>
        <w:rPr>
          <w:sz w:val="20"/>
          <w:szCs w:val="20"/>
          <w:color w:val="auto"/>
        </w:rPr>
      </w:pPr>
      <w:r>
        <w:rPr>
          <w:rFonts w:ascii="Arial" w:cs="Arial" w:eastAsia="Arial" w:hAnsi="Arial"/>
          <w:sz w:val="17"/>
          <w:szCs w:val="17"/>
          <w:color w:val="auto"/>
        </w:rPr>
        <w:t>the need to localize our solutions, including offering clients and their customers the ability to transact business in the local currency and adapting our solutions to local preferences, in markets in which we may have limited or no experience;</w:t>
      </w:r>
    </w:p>
    <w:p>
      <w:pPr>
        <w:spacing w:after="0" w:line="6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trade barriers and changes in trade regulations;</w:t>
      </w:r>
    </w:p>
    <w:p>
      <w:pPr>
        <w:spacing w:after="0" w:line="131" w:lineRule="exact"/>
        <w:rPr>
          <w:sz w:val="20"/>
          <w:szCs w:val="20"/>
          <w:color w:val="auto"/>
        </w:rPr>
      </w:pPr>
    </w:p>
    <w:p>
      <w:pPr>
        <w:ind w:left="960" w:right="200"/>
        <w:spacing w:after="0" w:line="277" w:lineRule="auto"/>
        <w:rPr>
          <w:sz w:val="20"/>
          <w:szCs w:val="20"/>
          <w:color w:val="auto"/>
        </w:rPr>
      </w:pPr>
      <w:r>
        <w:rPr>
          <w:rFonts w:ascii="Arial" w:cs="Arial" w:eastAsia="Arial" w:hAnsi="Arial"/>
          <w:sz w:val="18"/>
          <w:szCs w:val="18"/>
          <w:color w:val="auto"/>
        </w:rPr>
        <w:t>difficulties in developing, staffing, and managing a large number of varying foreign operations as a result of distance, language, and cultural differences;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stringent local labor laws and regulations;</w:t>
      </w:r>
    </w:p>
    <w:p>
      <w:pPr>
        <w:spacing w:after="0" w:line="131" w:lineRule="exact"/>
        <w:rPr>
          <w:sz w:val="20"/>
          <w:szCs w:val="20"/>
          <w:color w:val="auto"/>
        </w:rPr>
      </w:pPr>
    </w:p>
    <w:p>
      <w:pPr>
        <w:ind w:left="960" w:right="260"/>
        <w:spacing w:after="0" w:line="277" w:lineRule="auto"/>
        <w:rPr>
          <w:sz w:val="20"/>
          <w:szCs w:val="20"/>
          <w:color w:val="auto"/>
        </w:rPr>
      </w:pPr>
      <w:r>
        <w:rPr>
          <w:rFonts w:ascii="Arial" w:cs="Arial" w:eastAsia="Arial" w:hAnsi="Arial"/>
          <w:sz w:val="18"/>
          <w:szCs w:val="18"/>
          <w:color w:val="auto"/>
        </w:rPr>
        <w:t>limitations on the repatriation of cash, including imposition or increase of withholding and other taxes on remittances and other payments by foreign subsidiaries;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political or social unrest, economic instability, repression, or human rights issues;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natural disasters, global pandemics such as COVID-19 or other public health emergencies, acts of war, and terrorism;</w:t>
      </w:r>
    </w:p>
    <w:p>
      <w:pPr>
        <w:spacing w:after="0" w:line="131" w:lineRule="exact"/>
        <w:rPr>
          <w:sz w:val="20"/>
          <w:szCs w:val="20"/>
          <w:color w:val="auto"/>
        </w:rPr>
      </w:pPr>
    </w:p>
    <w:p>
      <w:pPr>
        <w:ind w:left="960" w:right="340"/>
        <w:spacing w:after="0" w:line="277" w:lineRule="auto"/>
        <w:rPr>
          <w:sz w:val="20"/>
          <w:szCs w:val="20"/>
          <w:color w:val="auto"/>
        </w:rPr>
      </w:pPr>
      <w:r>
        <w:rPr>
          <w:rFonts w:ascii="Arial" w:cs="Arial" w:eastAsia="Arial" w:hAnsi="Arial"/>
          <w:sz w:val="18"/>
          <w:szCs w:val="18"/>
          <w:color w:val="auto"/>
        </w:rPr>
        <w:t>compliance with U.S. laws and foreign laws prohibiting corrupt payments to government officials, such as the Foreign Corrupt Practices Act (FCPA) and the U.K. Bribery Act, and other local anti-corruption laws;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compliance with U.S. and foreign laws designed to combat money laundering and the financing of terrorist activities;</w:t>
      </w:r>
    </w:p>
    <w:p>
      <w:pPr>
        <w:spacing w:after="0" w:line="131" w:lineRule="exact"/>
        <w:rPr>
          <w:sz w:val="20"/>
          <w:szCs w:val="20"/>
          <w:color w:val="auto"/>
        </w:rPr>
      </w:pPr>
    </w:p>
    <w:p>
      <w:pPr>
        <w:ind w:left="960" w:right="160"/>
        <w:spacing w:after="0" w:line="277" w:lineRule="auto"/>
        <w:rPr>
          <w:sz w:val="20"/>
          <w:szCs w:val="20"/>
          <w:color w:val="auto"/>
        </w:rPr>
      </w:pPr>
      <w:r>
        <w:rPr>
          <w:rFonts w:ascii="Arial" w:cs="Arial" w:eastAsia="Arial" w:hAnsi="Arial"/>
          <w:sz w:val="18"/>
          <w:szCs w:val="18"/>
          <w:color w:val="auto"/>
        </w:rPr>
        <w:t>retaliatory tariffs and restrictions limiting free movement of currency and an unfavorable trade environment, including as a result of political conditions and changes in the laws in the United States and elsewhere and as described in more detail below;</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antitrust and competition regulations;</w:t>
      </w:r>
    </w:p>
    <w:p>
      <w:pPr>
        <w:spacing w:after="0" w:line="131" w:lineRule="exact"/>
        <w:rPr>
          <w:sz w:val="20"/>
          <w:szCs w:val="20"/>
          <w:color w:val="auto"/>
        </w:rPr>
      </w:pPr>
    </w:p>
    <w:p>
      <w:pPr>
        <w:ind w:left="960" w:right="240"/>
        <w:spacing w:after="0" w:line="271" w:lineRule="auto"/>
        <w:rPr>
          <w:sz w:val="20"/>
          <w:szCs w:val="20"/>
          <w:color w:val="auto"/>
        </w:rPr>
      </w:pPr>
      <w:r>
        <w:rPr>
          <w:rFonts w:ascii="Arial" w:cs="Arial" w:eastAsia="Arial" w:hAnsi="Arial"/>
          <w:sz w:val="18"/>
          <w:szCs w:val="18"/>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w:t>
      </w:r>
    </w:p>
    <w:p>
      <w:pPr>
        <w:spacing w:after="0" w:line="9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national or regional differences in macroeconomic growth rates; and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2" w:name="page73"/>
    <w:bookmarkEnd w:id="72"/>
    <w:p>
      <w:pPr>
        <w:ind w:left="960"/>
        <w:spacing w:after="0"/>
        <w:rPr>
          <w:sz w:val="20"/>
          <w:szCs w:val="20"/>
          <w:color w:val="auto"/>
        </w:rPr>
      </w:pPr>
      <w:r>
        <w:rPr>
          <w:rFonts w:ascii="Arial" w:cs="Arial" w:eastAsia="Arial" w:hAnsi="Arial"/>
          <w:sz w:val="18"/>
          <w:szCs w:val="18"/>
          <w:color w:val="auto"/>
        </w:rPr>
        <w:t>increased difficulties in collecting accounts receivable.</w:t>
      </w:r>
    </w:p>
    <w:p>
      <w:pPr>
        <w:spacing w:after="0" w:line="239" w:lineRule="exact"/>
        <w:rPr>
          <w:sz w:val="20"/>
          <w:szCs w:val="20"/>
          <w:color w:val="auto"/>
        </w:rPr>
      </w:pPr>
    </w:p>
    <w:p>
      <w:pPr>
        <w:ind w:right="120" w:firstLine="509"/>
        <w:spacing w:after="0" w:line="268" w:lineRule="auto"/>
        <w:rPr>
          <w:sz w:val="20"/>
          <w:szCs w:val="20"/>
          <w:color w:val="auto"/>
        </w:rPr>
      </w:pPr>
      <w:r>
        <w:rPr>
          <w:rFonts w:ascii="Arial" w:cs="Arial" w:eastAsia="Arial" w:hAnsi="Arial"/>
          <w:sz w:val="18"/>
          <w:szCs w:val="18"/>
          <w:color w:val="auto"/>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spacing w:after="0" w:line="206" w:lineRule="exact"/>
        <w:rPr>
          <w:sz w:val="20"/>
          <w:szCs w:val="20"/>
          <w:color w:val="auto"/>
        </w:rPr>
      </w:pPr>
    </w:p>
    <w:p>
      <w:pPr>
        <w:ind w:right="20" w:firstLine="509"/>
        <w:spacing w:after="0" w:line="285" w:lineRule="auto"/>
        <w:rPr>
          <w:sz w:val="20"/>
          <w:szCs w:val="20"/>
          <w:color w:val="auto"/>
        </w:rPr>
      </w:pPr>
      <w:r>
        <w:rPr>
          <w:rFonts w:ascii="Arial" w:cs="Arial" w:eastAsia="Arial" w:hAnsi="Arial"/>
          <w:sz w:val="17"/>
          <w:szCs w:val="17"/>
          <w:color w:val="auto"/>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(RMB) the currency of China, into foreign currencies and, in certain cases, the remittance of currency out of China. The Chinese government may at its discretion further restrict access in the future to foreign currencies for current account transactions.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spacing w:after="0" w:line="195" w:lineRule="exact"/>
        <w:rPr>
          <w:sz w:val="20"/>
          <w:szCs w:val="20"/>
          <w:color w:val="auto"/>
        </w:rPr>
      </w:pPr>
    </w:p>
    <w:p>
      <w:pPr>
        <w:ind w:right="160" w:firstLine="509"/>
        <w:spacing w:after="0" w:line="268" w:lineRule="auto"/>
        <w:rPr>
          <w:sz w:val="20"/>
          <w:szCs w:val="20"/>
          <w:color w:val="auto"/>
        </w:rPr>
      </w:pPr>
      <w:r>
        <w:rPr>
          <w:rFonts w:ascii="Arial" w:cs="Arial" w:eastAsia="Arial" w:hAnsi="Arial"/>
          <w:sz w:val="18"/>
          <w:szCs w:val="18"/>
          <w:color w:val="auto"/>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spacing w:after="0" w:line="294" w:lineRule="exact"/>
        <w:rPr>
          <w:sz w:val="20"/>
          <w:szCs w:val="20"/>
          <w:color w:val="auto"/>
        </w:rPr>
      </w:pPr>
    </w:p>
    <w:p>
      <w:pPr>
        <w:ind w:right="180"/>
        <w:spacing w:after="0" w:line="303"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Our failure to comply could materially harm our business.</w:t>
      </w:r>
    </w:p>
    <w:p>
      <w:pPr>
        <w:spacing w:after="0" w:line="66"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The local, state, and federal laws, rules, regulations, licensing schemes, and industry standards in the U.S.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anti-money laundering, combating terrorist financing, escheatment, international sanctions regimes, and compliance with the PCI–DSS. These laws, rules, regulations, licensing schemes, and standards are enforced by multiple authorities and governing bodies in the United States, including the Department of the Treasury, the Federal Deposit Insurance Corporation, the SEC, Consumer Financial Protection Bureau,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217" w:lineRule="exact"/>
        <w:rPr>
          <w:sz w:val="20"/>
          <w:szCs w:val="20"/>
          <w:color w:val="auto"/>
        </w:rPr>
      </w:pPr>
    </w:p>
    <w:p>
      <w:pPr>
        <w:ind w:right="60" w:firstLine="509"/>
        <w:spacing w:after="0" w:line="267" w:lineRule="auto"/>
        <w:rPr>
          <w:sz w:val="20"/>
          <w:szCs w:val="20"/>
          <w:color w:val="auto"/>
        </w:rPr>
      </w:pPr>
      <w:r>
        <w:rPr>
          <w:rFonts w:ascii="Arial" w:cs="Arial" w:eastAsia="Arial" w:hAnsi="Arial"/>
          <w:sz w:val="18"/>
          <w:szCs w:val="18"/>
          <w:color w:val="auto"/>
        </w:rPr>
        <w:t>Certain of our subsidiaries are registered with the U.S. Department of the Treasury’s Financial Crimes Enforcement Network. Our subsidiary Flywire Global Corp. has obtained licenses to operate as a money transmitter (or the statutory equivalent) in 40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3" w:name="page74"/>
    <w:bookmarkEnd w:id="73"/>
    <w:p>
      <w:pPr>
        <w:ind w:right="420"/>
        <w:spacing w:after="0" w:line="277" w:lineRule="auto"/>
        <w:rPr>
          <w:sz w:val="20"/>
          <w:szCs w:val="20"/>
          <w:color w:val="auto"/>
        </w:rPr>
      </w:pPr>
      <w:r>
        <w:rPr>
          <w:rFonts w:ascii="Arial" w:cs="Arial" w:eastAsia="Arial" w:hAnsi="Arial"/>
          <w:sz w:val="18"/>
          <w:szCs w:val="18"/>
          <w:color w:val="auto"/>
        </w:rPr>
        <w:t>other enforcement action if we are found to violate disclosure, reporting, anti-money laundering, capitalization, corporate governance, or other requirements of such licenses.</w:t>
      </w:r>
    </w:p>
    <w:p>
      <w:pPr>
        <w:spacing w:after="0" w:line="197"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Money Services Business (MSB) with the U.S. Department of the Treasury’s Financial Crimes Enforcement Network (FinCEN).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spacing w:after="0" w:line="218" w:lineRule="exact"/>
        <w:rPr>
          <w:sz w:val="20"/>
          <w:szCs w:val="20"/>
          <w:color w:val="auto"/>
        </w:rPr>
      </w:pPr>
    </w:p>
    <w:p>
      <w:pPr>
        <w:ind w:right="140" w:firstLine="509"/>
        <w:spacing w:after="0" w:line="268" w:lineRule="auto"/>
        <w:rPr>
          <w:sz w:val="20"/>
          <w:szCs w:val="20"/>
          <w:color w:val="auto"/>
        </w:rPr>
      </w:pPr>
      <w:r>
        <w:rPr>
          <w:rFonts w:ascii="Arial" w:cs="Arial" w:eastAsia="Arial" w:hAnsi="Arial"/>
          <w:sz w:val="18"/>
          <w:szCs w:val="18"/>
          <w:color w:val="auto"/>
        </w:rPr>
        <w:t>The adoption of new money transmitter or money services business statutes in jurisdictions or changes in regulators’ interpretation of existing state and federal money transmitter or money services business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spacing w:after="0" w:line="291" w:lineRule="exact"/>
        <w:rPr>
          <w:sz w:val="20"/>
          <w:szCs w:val="20"/>
          <w:color w:val="auto"/>
        </w:rPr>
      </w:pPr>
    </w:p>
    <w:p>
      <w:pPr>
        <w:ind w:right="340"/>
        <w:spacing w:after="0" w:line="303" w:lineRule="auto"/>
        <w:rPr>
          <w:sz w:val="20"/>
          <w:szCs w:val="20"/>
          <w:color w:val="auto"/>
        </w:rPr>
      </w:pPr>
      <w:r>
        <w:rPr>
          <w:rFonts w:ascii="Arial" w:cs="Arial" w:eastAsia="Arial" w:hAnsi="Arial"/>
          <w:sz w:val="18"/>
          <w:szCs w:val="18"/>
          <w:b w:val="1"/>
          <w:bCs w:val="1"/>
          <w:i w:val="1"/>
          <w:iCs w:val="1"/>
          <w:color w:val="auto"/>
        </w:rPr>
        <w:t>The regulatory environment in which we operate is subject to constant change, and new regulations could make aspects of our business as currently conducted no longer possible.</w:t>
      </w:r>
    </w:p>
    <w:p>
      <w:pPr>
        <w:spacing w:after="0" w:line="66"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In the future, 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United Kingdom (U.K.) approved an exit from the European Union (E.U.) (commonly referred to as Brexit), we were required to obtain a license from a member state of the European Economic Area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Government agencies may impose new or additional rules on money transmission, including regulations that:</w:t>
      </w:r>
    </w:p>
    <w:p>
      <w:pPr>
        <w:spacing w:after="0" w:line="131" w:lineRule="exact"/>
        <w:rPr>
          <w:sz w:val="20"/>
          <w:szCs w:val="20"/>
          <w:color w:val="auto"/>
        </w:rPr>
      </w:pPr>
    </w:p>
    <w:p>
      <w:pPr>
        <w:ind w:left="960" w:right="200"/>
        <w:spacing w:after="0" w:line="277" w:lineRule="auto"/>
        <w:rPr>
          <w:sz w:val="20"/>
          <w:szCs w:val="20"/>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and entities;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impose additional client identification and client due diligence requirements;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impose additional reporting or recordkeeping requirements, or require enhanced transaction monitoring;</w:t>
      </w:r>
    </w:p>
    <w:p>
      <w:pPr>
        <w:spacing w:after="0" w:line="131" w:lineRule="exact"/>
        <w:rPr>
          <w:sz w:val="20"/>
          <w:szCs w:val="20"/>
          <w:color w:val="auto"/>
        </w:rPr>
      </w:pPr>
    </w:p>
    <w:p>
      <w:pPr>
        <w:ind w:left="960" w:right="720"/>
        <w:spacing w:after="0" w:line="277" w:lineRule="auto"/>
        <w:rPr>
          <w:sz w:val="20"/>
          <w:szCs w:val="20"/>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impose minimum capital or other financial requirements;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74" w:name="page75"/>
    <w:bookmarkEnd w:id="74"/>
    <w:p>
      <w:pPr>
        <w:ind w:left="960" w:right="360"/>
        <w:spacing w:after="0" w:line="271" w:lineRule="auto"/>
        <w:rPr>
          <w:sz w:val="20"/>
          <w:szCs w:val="20"/>
          <w:color w:val="auto"/>
        </w:rPr>
      </w:pPr>
      <w:r>
        <w:rPr>
          <w:rFonts w:ascii="Arial" w:cs="Arial" w:eastAsia="Arial" w:hAnsi="Arial"/>
          <w:sz w:val="18"/>
          <w:szCs w:val="18"/>
          <w:color w:val="auto"/>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spacing w:after="0" w:line="9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require enhanced disclosures to our money transmission clients or their customers;</w:t>
      </w:r>
    </w:p>
    <w:p>
      <w:pPr>
        <w:spacing w:after="0" w:line="131" w:lineRule="exact"/>
        <w:rPr>
          <w:sz w:val="20"/>
          <w:szCs w:val="20"/>
          <w:color w:val="auto"/>
        </w:rPr>
      </w:pPr>
    </w:p>
    <w:p>
      <w:pPr>
        <w:ind w:left="960" w:right="220"/>
        <w:spacing w:after="0" w:line="277" w:lineRule="auto"/>
        <w:rPr>
          <w:sz w:val="20"/>
          <w:szCs w:val="20"/>
          <w:color w:val="auto"/>
        </w:rPr>
      </w:pPr>
      <w:r>
        <w:rPr>
          <w:rFonts w:ascii="Arial" w:cs="Arial" w:eastAsia="Arial" w:hAnsi="Arial"/>
          <w:sz w:val="18"/>
          <w:szCs w:val="18"/>
          <w:color w:val="auto"/>
        </w:rPr>
        <w:t>require the principal amount of money transmission transactions originated in a country to be invested in that country or held in trust until paid;</w:t>
      </w:r>
    </w:p>
    <w:p>
      <w:pPr>
        <w:spacing w:after="0" w:line="89" w:lineRule="exact"/>
        <w:rPr>
          <w:sz w:val="20"/>
          <w:szCs w:val="20"/>
          <w:color w:val="auto"/>
        </w:rPr>
      </w:pPr>
    </w:p>
    <w:p>
      <w:pPr>
        <w:ind w:left="960" w:right="80"/>
        <w:spacing w:after="0" w:line="277" w:lineRule="auto"/>
        <w:rPr>
          <w:sz w:val="20"/>
          <w:szCs w:val="20"/>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 and</w:t>
      </w:r>
    </w:p>
    <w:p>
      <w:pPr>
        <w:spacing w:after="0" w:line="89" w:lineRule="exact"/>
        <w:rPr>
          <w:sz w:val="20"/>
          <w:szCs w:val="20"/>
          <w:color w:val="auto"/>
        </w:rPr>
      </w:pPr>
    </w:p>
    <w:p>
      <w:pPr>
        <w:ind w:left="960" w:right="460"/>
        <w:spacing w:after="0" w:line="277" w:lineRule="auto"/>
        <w:rPr>
          <w:sz w:val="20"/>
          <w:szCs w:val="20"/>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w:t>
      </w:r>
    </w:p>
    <w:p>
      <w:pPr>
        <w:spacing w:after="0" w:line="283"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anti-money laundering, and counter-terror financing that could impair our ability to compete in international markets or subject us to criminal or civil liability if we violate them.</w:t>
      </w:r>
    </w:p>
    <w:p>
      <w:pPr>
        <w:spacing w:after="0" w:line="84" w:lineRule="exact"/>
        <w:rPr>
          <w:sz w:val="20"/>
          <w:szCs w:val="20"/>
          <w:color w:val="auto"/>
        </w:rPr>
      </w:pPr>
    </w:p>
    <w:p>
      <w:pPr>
        <w:ind w:right="60" w:firstLine="509"/>
        <w:spacing w:after="0" w:line="266" w:lineRule="auto"/>
        <w:rPr>
          <w:sz w:val="20"/>
          <w:szCs w:val="20"/>
          <w:color w:val="auto"/>
        </w:rPr>
      </w:pPr>
      <w:r>
        <w:rPr>
          <w:rFonts w:ascii="Arial" w:cs="Arial" w:eastAsia="Arial" w:hAnsi="Arial"/>
          <w:sz w:val="18"/>
          <w:szCs w:val="18"/>
          <w:color w:val="auto"/>
        </w:rPr>
        <w:t>We are currently required to comply with U.S. economic and trade sanctions administered by the U.S. Department of Treasury’s Office of Foreign Assets Control (OFAC) and we have processes in place to comply with the OFAC regulations as well as similar requirements in the foreign jurisdictions in which we already operate. As part of our compliance efforts, we scan our clients against watch lists promulgated by OFAC and certain other international agencies. Our application can be accessed from anywhere in the world, and if our service is accessed from a sanctioned country in violation of applicable trade and economic sanctions, we could be subject to fines or other enforcement actions. We are also subject to various anti-money laundering and counter-terrorist financing laws and regulations around the world that prohibit, among other things, our involvement in transferring the proceeds of criminal or terrorist activities. In the United States, most of our solutions are subject to anti-money laundering laws and regulations, including the Bank Secrecy Act, as amended (BSA), and similar laws and regulations. The BSA, among other things, requires MSBs to develop and implement risk-based anti-money laundering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anti-money laundering programs, and we could likewise be subject to significant fines, penalties, inquiries, audits, investigations, enforcement actions, and criminal and civil liability if our anti-money laundering program is found to be insufficient by a regulator.</w:t>
      </w:r>
    </w:p>
    <w:p>
      <w:pPr>
        <w:spacing w:after="0" w:line="217"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Our business operations in other parts of the world such as the U.K., Lithuania,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anti-money laundering, counter-terrorist financing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w:t>
      </w:r>
    </w:p>
    <w:p>
      <w:pPr>
        <w:spacing w:after="0" w:line="294" w:lineRule="exact"/>
        <w:rPr>
          <w:sz w:val="20"/>
          <w:szCs w:val="20"/>
          <w:color w:val="auto"/>
        </w:rPr>
      </w:pPr>
    </w:p>
    <w:p>
      <w:pPr>
        <w:ind w:right="360"/>
        <w:spacing w:after="0" w:line="284" w:lineRule="auto"/>
        <w:rPr>
          <w:sz w:val="20"/>
          <w:szCs w:val="20"/>
          <w:color w:val="auto"/>
        </w:rPr>
      </w:pPr>
      <w:r>
        <w:rPr>
          <w:rFonts w:ascii="Arial" w:cs="Arial" w:eastAsia="Arial" w:hAnsi="Arial"/>
          <w:sz w:val="18"/>
          <w:szCs w:val="18"/>
          <w:b w:val="1"/>
          <w:bCs w:val="1"/>
          <w:i w:val="1"/>
          <w:iCs w:val="1"/>
          <w:color w:val="auto"/>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spacing w:after="0" w:line="84" w:lineRule="exact"/>
        <w:rPr>
          <w:sz w:val="20"/>
          <w:szCs w:val="20"/>
          <w:color w:val="auto"/>
        </w:rPr>
      </w:pPr>
    </w:p>
    <w:p>
      <w:pPr>
        <w:ind w:right="80" w:firstLine="509"/>
        <w:spacing w:after="0" w:line="268" w:lineRule="auto"/>
        <w:rPr>
          <w:sz w:val="20"/>
          <w:szCs w:val="20"/>
          <w:color w:val="auto"/>
        </w:rPr>
      </w:pPr>
      <w:r>
        <w:rPr>
          <w:rFonts w:ascii="Arial" w:cs="Arial" w:eastAsia="Arial" w:hAnsi="Arial"/>
          <w:sz w:val="18"/>
          <w:szCs w:val="18"/>
          <w:color w:val="auto"/>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spacing w:after="0" w:line="206"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U.S. federal and various state and foreign governments have adopted or proposed limitations on the collection, distribution, use, and storage of data relating to individuals and businesses, including the use of contact information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5" w:name="page76"/>
    <w:bookmarkEnd w:id="75"/>
    <w:p>
      <w:pPr>
        <w:ind w:right="20"/>
        <w:spacing w:after="0" w:line="266" w:lineRule="auto"/>
        <w:rPr>
          <w:sz w:val="20"/>
          <w:szCs w:val="20"/>
          <w:color w:val="auto"/>
        </w:rPr>
      </w:pPr>
      <w:r>
        <w:rPr>
          <w:rFonts w:ascii="Arial" w:cs="Arial" w:eastAsia="Arial" w:hAnsi="Arial"/>
          <w:sz w:val="18"/>
          <w:szCs w:val="18"/>
          <w:color w:val="auto"/>
        </w:rPr>
        <w:t>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the Family Educational Rights and Privacy Act, the Health Insurance Portability and Accountability Act,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California Consumer Privacy Act of 2018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w:t>
      </w:r>
    </w:p>
    <w:p>
      <w:pPr>
        <w:spacing w:after="0" w:line="217" w:lineRule="exact"/>
        <w:rPr>
          <w:sz w:val="20"/>
          <w:szCs w:val="20"/>
          <w:color w:val="auto"/>
        </w:rPr>
      </w:pPr>
    </w:p>
    <w:p>
      <w:pPr>
        <w:ind w:right="100" w:firstLine="509"/>
        <w:spacing w:after="0" w:line="268" w:lineRule="auto"/>
        <w:rPr>
          <w:sz w:val="20"/>
          <w:szCs w:val="20"/>
          <w:color w:val="auto"/>
        </w:rPr>
      </w:pPr>
      <w:r>
        <w:rPr>
          <w:rFonts w:ascii="Arial" w:cs="Arial" w:eastAsia="Arial" w:hAnsi="Arial"/>
          <w:sz w:val="18"/>
          <w:szCs w:val="18"/>
          <w:color w:val="auto"/>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206"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Virginia became the second state after California to enact a broad privacy law with the passage of the Virginia Consumer Data Protection Act (CDPA) on March 2, 2021. The CDPA contains several new requirements for covered companies that may add operational challenges, including a greater emphasis on transparency, broader affirmative consent or opt-in requirements to process sensitive personal data, broader opt-out rights and data protection assessment requirements for certain sales of personal data as well as targeted advertising and profiling, and an appeal process for denials of consumer rights requests. The law will take effect January 1, 2023, the same day as the CPRA. Colorado became the third state with the passage of the Colorado Privacy Act (CPA) on July 8, 2021. Like the CDPA, the CPA provides consumers the right to opt out of processing for sales of personal data, targeted advertising, and profiling, provides the right to appeal a business’ denial to take action, among other new consumer rights, requires data protection assessments for certain processing activities, and, unlike the CDPA, grants the Attorney General rulemaking powers. The law will take effect on July 1, 2023. Unlike in California, neither law provides for a private right of action. We anticipate that more states may enact legislation similar to the CCPA, which provides consumers with new privacy rights and increases the privacy and security obligations of entities handling certain personal information of such consumers.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218" w:lineRule="exact"/>
        <w:rPr>
          <w:sz w:val="20"/>
          <w:szCs w:val="20"/>
          <w:color w:val="auto"/>
        </w:rPr>
      </w:pPr>
    </w:p>
    <w:p>
      <w:pPr>
        <w:ind w:right="20" w:firstLine="509"/>
        <w:spacing w:after="0" w:line="267" w:lineRule="auto"/>
        <w:rPr>
          <w:sz w:val="20"/>
          <w:szCs w:val="20"/>
          <w:color w:val="auto"/>
        </w:rPr>
      </w:pPr>
      <w:r>
        <w:rPr>
          <w:rFonts w:ascii="Arial" w:cs="Arial" w:eastAsia="Arial" w:hAnsi="Arial"/>
          <w:sz w:val="18"/>
          <w:szCs w:val="18"/>
          <w:color w:val="auto"/>
        </w:rPr>
        <w:t>Many of the foreign jurisdictions where we or our clients operate or conduct business, including the European Union, have laws and regulations dealing with the collection, use, storage, and disclosure and other handling (collectively, processing) of personal information, which in some cases are more restrictive than those in the United States.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Flywire has multiple offices in Europe and serves clients and their customers throughout the E.U., where the GDPR went into effect in 2018. The General Data Protection Regulation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76" w:name="page77"/>
    <w:bookmarkEnd w:id="76"/>
    <w:p>
      <w:pPr>
        <w:ind w:right="60"/>
        <w:spacing w:after="0" w:line="271" w:lineRule="auto"/>
        <w:rPr>
          <w:sz w:val="20"/>
          <w:szCs w:val="20"/>
          <w:color w:val="auto"/>
        </w:rPr>
      </w:pPr>
      <w:r>
        <w:rPr>
          <w:rFonts w:ascii="Arial" w:cs="Arial" w:eastAsia="Arial" w:hAnsi="Arial"/>
          <w:sz w:val="18"/>
          <w:szCs w:val="18"/>
          <w:color w:val="auto"/>
        </w:rPr>
        <w:t>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203" w:lineRule="exact"/>
        <w:rPr>
          <w:sz w:val="20"/>
          <w:szCs w:val="20"/>
          <w:color w:val="auto"/>
        </w:rPr>
      </w:pPr>
    </w:p>
    <w:p>
      <w:pPr>
        <w:ind w:right="20" w:firstLine="509"/>
        <w:spacing w:after="0" w:line="266" w:lineRule="auto"/>
        <w:rPr>
          <w:sz w:val="20"/>
          <w:szCs w:val="20"/>
          <w:color w:val="auto"/>
        </w:rPr>
      </w:pPr>
      <w:r>
        <w:rPr>
          <w:rFonts w:ascii="Arial" w:cs="Arial" w:eastAsia="Arial" w:hAnsi="Arial"/>
          <w:sz w:val="18"/>
          <w:szCs w:val="18"/>
          <w:color w:val="auto"/>
        </w:rPr>
        <w:t>Recent 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European Court of Justice (CJEU) ruled in its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(C-311/18), that the Privacy Shield, a transfer mechanism used by thousands of companies to transfer data between those jurisdictions and United States (and also used by Flywire),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Flywire and our clients continue to use alternative transfer strategies, including the European Commission’s Standard Contractual Clauses (SCCs), while the authorities interpret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clients and clients’ customer facing solutions, or may otherwise affect or restrict our sales and operations.</w:t>
      </w:r>
    </w:p>
    <w:p>
      <w:pPr>
        <w:spacing w:after="0" w:line="218" w:lineRule="exact"/>
        <w:rPr>
          <w:sz w:val="20"/>
          <w:szCs w:val="20"/>
          <w:color w:val="auto"/>
        </w:rPr>
      </w:pPr>
    </w:p>
    <w:p>
      <w:pPr>
        <w:ind w:right="160" w:firstLine="509"/>
        <w:spacing w:after="0" w:line="267" w:lineRule="auto"/>
        <w:rPr>
          <w:sz w:val="20"/>
          <w:szCs w:val="20"/>
          <w:color w:val="auto"/>
        </w:rPr>
      </w:pPr>
      <w:r>
        <w:rPr>
          <w:rFonts w:ascii="Arial" w:cs="Arial" w:eastAsia="Arial" w:hAnsi="Arial"/>
          <w:sz w:val="18"/>
          <w:szCs w:val="18"/>
          <w:color w:val="auto"/>
        </w:rPr>
        <w:t xml:space="preserve">On June 4, 2021, the European Commission released the final Implementing Decision on SCCs (New SCCs) for the transfer of personal data from the EU to “third countries” such as the US. The New SCCs will repeal and replace the existing SCCs (dating from 2001, 2004 and 2010) and address the entry into force of the GDPR) and the July 2020 decision of the CJEU in </w:t>
      </w:r>
      <w:r>
        <w:rPr>
          <w:rFonts w:ascii="Arial" w:cs="Arial" w:eastAsia="Arial" w:hAnsi="Arial"/>
          <w:sz w:val="18"/>
          <w:szCs w:val="18"/>
          <w:i w:val="1"/>
          <w:iCs w:val="1"/>
          <w:color w:val="auto"/>
        </w:rPr>
        <w:t>Schrems II</w:t>
      </w:r>
      <w:r>
        <w:rPr>
          <w:rFonts w:ascii="Arial" w:cs="Arial" w:eastAsia="Arial" w:hAnsi="Arial"/>
          <w:sz w:val="18"/>
          <w:szCs w:val="18"/>
          <w:color w:val="auto"/>
        </w:rPr>
        <w:t>,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 SCCs are not immediately in force, compliance with them will be required for new transfer agreements entered into from late September 2021. SCCs currently in effect must be replaced with the New SCCs by late December 2022.</w:t>
      </w:r>
    </w:p>
    <w:p>
      <w:pPr>
        <w:spacing w:after="0" w:line="209"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E.U. data protection authorities have the power to impose administrative fines for violations of the GDPR of up to a maximum of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p>
    <w:p>
      <w:pPr>
        <w:spacing w:after="0" w:line="205" w:lineRule="exact"/>
        <w:rPr>
          <w:sz w:val="20"/>
          <w:szCs w:val="20"/>
          <w:color w:val="auto"/>
        </w:rPr>
      </w:pPr>
    </w:p>
    <w:p>
      <w:pPr>
        <w:ind w:right="20" w:firstLine="509"/>
        <w:spacing w:after="0" w:line="267" w:lineRule="auto"/>
        <w:rPr>
          <w:sz w:val="20"/>
          <w:szCs w:val="20"/>
          <w:color w:val="auto"/>
        </w:rPr>
      </w:pPr>
      <w:r>
        <w:rPr>
          <w:rFonts w:ascii="Arial" w:cs="Arial" w:eastAsia="Arial" w:hAnsi="Arial"/>
          <w:sz w:val="18"/>
          <w:szCs w:val="18"/>
          <w:color w:val="auto"/>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 regarded by the U.K. as providing adequate protection (this means that personal data transfers from the U.K. to the EEA remain free flowing).</w:t>
      </w:r>
    </w:p>
    <w:p>
      <w:pPr>
        <w:spacing w:after="0" w:line="210"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On June 28, 2021, the European Commission adopted an adequacy decision under the GDPR, thereby recognizing that the U.K.’s data protection system continues to provide the same protections with respect to personal data as when it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77" w:name="page78"/>
    <w:bookmarkEnd w:id="77"/>
    <w:p>
      <w:pPr>
        <w:ind w:right="80"/>
        <w:spacing w:after="0" w:line="268" w:lineRule="auto"/>
        <w:rPr>
          <w:sz w:val="20"/>
          <w:szCs w:val="20"/>
          <w:color w:val="auto"/>
        </w:rPr>
      </w:pPr>
      <w:r>
        <w:rPr>
          <w:rFonts w:ascii="Arial" w:cs="Arial" w:eastAsia="Arial" w:hAnsi="Arial"/>
          <w:sz w:val="18"/>
          <w:szCs w:val="18"/>
          <w:color w:val="auto"/>
        </w:rPr>
        <w:t>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does, however, include a ‘sunset clause’, limiting its duration to four years, at which point the European Commission will need to once again review the safeguards in place in the U.K.’s post-Brexit legal system and decide if the adequacy decision may be renewed.</w:t>
      </w:r>
    </w:p>
    <w:p>
      <w:pPr>
        <w:spacing w:after="0" w:line="208" w:lineRule="exact"/>
        <w:rPr>
          <w:sz w:val="20"/>
          <w:szCs w:val="20"/>
          <w:color w:val="auto"/>
        </w:rPr>
      </w:pPr>
    </w:p>
    <w:p>
      <w:pPr>
        <w:ind w:right="280" w:firstLine="509"/>
        <w:spacing w:after="0" w:line="269" w:lineRule="auto"/>
        <w:rPr>
          <w:sz w:val="20"/>
          <w:szCs w:val="20"/>
          <w:color w:val="auto"/>
        </w:rPr>
      </w:pPr>
      <w:r>
        <w:rPr>
          <w:rFonts w:ascii="Arial" w:cs="Arial" w:eastAsia="Arial" w:hAnsi="Arial"/>
          <w:sz w:val="18"/>
          <w:szCs w:val="18"/>
          <w:color w:val="auto"/>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spacing w:after="0" w:line="206"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spacing w:after="0" w:line="218"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292" w:lineRule="exact"/>
        <w:rPr>
          <w:sz w:val="20"/>
          <w:szCs w:val="20"/>
          <w:color w:val="auto"/>
        </w:rPr>
      </w:pPr>
    </w:p>
    <w:p>
      <w:pPr>
        <w:ind w:right="160"/>
        <w:spacing w:after="0" w:line="303"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66" w:lineRule="exact"/>
        <w:rPr>
          <w:sz w:val="20"/>
          <w:szCs w:val="20"/>
          <w:color w:val="auto"/>
        </w:rPr>
      </w:pPr>
    </w:p>
    <w:p>
      <w:pPr>
        <w:ind w:right="20" w:firstLine="509"/>
        <w:spacing w:after="0" w:line="267" w:lineRule="auto"/>
        <w:rPr>
          <w:sz w:val="20"/>
          <w:szCs w:val="20"/>
          <w:color w:val="auto"/>
        </w:rPr>
      </w:pPr>
      <w:r>
        <w:rPr>
          <w:rFonts w:ascii="Arial" w:cs="Arial" w:eastAsia="Arial" w:hAnsi="Arial"/>
          <w:sz w:val="18"/>
          <w:szCs w:val="18"/>
          <w:color w:val="auto"/>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in several countries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p>
    <w:p>
      <w:pPr>
        <w:spacing w:after="0" w:line="208"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78" w:name="page79"/>
    <w:bookmarkEnd w:id="78"/>
    <w:p>
      <w:pPr>
        <w:spacing w:after="0" w:line="277" w:lineRule="auto"/>
        <w:rPr>
          <w:sz w:val="20"/>
          <w:szCs w:val="20"/>
          <w:color w:val="auto"/>
        </w:rPr>
      </w:pPr>
      <w:r>
        <w:rPr>
          <w:rFonts w:ascii="Arial" w:cs="Arial" w:eastAsia="Arial" w:hAnsi="Arial"/>
          <w:sz w:val="18"/>
          <w:szCs w:val="18"/>
          <w:color w:val="auto"/>
        </w:rPr>
        <w:t>cannot assure you that all of our FlyMates and agents will not take actions in violation of our policies and applicable law, for which we may be ultimately held responsible. As we increase our international business, our risks under these laws may increase.</w:t>
      </w:r>
    </w:p>
    <w:p>
      <w:pPr>
        <w:spacing w:after="0" w:line="197"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296" w:lineRule="exact"/>
        <w:rPr>
          <w:sz w:val="20"/>
          <w:szCs w:val="20"/>
          <w:color w:val="auto"/>
        </w:rPr>
      </w:pPr>
    </w:p>
    <w:p>
      <w:pPr>
        <w:ind w:right="80"/>
        <w:spacing w:after="0" w:line="303" w:lineRule="auto"/>
        <w:rPr>
          <w:sz w:val="20"/>
          <w:szCs w:val="20"/>
          <w:color w:val="auto"/>
        </w:rPr>
      </w:pPr>
      <w:r>
        <w:rPr>
          <w:rFonts w:ascii="Arial" w:cs="Arial" w:eastAsia="Arial" w:hAnsi="Arial"/>
          <w:sz w:val="18"/>
          <w:szCs w:val="18"/>
          <w:b w:val="1"/>
          <w:bCs w:val="1"/>
          <w:i w:val="1"/>
          <w:iCs w:val="1"/>
          <w:color w:val="auto"/>
        </w:rPr>
        <w:t>New or revised tax regulations, unfavorable resolution of tax contingencies or changes to enacted tax rates could adversely affect our tax expense.</w:t>
      </w:r>
    </w:p>
    <w:p>
      <w:pPr>
        <w:spacing w:after="0" w:line="66" w:lineRule="exact"/>
        <w:rPr>
          <w:sz w:val="20"/>
          <w:szCs w:val="20"/>
          <w:color w:val="auto"/>
        </w:rPr>
      </w:pPr>
    </w:p>
    <w:p>
      <w:pPr>
        <w:ind w:right="140" w:firstLine="509"/>
        <w:spacing w:after="0" w:line="269" w:lineRule="auto"/>
        <w:rPr>
          <w:sz w:val="20"/>
          <w:szCs w:val="20"/>
          <w:color w:val="auto"/>
        </w:rPr>
      </w:pPr>
      <w:r>
        <w:rPr>
          <w:rFonts w:ascii="Arial" w:cs="Arial" w:eastAsia="Arial" w:hAnsi="Arial"/>
          <w:sz w:val="18"/>
          <w:szCs w:val="18"/>
          <w:color w:val="auto"/>
        </w:rPr>
        <w:t>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spacing w:after="0" w:line="206"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 xml:space="preserve">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recently ruled in </w:t>
      </w:r>
      <w:r>
        <w:rPr>
          <w:rFonts w:ascii="Arial" w:cs="Arial" w:eastAsia="Arial" w:hAnsi="Arial"/>
          <w:sz w:val="18"/>
          <w:szCs w:val="18"/>
          <w:i w:val="1"/>
          <w:iCs w:val="1"/>
          <w:color w:val="auto"/>
        </w:rPr>
        <w:t>South Dakota v. Wayfair, Inc. et al</w:t>
      </w:r>
      <w:r>
        <w:rPr>
          <w:rFonts w:ascii="Arial" w:cs="Arial" w:eastAsia="Arial" w:hAnsi="Arial"/>
          <w:sz w:val="18"/>
          <w:szCs w:val="18"/>
          <w:color w:val="auto"/>
        </w:rPr>
        <w:t xml:space="preserve">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spacing w:after="0" w:line="208"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p>
    <w:p>
      <w:pPr>
        <w:spacing w:after="0" w:line="296"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b w:val="1"/>
          <w:bCs w:val="1"/>
          <w:i w:val="1"/>
          <w:iCs w:val="1"/>
          <w:color w:val="auto"/>
        </w:rPr>
        <w:t>f we fail to adequately protect our proprietary rights, our competitive position could be impaired and we may lose valuable assets,</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generate less revenue and incur costly litigation to protect our rights.</w:t>
      </w:r>
    </w:p>
    <w:p>
      <w:pPr>
        <w:spacing w:after="0" w:line="174" w:lineRule="exact"/>
        <w:rPr>
          <w:sz w:val="20"/>
          <w:szCs w:val="20"/>
          <w:color w:val="auto"/>
        </w:rPr>
      </w:pPr>
    </w:p>
    <w:p>
      <w:pPr>
        <w:ind w:right="20" w:firstLine="509"/>
        <w:spacing w:after="0" w:line="267"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79" w:name="page80"/>
    <w:bookmarkEnd w:id="79"/>
    <w:p>
      <w:pPr>
        <w:ind w:right="220"/>
        <w:spacing w:after="0" w:line="277" w:lineRule="auto"/>
        <w:rPr>
          <w:sz w:val="20"/>
          <w:szCs w:val="20"/>
          <w:color w:val="auto"/>
        </w:rPr>
      </w:pPr>
      <w:r>
        <w:rPr>
          <w:rFonts w:ascii="Arial" w:cs="Arial" w:eastAsia="Arial" w:hAnsi="Arial"/>
          <w:sz w:val="18"/>
          <w:szCs w:val="18"/>
          <w:color w:val="auto"/>
        </w:rPr>
        <w:t>protection of intellectual property rights are uncertain. Despite our precautions, it may be possible for unauthorized third parties to copy our solutions and use information that we regard as proprietary to create solutions that compete with ours.</w:t>
      </w:r>
    </w:p>
    <w:p>
      <w:pPr>
        <w:spacing w:after="0" w:line="197" w:lineRule="exact"/>
        <w:rPr>
          <w:sz w:val="20"/>
          <w:szCs w:val="20"/>
          <w:color w:val="auto"/>
        </w:rPr>
      </w:pPr>
    </w:p>
    <w:p>
      <w:pPr>
        <w:ind w:right="160" w:firstLine="509"/>
        <w:spacing w:after="0" w:line="267" w:lineRule="auto"/>
        <w:rPr>
          <w:sz w:val="20"/>
          <w:szCs w:val="20"/>
          <w:color w:val="auto"/>
        </w:rPr>
      </w:pPr>
      <w:r>
        <w:rPr>
          <w:rFonts w:ascii="Arial" w:cs="Arial" w:eastAsia="Arial" w:hAnsi="Arial"/>
          <w:sz w:val="18"/>
          <w:szCs w:val="18"/>
          <w:color w:val="auto"/>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w:t>
      </w:r>
    </w:p>
    <w:p>
      <w:pPr>
        <w:spacing w:after="0" w:line="209" w:lineRule="exact"/>
        <w:rPr>
          <w:sz w:val="20"/>
          <w:szCs w:val="20"/>
          <w:color w:val="auto"/>
        </w:rPr>
      </w:pPr>
    </w:p>
    <w:p>
      <w:pPr>
        <w:ind w:right="60" w:firstLine="509"/>
        <w:spacing w:after="0" w:line="267" w:lineRule="auto"/>
        <w:rPr>
          <w:sz w:val="20"/>
          <w:szCs w:val="20"/>
          <w:color w:val="auto"/>
        </w:rPr>
      </w:pPr>
      <w:r>
        <w:rPr>
          <w:rFonts w:ascii="Arial" w:cs="Arial" w:eastAsia="Arial" w:hAnsi="Arial"/>
          <w:sz w:val="18"/>
          <w:szCs w:val="18"/>
          <w:color w:val="auto"/>
        </w:rPr>
        <w:t>We endeavor to enter into agreements with our employees, consultants and contractors and with parties with whom we do business in order to acquire intellectual property rights developed as a result of service to Flywire, as well as to limit access to and disclosure of our proprietary information. No assurance can be given that our intellectual property related agreements with our employees,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spacing w:after="0" w:line="209" w:lineRule="exact"/>
        <w:rPr>
          <w:sz w:val="20"/>
          <w:szCs w:val="20"/>
          <w:color w:val="auto"/>
        </w:rPr>
      </w:pPr>
    </w:p>
    <w:p>
      <w:pPr>
        <w:ind w:right="60" w:firstLine="509"/>
        <w:spacing w:after="0" w:line="267"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294" w:lineRule="exact"/>
        <w:rPr>
          <w:sz w:val="20"/>
          <w:szCs w:val="20"/>
          <w:color w:val="auto"/>
        </w:rPr>
      </w:pPr>
    </w:p>
    <w:p>
      <w:pPr>
        <w:ind w:right="320"/>
        <w:spacing w:after="0" w:line="303" w:lineRule="auto"/>
        <w:rPr>
          <w:sz w:val="20"/>
          <w:szCs w:val="20"/>
          <w:color w:val="auto"/>
        </w:rPr>
      </w:pPr>
      <w:r>
        <w:rPr>
          <w:rFonts w:ascii="Arial" w:cs="Arial" w:eastAsia="Arial" w:hAnsi="Arial"/>
          <w:sz w:val="18"/>
          <w:szCs w:val="18"/>
          <w:b w:val="1"/>
          <w:bCs w:val="1"/>
          <w:i w:val="1"/>
          <w:iCs w:val="1"/>
          <w:color w:val="auto"/>
        </w:rPr>
        <w:t>We may in the future be subject to intellectual property disputes, which are costly and may subject us to significant liability and increased costs of doing business.</w:t>
      </w:r>
    </w:p>
    <w:p>
      <w:pPr>
        <w:spacing w:after="0" w:line="66"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0" w:name="page81"/>
    <w:bookmarkEnd w:id="80"/>
    <w:p>
      <w:pPr>
        <w:ind w:right="380"/>
        <w:spacing w:after="0" w:line="303" w:lineRule="auto"/>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and sell access to our solutions and subject us to possible litigation.</w:t>
      </w:r>
    </w:p>
    <w:p>
      <w:pPr>
        <w:spacing w:after="0" w:line="66" w:lineRule="exact"/>
        <w:rPr>
          <w:sz w:val="20"/>
          <w:szCs w:val="20"/>
          <w:color w:val="auto"/>
        </w:rPr>
      </w:pPr>
    </w:p>
    <w:p>
      <w:pPr>
        <w:ind w:right="40" w:firstLine="509"/>
        <w:spacing w:after="0" w:line="268" w:lineRule="auto"/>
        <w:rPr>
          <w:sz w:val="20"/>
          <w:szCs w:val="20"/>
          <w:color w:val="auto"/>
        </w:rPr>
      </w:pPr>
      <w:r>
        <w:rPr>
          <w:rFonts w:ascii="Arial" w:cs="Arial" w:eastAsia="Arial" w:hAnsi="Arial"/>
          <w:sz w:val="18"/>
          <w:szCs w:val="18"/>
          <w:color w:val="auto"/>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recently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spacing w:after="0" w:line="205" w:lineRule="exact"/>
        <w:rPr>
          <w:sz w:val="20"/>
          <w:szCs w:val="20"/>
          <w:color w:val="auto"/>
        </w:rPr>
      </w:pPr>
    </w:p>
    <w:p>
      <w:pPr>
        <w:ind w:right="40" w:firstLine="509"/>
        <w:spacing w:after="0" w:line="267" w:lineRule="auto"/>
        <w:rPr>
          <w:sz w:val="20"/>
          <w:szCs w:val="20"/>
          <w:color w:val="auto"/>
        </w:rPr>
      </w:pPr>
      <w:r>
        <w:rPr>
          <w:rFonts w:ascii="Arial" w:cs="Arial" w:eastAsia="Arial" w:hAnsi="Arial"/>
          <w:sz w:val="18"/>
          <w:szCs w:val="18"/>
          <w:color w:val="auto"/>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p>
    <w:p>
      <w:pPr>
        <w:spacing w:after="0" w:line="294" w:lineRule="exact"/>
        <w:rPr>
          <w:sz w:val="20"/>
          <w:szCs w:val="20"/>
          <w:color w:val="auto"/>
        </w:rPr>
      </w:pPr>
    </w:p>
    <w:p>
      <w:pPr>
        <w:ind w:right="600"/>
        <w:spacing w:after="0" w:line="303" w:lineRule="auto"/>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b w:val="1"/>
          <w:bCs w:val="1"/>
          <w:i w:val="1"/>
          <w:iCs w:val="1"/>
          <w:color w:val="auto"/>
        </w:rPr>
        <w:t>ndemnity and liability provisions in various agreements potentially expose us to substantial liability for intellectual property</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infringement, data protection, and other losses.</w:t>
      </w:r>
    </w:p>
    <w:p>
      <w:pPr>
        <w:spacing w:after="0" w:line="66"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 customer data, and any such coverage may not continue to be available to us on acceptable terms or at all.</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United Kingdom’s departure from the E.U. could adversely affect us.</w:t>
      </w:r>
    </w:p>
    <w:p>
      <w:pPr>
        <w:spacing w:after="0" w:line="153"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The U.K. formally exited the E.U. on January 31, 2020 and a transition period was in place until December 31, 2020 during which time the U.K. remained in both the E.U. customs union and single market and was subject to E.U. rules. There is a significant lack of clarity over the terms of the U.K.’s future relationship with the E.U. in the future.</w:t>
      </w:r>
    </w:p>
    <w:p>
      <w:pPr>
        <w:spacing w:after="0" w:line="203" w:lineRule="exact"/>
        <w:rPr>
          <w:sz w:val="20"/>
          <w:szCs w:val="20"/>
          <w:color w:val="auto"/>
        </w:rPr>
      </w:pPr>
    </w:p>
    <w:p>
      <w:pPr>
        <w:ind w:right="140" w:firstLine="509"/>
        <w:spacing w:after="0" w:line="268" w:lineRule="auto"/>
        <w:rPr>
          <w:sz w:val="20"/>
          <w:szCs w:val="20"/>
          <w:color w:val="auto"/>
        </w:rPr>
      </w:pPr>
      <w:r>
        <w:rPr>
          <w:rFonts w:ascii="Arial" w:cs="Arial" w:eastAsia="Arial" w:hAnsi="Arial"/>
          <w:sz w:val="18"/>
          <w:szCs w:val="18"/>
          <w:color w:val="auto"/>
        </w:rPr>
        <w:t>Brexit could therefore adversely affect U.K., regional (including European), and worldwide economic and market conditions and could contribute to instability in global financial and foreign currency exchange markets, including volatility in the value of the British Pound and Euro, which in turn could adversely affect us or our clients and companies with which we do business, particularly in the U.K. Brexit could lead to greater restrictions on travel between the U.K. and the EEA region, with the potential inability of students to travel or relocate for purposes of seeking foreign educational opportunities. Brexit could also trigger a general deterioration in credit conditions, a downturn in consumer sentiment, and overall negative economic growth. Any of these scenarios could have an adverse effect on our business or our clients.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jc w:val="both"/>
        <w:ind w:right="100" w:firstLine="509"/>
        <w:spacing w:after="0" w:line="271" w:lineRule="auto"/>
        <w:rPr>
          <w:sz w:val="20"/>
          <w:szCs w:val="20"/>
          <w:color w:val="auto"/>
        </w:rPr>
      </w:pPr>
      <w:r>
        <w:rPr>
          <w:rFonts w:ascii="Arial" w:cs="Arial" w:eastAsia="Arial" w:hAnsi="Arial"/>
          <w:sz w:val="18"/>
          <w:szCs w:val="18"/>
          <w:color w:val="auto"/>
        </w:rPr>
        <w:t>In addition, Brexit could lead to legal uncertainty and increased complexity for financial services firms as national laws and regulations in the U.K. start to diverge from E.U. laws and regulations. In particular, depending on the terms of Brexit, we may face new regulatory costs and challenges, including the following:</w:t>
      </w:r>
    </w:p>
    <w:p>
      <w:pPr>
        <w:spacing w:after="0" w:line="95" w:lineRule="exact"/>
        <w:rPr>
          <w:sz w:val="20"/>
          <w:szCs w:val="20"/>
          <w:color w:val="auto"/>
        </w:rPr>
      </w:pPr>
    </w:p>
    <w:p>
      <w:pPr>
        <w:ind w:left="960" w:right="120"/>
        <w:spacing w:after="0" w:line="271" w:lineRule="auto"/>
        <w:rPr>
          <w:sz w:val="20"/>
          <w:szCs w:val="20"/>
          <w:color w:val="auto"/>
        </w:rPr>
      </w:pPr>
      <w:r>
        <w:rPr>
          <w:rFonts w:ascii="Arial" w:cs="Arial" w:eastAsia="Arial" w:hAnsi="Arial"/>
          <w:sz w:val="18"/>
          <w:szCs w:val="18"/>
          <w:color w:val="auto"/>
        </w:rPr>
        <w:t>if we are unable to utilize appropriate authorizations and regulatory permissions, our European operations could lose their ability to offer services into the U.K. market on a cross-border basis and for our U.K. based operations to offer services on a cross-border basis in the European markets;</w:t>
      </w:r>
    </w:p>
    <w:p>
      <w:pPr>
        <w:spacing w:after="0" w:line="95" w:lineRule="exact"/>
        <w:rPr>
          <w:sz w:val="20"/>
          <w:szCs w:val="20"/>
          <w:color w:val="auto"/>
        </w:rPr>
      </w:pPr>
    </w:p>
    <w:p>
      <w:pPr>
        <w:ind w:left="960" w:right="280"/>
        <w:spacing w:after="0" w:line="271" w:lineRule="auto"/>
        <w:rPr>
          <w:sz w:val="20"/>
          <w:szCs w:val="20"/>
          <w:color w:val="auto"/>
        </w:rPr>
      </w:pPr>
      <w:r>
        <w:rPr>
          <w:rFonts w:ascii="Arial" w:cs="Arial" w:eastAsia="Arial" w:hAnsi="Arial"/>
          <w:sz w:val="18"/>
          <w:szCs w:val="18"/>
          <w:color w:val="auto"/>
        </w:rPr>
        <w:t>we could be required to obtain additional regulatory permissions to operate in the U.K. market, adding costs and potential inconsistency to our business. Depending on the capacity of the U.K. authorities, the criteria for obtaining permission, and any possible transitional arrangements, our business in the U.K. could be materially affected or disrupted;</w:t>
      </w:r>
    </w:p>
    <w:p>
      <w:pPr>
        <w:spacing w:after="0" w:line="95" w:lineRule="exact"/>
        <w:rPr>
          <w:sz w:val="20"/>
          <w:szCs w:val="20"/>
          <w:color w:val="auto"/>
        </w:rPr>
      </w:pPr>
    </w:p>
    <w:p>
      <w:pPr>
        <w:ind w:left="960" w:right="400"/>
        <w:spacing w:after="0" w:line="277" w:lineRule="auto"/>
        <w:rPr>
          <w:sz w:val="20"/>
          <w:szCs w:val="20"/>
          <w:color w:val="auto"/>
        </w:rPr>
      </w:pPr>
      <w:r>
        <w:rPr>
          <w:rFonts w:ascii="Arial" w:cs="Arial" w:eastAsia="Arial" w:hAnsi="Arial"/>
          <w:sz w:val="18"/>
          <w:szCs w:val="18"/>
          <w:color w:val="auto"/>
        </w:rPr>
        <w:t>we could be required to comply with legal and regulatory requirements in the U.K. that are in addition to, or inconsistent with, those of the E.U., leading to increased complexity and costs for our European and U.K. operations; and</w:t>
      </w:r>
    </w:p>
    <w:p>
      <w:pPr>
        <w:spacing w:after="0" w:line="89" w:lineRule="exact"/>
        <w:rPr>
          <w:sz w:val="20"/>
          <w:szCs w:val="20"/>
          <w:color w:val="auto"/>
        </w:rPr>
      </w:pPr>
    </w:p>
    <w:p>
      <w:pPr>
        <w:ind w:left="960" w:right="660"/>
        <w:spacing w:after="0" w:line="277" w:lineRule="auto"/>
        <w:rPr>
          <w:sz w:val="20"/>
          <w:szCs w:val="20"/>
          <w:color w:val="auto"/>
        </w:rPr>
      </w:pPr>
      <w:r>
        <w:rPr>
          <w:rFonts w:ascii="Arial" w:cs="Arial" w:eastAsia="Arial" w:hAnsi="Arial"/>
          <w:sz w:val="18"/>
          <w:szCs w:val="18"/>
          <w:color w:val="auto"/>
        </w:rPr>
        <w:t>our ability to attract and retain the necessary human resources in appropriate locations to support our U.K. and European business could be adversely impacted.</w:t>
      </w:r>
    </w:p>
    <w:p>
      <w:pPr>
        <w:spacing w:after="0" w:line="197"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These and other factors related to Brexit could, individually or in the aggregate, have a material adverse impact on our business, financial condition,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53" w:lineRule="exact"/>
        <w:rPr>
          <w:sz w:val="20"/>
          <w:szCs w:val="20"/>
          <w:color w:val="auto"/>
        </w:rPr>
      </w:pPr>
    </w:p>
    <w:p>
      <w:pPr>
        <w:ind w:firstLine="509"/>
        <w:spacing w:after="0" w:line="267" w:lineRule="auto"/>
        <w:rPr>
          <w:sz w:val="20"/>
          <w:szCs w:val="20"/>
          <w:color w:val="auto"/>
        </w:rPr>
      </w:pPr>
      <w:r>
        <w:rPr>
          <w:rFonts w:ascii="Arial" w:cs="Arial" w:eastAsia="Arial" w:hAnsi="Arial"/>
          <w:sz w:val="18"/>
          <w:szCs w:val="18"/>
          <w:color w:val="auto"/>
        </w:rPr>
        <w:t>As of September 30, 2021, we had U.S. federal net operating loss (NOL) carryforwards of approximately $123.0 million and state net operating loss carryforwards of approximately $105.6 million. The federal and material state net operating loss carryforwards will begin to expire in 2030 and 2024,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If it is determined that we have in the past experienced an ownership change, or if we undergo one or more ownership changes as a result of our IPO or future transactions in our stock, then our ability to utilize NOLs and other pre-change tax attributes could be limited by Sections 382 and 383 of the Code. Future changes in our stock ownership, many of which are outside of our control, could result in an ownership change under Sections 382 or 383 of the Code. Furthermore, our ability to utilize NOLs of companies that we may acquire in the future may be subject to limitations. For these reasons, we may not be able to utilize a material portion of the NOLs, even if we were to achieve profitability.</w:t>
      </w:r>
    </w:p>
    <w:p>
      <w:pPr>
        <w:spacing w:after="0" w:line="207" w:lineRule="exact"/>
        <w:rPr>
          <w:sz w:val="20"/>
          <w:szCs w:val="20"/>
          <w:color w:val="auto"/>
        </w:rPr>
      </w:pPr>
    </w:p>
    <w:p>
      <w:pPr>
        <w:ind w:right="60" w:firstLine="509"/>
        <w:spacing w:after="0" w:line="267" w:lineRule="auto"/>
        <w:rPr>
          <w:sz w:val="20"/>
          <w:szCs w:val="20"/>
          <w:color w:val="auto"/>
        </w:rPr>
      </w:pPr>
      <w:r>
        <w:rPr>
          <w:rFonts w:ascii="Arial" w:cs="Arial" w:eastAsia="Arial" w:hAnsi="Arial"/>
          <w:sz w:val="18"/>
          <w:szCs w:val="18"/>
          <w:color w:val="auto"/>
        </w:rPr>
        <w:t>Under the Tax Cuts and Jobs Act enacted in 2017 (Tax Act) as modified by the Coronavirus Aid, Relief, and Economic Security Act enacted in 2020 (CARES Act), U.S. federal NOL carryforwards generated in taxable periods beginning after December 31, 2017 may be carried forward indefinitely, but the deductibility of such NOL carryforwards in taxable years beginning after December 31, 2020 is limited to 80% of taxable income. In addition, federal NOLs arising in tax years ending after December 31, 2017 can be carried forward indefinitely, but carryback is generally prohibited. NOLs generated in tax years beginning before January 1, 2018 will not be subject to the taxable income limitation, and NOLs generated in tax years ending before January 1, 2018 will continue to have a two-year carryback and twenty-year carryforward period. Deferred tax assets for NOLs will need to be measured at the applicable tax rate in effect when the NOL is expected to be utilized. Similar rules may apply under state tax laws. The changes in the carryforward/carryback periods as well as the new limitation on use of NOLs may significantly impact our valuation allowance assessments for NOLs generated after December 31,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31"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84"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(Exchange Act), the Sarbanes-Oxley Act of 2002 (Sarbanes-Oxley Act), the Dodd-Frank Wall Street Reform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2" w:name="page83"/>
    <w:bookmarkEnd w:id="82"/>
    <w:p>
      <w:pPr>
        <w:ind w:right="80"/>
        <w:spacing w:after="0" w:line="267" w:lineRule="auto"/>
        <w:rPr>
          <w:sz w:val="20"/>
          <w:szCs w:val="20"/>
          <w:color w:val="auto"/>
        </w:rPr>
      </w:pPr>
      <w:r>
        <w:rPr>
          <w:rFonts w:ascii="Arial" w:cs="Arial" w:eastAsia="Arial" w:hAnsi="Arial"/>
          <w:sz w:val="18"/>
          <w:szCs w:val="18"/>
          <w:color w:val="auto"/>
        </w:rPr>
        <w:t>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particularly after we are no longer an emerging growth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spacing w:after="0" w:line="208" w:lineRule="exact"/>
        <w:rPr>
          <w:sz w:val="20"/>
          <w:szCs w:val="20"/>
          <w:color w:val="auto"/>
        </w:rPr>
      </w:pPr>
    </w:p>
    <w:p>
      <w:pPr>
        <w:ind w:right="80" w:firstLine="509"/>
        <w:spacing w:after="0" w:line="268" w:lineRule="auto"/>
        <w:rPr>
          <w:sz w:val="20"/>
          <w:szCs w:val="20"/>
          <w:color w:val="auto"/>
        </w:rPr>
      </w:pPr>
      <w:r>
        <w:rPr>
          <w:rFonts w:ascii="Arial" w:cs="Arial" w:eastAsia="Arial" w:hAnsi="Arial"/>
          <w:sz w:val="18"/>
          <w:szCs w:val="18"/>
          <w:color w:val="auto"/>
        </w:rPr>
        <w:t>As a public company, we are required, pursuant to Section 404 of the Sarbanes-Oxley Act (Section 404), to furnish a report by management on, among other things, the effectiveness of our internal control over financial reporting commencing with our second annual report on Form 10-K.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205" w:lineRule="exact"/>
        <w:rPr>
          <w:sz w:val="20"/>
          <w:szCs w:val="20"/>
          <w:color w:val="auto"/>
        </w:rPr>
      </w:pPr>
    </w:p>
    <w:p>
      <w:pPr>
        <w:ind w:right="20" w:firstLine="509"/>
        <w:spacing w:after="0" w:line="267" w:lineRule="auto"/>
        <w:rPr>
          <w:sz w:val="20"/>
          <w:szCs w:val="20"/>
          <w:color w:val="auto"/>
        </w:rPr>
      </w:pPr>
      <w:r>
        <w:rPr>
          <w:rFonts w:ascii="Arial" w:cs="Arial" w:eastAsia="Arial" w:hAnsi="Arial"/>
          <w:sz w:val="18"/>
          <w:szCs w:val="18"/>
          <w:color w:val="auto"/>
        </w:rPr>
        <w:t>This assessment will need to include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provided that our independent registered public accounting firm will not be required to attest to the effectiveness of our internal control over financial reporting until our first annual report required to be filed with the SEC following the later of the date we are deemed to be an “accelerated filer” or a “large accelerated filer,” each as defined in the Exchange Act, or the date we are no longer an emerging growth company, as defined in the JOBS Act.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will be required to disclose changes made in our internal control and procedures on a quarterly basis. To comply with the requirements of being a public company, we may need to undertake various actions, such as implementing new internal controls and procedures and hiring accounting or internal audit staff.</w:t>
      </w:r>
    </w:p>
    <w:p>
      <w:pPr>
        <w:spacing w:after="0" w:line="208" w:lineRule="exact"/>
        <w:rPr>
          <w:sz w:val="20"/>
          <w:szCs w:val="20"/>
          <w:color w:val="auto"/>
        </w:rPr>
      </w:pPr>
    </w:p>
    <w:p>
      <w:pPr>
        <w:ind w:right="140" w:firstLine="509"/>
        <w:spacing w:after="0" w:line="269" w:lineRule="auto"/>
        <w:rPr>
          <w:sz w:val="20"/>
          <w:szCs w:val="20"/>
          <w:color w:val="auto"/>
        </w:rPr>
      </w:pPr>
      <w:r>
        <w:rPr>
          <w:rFonts w:ascii="Arial" w:cs="Arial" w:eastAsia="Arial" w:hAnsi="Arial"/>
          <w:sz w:val="18"/>
          <w:szCs w:val="18"/>
          <w:color w:val="auto"/>
        </w:rPr>
        <w:t>We are in the early stages of the costly and challenging process of compiling the system and processing documentation necessary to perform the evaluation needed to comply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206"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spacing w:after="0" w:line="294" w:lineRule="exact"/>
        <w:rPr>
          <w:sz w:val="20"/>
          <w:szCs w:val="20"/>
          <w:color w:val="auto"/>
        </w:rPr>
      </w:pPr>
    </w:p>
    <w:p>
      <w:pPr>
        <w:ind w:right="740"/>
        <w:spacing w:after="0" w:line="303"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6" w:lineRule="exact"/>
        <w:rPr>
          <w:sz w:val="20"/>
          <w:szCs w:val="20"/>
          <w:color w:val="auto"/>
        </w:rPr>
      </w:pPr>
    </w:p>
    <w:p>
      <w:pPr>
        <w:ind w:right="100" w:firstLine="509"/>
        <w:spacing w:after="0" w:line="268" w:lineRule="auto"/>
        <w:rPr>
          <w:sz w:val="20"/>
          <w:szCs w:val="20"/>
          <w:color w:val="auto"/>
        </w:rPr>
      </w:pPr>
      <w:r>
        <w:rPr>
          <w:rFonts w:ascii="Arial" w:cs="Arial" w:eastAsia="Arial" w:hAnsi="Arial"/>
          <w:sz w:val="18"/>
          <w:szCs w:val="18"/>
          <w:color w:val="auto"/>
        </w:rPr>
        <w:t>As a public company, we will continue to incur significant legal, accounting, and other expenses that we did not incur as a private company, which we expect to further increase after we are no longer an “emerging growth company.”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new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3" w:name="page84"/>
    <w:bookmarkEnd w:id="83"/>
    <w:p>
      <w:pPr>
        <w:ind w:right="400"/>
        <w:spacing w:after="0" w:line="277" w:lineRule="auto"/>
        <w:rPr>
          <w:sz w:val="20"/>
          <w:szCs w:val="20"/>
          <w:color w:val="auto"/>
        </w:rPr>
      </w:pPr>
      <w:r>
        <w:rPr>
          <w:rFonts w:ascii="Arial" w:cs="Arial" w:eastAsia="Arial" w:hAnsi="Arial"/>
          <w:sz w:val="18"/>
          <w:szCs w:val="18"/>
          <w:color w:val="auto"/>
        </w:rPr>
        <w:t>compliance costs and will make some activities more time-consuming and costly. We cannot predict or estimate the amount of additional costs we will incur as a public company or the specific timing of such costs.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31" w:lineRule="exact"/>
        <w:rPr>
          <w:sz w:val="20"/>
          <w:szCs w:val="20"/>
          <w:color w:val="auto"/>
        </w:rPr>
      </w:pPr>
    </w:p>
    <w:p>
      <w:pPr>
        <w:spacing w:after="0" w:line="303" w:lineRule="auto"/>
        <w:rPr>
          <w:sz w:val="20"/>
          <w:szCs w:val="20"/>
          <w:color w:val="auto"/>
        </w:rPr>
      </w:pPr>
      <w:r>
        <w:rPr>
          <w:rFonts w:ascii="Arial" w:cs="Arial" w:eastAsia="Arial" w:hAnsi="Arial"/>
          <w:sz w:val="18"/>
          <w:szCs w:val="18"/>
          <w:b w:val="1"/>
          <w:bCs w:val="1"/>
          <w:i w:val="1"/>
          <w:iCs w:val="1"/>
          <w:color w:val="auto"/>
        </w:rPr>
        <w:t>The price of our common stock may be volatile or may decline regardless of our operating performance and you may not be able to resell your shares at or above the price you paid for them.</w:t>
      </w:r>
    </w:p>
    <w:p>
      <w:pPr>
        <w:spacing w:after="0" w:line="66" w:lineRule="exact"/>
        <w:rPr>
          <w:sz w:val="20"/>
          <w:szCs w:val="20"/>
          <w:color w:val="auto"/>
        </w:rPr>
      </w:pPr>
    </w:p>
    <w:p>
      <w:pPr>
        <w:ind w:right="800" w:firstLine="509"/>
        <w:spacing w:after="0" w:line="277" w:lineRule="auto"/>
        <w:rPr>
          <w:sz w:val="20"/>
          <w:szCs w:val="20"/>
          <w:color w:val="auto"/>
        </w:rPr>
      </w:pPr>
      <w:r>
        <w:rPr>
          <w:rFonts w:ascii="Arial" w:cs="Arial" w:eastAsia="Arial" w:hAnsi="Arial"/>
          <w:sz w:val="18"/>
          <w:szCs w:val="18"/>
          <w:color w:val="auto"/>
        </w:rPr>
        <w:t>An active or liquid market in our common stock may not be sustainable. The market price of our common stock may fluctuate significantly in response to numerous factors, many of which are beyond our control, including:</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overall performance of the equity markets;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operating performance and the performance of other similar companies;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delays in the roll out of new solutions;</w:t>
      </w:r>
    </w:p>
    <w:p>
      <w:pPr>
        <w:spacing w:after="0" w:line="131" w:lineRule="exact"/>
        <w:rPr>
          <w:sz w:val="20"/>
          <w:szCs w:val="20"/>
          <w:color w:val="auto"/>
        </w:rPr>
      </w:pPr>
    </w:p>
    <w:p>
      <w:pPr>
        <w:ind w:left="960" w:right="560"/>
        <w:spacing w:after="0" w:line="277" w:lineRule="auto"/>
        <w:rPr>
          <w:sz w:val="20"/>
          <w:szCs w:val="20"/>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regulatory actions with respect to our payment solutions;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regulatory or legal developments in the United States and other countries;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level of expenses related to our solutions;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recruitment or departure of key personnel;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economy as a whole and market conditions in our industry, including conditions resulting from the COVID-19 pandemic;</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financing or other corporate transactions, or inability to obtain additional funding;</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the structure of payment systems;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effects of the ongoing United States-China trade war;</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trading activity by a limited number of stockholders who together beneficially own a majority of our outstanding common stock;</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expiration of market standoff or contractual lock-up agreements;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size of our market float;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any other factors discussed in this Form 10-Q and our Final Prospectus.</w:t>
      </w:r>
    </w:p>
    <w:p>
      <w:pPr>
        <w:spacing w:after="0" w:line="239" w:lineRule="exact"/>
        <w:rPr>
          <w:sz w:val="20"/>
          <w:szCs w:val="20"/>
          <w:color w:val="auto"/>
        </w:rPr>
      </w:pPr>
    </w:p>
    <w:p>
      <w:pPr>
        <w:ind w:right="140" w:firstLine="509"/>
        <w:spacing w:after="0" w:line="268"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Stock prices of many companies, and technology companies in particular,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294"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66" w:lineRule="exact"/>
        <w:rPr>
          <w:sz w:val="20"/>
          <w:szCs w:val="20"/>
          <w:color w:val="auto"/>
        </w:rPr>
      </w:pPr>
    </w:p>
    <w:p>
      <w:pPr>
        <w:ind w:right="200" w:firstLine="509"/>
        <w:spacing w:after="0" w:line="269"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4" w:name="page85"/>
    <w:bookmarkEnd w:id="84"/>
    <w:p>
      <w:pPr>
        <w:spacing w:after="0" w:line="268" w:lineRule="auto"/>
        <w:rPr>
          <w:sz w:val="20"/>
          <w:szCs w:val="20"/>
          <w:color w:val="auto"/>
        </w:rPr>
      </w:pPr>
      <w:r>
        <w:rPr>
          <w:rFonts w:ascii="Arial" w:cs="Arial" w:eastAsia="Arial" w:hAnsi="Arial"/>
          <w:sz w:val="18"/>
          <w:szCs w:val="18"/>
          <w:color w:val="auto"/>
        </w:rPr>
        <w:t>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205" w:lineRule="exact"/>
        <w:rPr>
          <w:sz w:val="20"/>
          <w:szCs w:val="20"/>
          <w:color w:val="auto"/>
        </w:rPr>
      </w:pPr>
    </w:p>
    <w:p>
      <w:pPr>
        <w:ind w:right="20" w:firstLine="509"/>
        <w:spacing w:after="0" w:line="268" w:lineRule="auto"/>
        <w:rPr>
          <w:sz w:val="20"/>
          <w:szCs w:val="20"/>
          <w:color w:val="auto"/>
        </w:rPr>
      </w:pPr>
      <w:r>
        <w:rPr>
          <w:rFonts w:ascii="Arial" w:cs="Arial" w:eastAsia="Arial" w:hAnsi="Arial"/>
          <w:sz w:val="18"/>
          <w:szCs w:val="18"/>
          <w:color w:val="auto"/>
        </w:rPr>
        <w:t>We will remain an emerging growth company until the earliest of (i)December 31, 2026, (ii) the last day of the first fiscal year in which our annual gross revenue is $1.07 billion or more, (iii) the date on which we have, during the previous rolling three-year period, issued more than $1 billion in non-convertible debt securities, and (iv) the date on which we are deemed to be a “large accelerated filer,” which will occur as of the end of any fiscal year in which we (x) have an aggregate market value of our common stock held by non-affiliates of $700 million or more as of the last business day of our most recently completed second fiscal quarter, (y) have been required to file annual and quarterly reports under the Exchange Act for a period of at least 12 months, and (z) have filed at least one annual report pursuant to the Exchange Act.</w:t>
      </w:r>
    </w:p>
    <w:p>
      <w:pPr>
        <w:spacing w:after="0" w:line="205" w:lineRule="exact"/>
        <w:rPr>
          <w:sz w:val="20"/>
          <w:szCs w:val="20"/>
          <w:color w:val="auto"/>
        </w:rPr>
      </w:pPr>
    </w:p>
    <w:p>
      <w:pPr>
        <w:ind w:right="120" w:firstLine="509"/>
        <w:spacing w:after="0" w:line="269" w:lineRule="auto"/>
        <w:rPr>
          <w:sz w:val="20"/>
          <w:szCs w:val="20"/>
          <w:color w:val="auto"/>
        </w:rPr>
      </w:pPr>
      <w:r>
        <w:rPr>
          <w:rFonts w:ascii="Arial" w:cs="Arial" w:eastAsia="Arial" w:hAnsi="Arial"/>
          <w:sz w:val="18"/>
          <w:szCs w:val="18"/>
          <w:color w:val="auto"/>
        </w:rPr>
        <w:t>We cannot predict if investors will find our common stock less attractive if we continue to choose to rely on these exemptions. For example, if we do not adopt a new or revised accounting standard, our future operating results may not be as comparable to the operating results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292"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intellectual property on unfavorable terms to us.</w:t>
      </w:r>
    </w:p>
    <w:p>
      <w:pPr>
        <w:spacing w:after="0" w:line="66" w:lineRule="exact"/>
        <w:rPr>
          <w:sz w:val="20"/>
          <w:szCs w:val="20"/>
          <w:color w:val="auto"/>
        </w:rPr>
      </w:pPr>
    </w:p>
    <w:p>
      <w:pPr>
        <w:ind w:right="40" w:firstLine="509"/>
        <w:spacing w:after="0" w:line="267"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the disruption in the capital markets caused by the COVID-19 outbreak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p>
    <w:p>
      <w:pPr>
        <w:spacing w:after="0" w:line="207"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If we are unable to raise additional funds through equity or debt financing or through collaborations or strategic partnerships when needed, we may be required to delay, limit, reduce or terminate the development of our solutions or commercialization efforts.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our cash and cash equivalents in ways that you and other stockholders may not approve.</w:t>
      </w:r>
    </w:p>
    <w:p>
      <w:pPr>
        <w:spacing w:after="0" w:line="153"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 which could cause our stock price to decline.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90" w:right="399" w:bottom="1440" w:gutter="0" w:footer="0" w:header="0"/>
        </w:sectPr>
      </w:pPr>
    </w:p>
    <w:bookmarkStart w:id="85" w:name="page86"/>
    <w:bookmarkEnd w:id="85"/>
    <w:p>
      <w:pPr>
        <w:ind w:right="320"/>
        <w:spacing w:after="0" w:line="30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6"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294" w:lineRule="exact"/>
        <w:rPr>
          <w:sz w:val="20"/>
          <w:szCs w:val="20"/>
          <w:color w:val="auto"/>
        </w:rPr>
      </w:pPr>
    </w:p>
    <w:p>
      <w:pPr>
        <w:ind w:right="500"/>
        <w:spacing w:after="0" w:line="303" w:lineRule="auto"/>
        <w:rPr>
          <w:sz w:val="20"/>
          <w:szCs w:val="20"/>
          <w:color w:val="auto"/>
        </w:rPr>
      </w:pPr>
      <w:r>
        <w:rPr>
          <w:rFonts w:ascii="Arial" w:cs="Arial" w:eastAsia="Arial" w:hAnsi="Arial"/>
          <w:sz w:val="18"/>
          <w:szCs w:val="18"/>
          <w:b w:val="1"/>
          <w:bCs w:val="1"/>
          <w:i w:val="1"/>
          <w:iCs w:val="1"/>
          <w:color w:val="auto"/>
        </w:rPr>
        <w:t>Substantial amounts of our outstanding shares may be sold into the market in the near future. If there are substantial sales of shares of our common stock, the price of our common stock could decline.</w:t>
      </w:r>
    </w:p>
    <w:p>
      <w:pPr>
        <w:spacing w:after="0" w:line="66" w:lineRule="exact"/>
        <w:rPr>
          <w:sz w:val="20"/>
          <w:szCs w:val="20"/>
          <w:color w:val="auto"/>
        </w:rPr>
      </w:pPr>
    </w:p>
    <w:p>
      <w:pPr>
        <w:ind w:right="120" w:firstLine="509"/>
        <w:spacing w:after="0" w:line="267" w:lineRule="auto"/>
        <w:rPr>
          <w:sz w:val="20"/>
          <w:szCs w:val="20"/>
          <w:color w:val="auto"/>
        </w:rPr>
      </w:pPr>
      <w:r>
        <w:rPr>
          <w:rFonts w:ascii="Arial" w:cs="Arial" w:eastAsia="Arial" w:hAnsi="Arial"/>
          <w:sz w:val="18"/>
          <w:szCs w:val="18"/>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All of the shares of common stock sold in our initial public offering are available for sale in the public market, unless purchased by our affiliates. Substantially all of our outstanding shares of common stock prior to the initial public offering are currently restricted from resale as a result of “lock-up” agreements (which may be waived by Goldman Sachs &amp; Co. LLC, in its sole discretion, with or without notice). The lock-up agreements terminated, and accordingly, the shares of our voting common stock and non-voting common stock (following conversion into our common stock) subject to such agreements became eligible for sale in the public market beginning at the commencement of trading on November 11, 2021.</w:t>
      </w:r>
    </w:p>
    <w:p>
      <w:pPr>
        <w:spacing w:after="0" w:line="210" w:lineRule="exact"/>
        <w:rPr>
          <w:sz w:val="20"/>
          <w:szCs w:val="20"/>
          <w:color w:val="auto"/>
        </w:rPr>
      </w:pPr>
    </w:p>
    <w:p>
      <w:pPr>
        <w:ind w:right="840" w:firstLine="509"/>
        <w:spacing w:after="0" w:line="277" w:lineRule="auto"/>
        <w:rPr>
          <w:sz w:val="20"/>
          <w:szCs w:val="20"/>
          <w:color w:val="auto"/>
        </w:rPr>
      </w:pPr>
      <w:r>
        <w:rPr>
          <w:rFonts w:ascii="Arial" w:cs="Arial" w:eastAsia="Arial" w:hAnsi="Arial"/>
          <w:sz w:val="18"/>
          <w:szCs w:val="18"/>
          <w:color w:val="auto"/>
        </w:rPr>
        <w:t>Shares held by directors, executive officers and other affiliates will be subject to volume limitations under Rule 144 under the Securities Act, and various vesting agreements.</w:t>
      </w:r>
    </w:p>
    <w:p>
      <w:pPr>
        <w:spacing w:after="0" w:line="197" w:lineRule="exact"/>
        <w:rPr>
          <w:sz w:val="20"/>
          <w:szCs w:val="20"/>
          <w:color w:val="auto"/>
        </w:rPr>
      </w:pPr>
    </w:p>
    <w:p>
      <w:pPr>
        <w:ind w:right="60" w:firstLine="509"/>
        <w:spacing w:after="0" w:line="268" w:lineRule="auto"/>
        <w:rPr>
          <w:sz w:val="20"/>
          <w:szCs w:val="20"/>
          <w:color w:val="auto"/>
        </w:rPr>
      </w:pPr>
      <w:r>
        <w:rPr>
          <w:rFonts w:ascii="Arial" w:cs="Arial" w:eastAsia="Arial" w:hAnsi="Arial"/>
          <w:sz w:val="18"/>
          <w:szCs w:val="18"/>
          <w:color w:val="auto"/>
        </w:rPr>
        <w:t>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registered shares of common stock that we have issued and may issue under our employee equity incentive plans. These shares will be able to be sold freely in the public market upon issuance, subject to existing market standoff or lock-up agreements and securities laws.</w:t>
      </w:r>
    </w:p>
    <w:p>
      <w:pPr>
        <w:spacing w:after="0" w:line="208"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 including as a result of the release of restrictions under existing market standoff or lock-up agreements.</w:t>
      </w:r>
    </w:p>
    <w:p>
      <w:pPr>
        <w:spacing w:after="0" w:line="289" w:lineRule="exact"/>
        <w:rPr>
          <w:sz w:val="20"/>
          <w:szCs w:val="20"/>
          <w:color w:val="auto"/>
        </w:rPr>
      </w:pPr>
    </w:p>
    <w:p>
      <w:pPr>
        <w:ind w:right="720"/>
        <w:spacing w:after="0" w:line="303"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66" w:lineRule="exact"/>
        <w:rPr>
          <w:sz w:val="20"/>
          <w:szCs w:val="20"/>
          <w:color w:val="auto"/>
        </w:rPr>
      </w:pPr>
    </w:p>
    <w:p>
      <w:pPr>
        <w:ind w:right="120" w:firstLine="509"/>
        <w:spacing w:after="0" w:line="268" w:lineRule="auto"/>
        <w:rPr>
          <w:sz w:val="20"/>
          <w:szCs w:val="20"/>
          <w:color w:val="auto"/>
        </w:rPr>
      </w:pPr>
      <w:r>
        <w:rPr>
          <w:rFonts w:ascii="Arial" w:cs="Arial" w:eastAsia="Arial" w:hAnsi="Arial"/>
          <w:sz w:val="18"/>
          <w:szCs w:val="18"/>
          <w:color w:val="auto"/>
        </w:rPr>
        <w:t>As of September 30, 2021, our executive officers, directors and the holders of more than 5% of our outstanding common stock, in the aggregate, beneficially owned approximately 58.9% of our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including those who purchased shares in the initial public offering, oppose them. This concentration of ownership might also have the effect of delaying or preventing a change of control of our company that other stockholders may view as beneficial.</w:t>
      </w:r>
    </w:p>
    <w:p>
      <w:pPr>
        <w:spacing w:after="0" w:line="292" w:lineRule="exact"/>
        <w:rPr>
          <w:sz w:val="20"/>
          <w:szCs w:val="20"/>
          <w:color w:val="auto"/>
        </w:rPr>
      </w:pPr>
    </w:p>
    <w:p>
      <w:pPr>
        <w:ind w:right="340"/>
        <w:spacing w:after="0" w:line="303"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66" w:lineRule="exact"/>
        <w:rPr>
          <w:sz w:val="20"/>
          <w:szCs w:val="20"/>
          <w:color w:val="auto"/>
        </w:rPr>
      </w:pPr>
    </w:p>
    <w:p>
      <w:pPr>
        <w:ind w:right="100" w:firstLine="509"/>
        <w:spacing w:after="0" w:line="268" w:lineRule="auto"/>
        <w:rPr>
          <w:sz w:val="20"/>
          <w:szCs w:val="20"/>
          <w:color w:val="auto"/>
        </w:rPr>
      </w:pPr>
      <w:r>
        <w:rPr>
          <w:rFonts w:ascii="Arial" w:cs="Arial" w:eastAsia="Arial" w:hAnsi="Arial"/>
          <w:sz w:val="18"/>
          <w:szCs w:val="18"/>
          <w:color w:val="auto"/>
        </w:rPr>
        <w:t>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our loan and security agreement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6" w:name="page87"/>
    <w:bookmarkEnd w:id="86"/>
    <w:p>
      <w:pPr>
        <w:ind w:right="200"/>
        <w:spacing w:after="0" w:line="277" w:lineRule="auto"/>
        <w:rPr>
          <w:sz w:val="20"/>
          <w:szCs w:val="20"/>
          <w:color w:val="auto"/>
        </w:rPr>
      </w:pPr>
      <w:r>
        <w:rPr>
          <w:rFonts w:ascii="Arial" w:cs="Arial" w:eastAsia="Arial" w:hAnsi="Arial"/>
          <w:sz w:val="18"/>
          <w:szCs w:val="18"/>
          <w:color w:val="auto"/>
        </w:rPr>
        <w:t>value. There is no guarantee that shares of our common stock will appreciate in value or even maintain the price at which our stockholders have purchased their shares.</w:t>
      </w:r>
    </w:p>
    <w:p>
      <w:pPr>
        <w:spacing w:after="0" w:line="283" w:lineRule="exact"/>
        <w:rPr>
          <w:sz w:val="20"/>
          <w:szCs w:val="20"/>
          <w:color w:val="auto"/>
        </w:rPr>
      </w:pPr>
    </w:p>
    <w:p>
      <w:pPr>
        <w:ind w:right="400"/>
        <w:spacing w:after="0" w:line="303"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66"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100" w:lineRule="exact"/>
        <w:rPr>
          <w:sz w:val="20"/>
          <w:szCs w:val="20"/>
          <w:color w:val="auto"/>
        </w:rPr>
      </w:pPr>
    </w:p>
    <w:p>
      <w:pPr>
        <w:ind w:left="960" w:right="600"/>
        <w:spacing w:after="0" w:line="277" w:lineRule="auto"/>
        <w:rPr>
          <w:sz w:val="20"/>
          <w:szCs w:val="20"/>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89" w:lineRule="exact"/>
        <w:rPr>
          <w:sz w:val="20"/>
          <w:szCs w:val="20"/>
          <w:color w:val="auto"/>
        </w:rPr>
      </w:pPr>
    </w:p>
    <w:p>
      <w:pPr>
        <w:jc w:val="both"/>
        <w:ind w:left="960" w:right="40"/>
        <w:spacing w:after="0" w:line="271" w:lineRule="auto"/>
        <w:rPr>
          <w:sz w:val="20"/>
          <w:szCs w:val="20"/>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95" w:lineRule="exact"/>
        <w:rPr>
          <w:sz w:val="20"/>
          <w:szCs w:val="20"/>
          <w:color w:val="auto"/>
        </w:rPr>
      </w:pPr>
    </w:p>
    <w:p>
      <w:pPr>
        <w:ind w:left="960" w:right="140"/>
        <w:spacing w:after="0" w:line="271" w:lineRule="auto"/>
        <w:rPr>
          <w:sz w:val="20"/>
          <w:szCs w:val="20"/>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95" w:lineRule="exact"/>
        <w:rPr>
          <w:sz w:val="20"/>
          <w:szCs w:val="20"/>
          <w:color w:val="auto"/>
        </w:rPr>
      </w:pPr>
    </w:p>
    <w:p>
      <w:pPr>
        <w:ind w:left="960" w:right="640"/>
        <w:spacing w:after="0" w:line="277" w:lineRule="auto"/>
        <w:rPr>
          <w:sz w:val="20"/>
          <w:szCs w:val="20"/>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89" w:lineRule="exact"/>
        <w:rPr>
          <w:sz w:val="20"/>
          <w:szCs w:val="20"/>
          <w:color w:val="auto"/>
        </w:rPr>
      </w:pPr>
    </w:p>
    <w:p>
      <w:pPr>
        <w:ind w:left="960" w:right="140"/>
        <w:spacing w:after="0" w:line="271" w:lineRule="auto"/>
        <w:rPr>
          <w:sz w:val="20"/>
          <w:szCs w:val="20"/>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95" w:lineRule="exact"/>
        <w:rPr>
          <w:sz w:val="20"/>
          <w:szCs w:val="20"/>
          <w:color w:val="auto"/>
        </w:rPr>
      </w:pPr>
    </w:p>
    <w:p>
      <w:pPr>
        <w:ind w:left="960" w:right="120"/>
        <w:spacing w:after="0" w:line="269" w:lineRule="auto"/>
        <w:rPr>
          <w:sz w:val="20"/>
          <w:szCs w:val="20"/>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98" w:lineRule="exact"/>
        <w:rPr>
          <w:sz w:val="20"/>
          <w:szCs w:val="20"/>
          <w:color w:val="auto"/>
        </w:rPr>
      </w:pPr>
    </w:p>
    <w:p>
      <w:pPr>
        <w:ind w:left="960" w:right="120"/>
        <w:spacing w:after="0" w:line="271" w:lineRule="auto"/>
        <w:rPr>
          <w:sz w:val="20"/>
          <w:szCs w:val="20"/>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203" w:lineRule="exact"/>
        <w:rPr>
          <w:sz w:val="20"/>
          <w:szCs w:val="20"/>
          <w:color w:val="auto"/>
        </w:rPr>
      </w:pPr>
    </w:p>
    <w:p>
      <w:pPr>
        <w:ind w:right="120" w:firstLine="509"/>
        <w:spacing w:after="0" w:line="269" w:lineRule="auto"/>
        <w:rPr>
          <w:sz w:val="20"/>
          <w:szCs w:val="20"/>
          <w:color w:val="auto"/>
        </w:rPr>
      </w:pPr>
      <w:r>
        <w:rPr>
          <w:rFonts w:ascii="Arial" w:cs="Arial" w:eastAsia="Arial" w:hAnsi="Arial"/>
          <w:sz w:val="18"/>
          <w:szCs w:val="18"/>
          <w:color w:val="auto"/>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206" w:lineRule="exact"/>
        <w:rPr>
          <w:sz w:val="20"/>
          <w:szCs w:val="20"/>
          <w:color w:val="auto"/>
        </w:rPr>
      </w:pPr>
    </w:p>
    <w:p>
      <w:pPr>
        <w:ind w:right="20" w:firstLine="509"/>
        <w:spacing w:after="0" w:line="268"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294"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89"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87" w:name="page88"/>
    <w:bookmarkEnd w:id="87"/>
    <w:p>
      <w:pPr>
        <w:spacing w:after="0" w:line="267" w:lineRule="auto"/>
        <w:rPr>
          <w:sz w:val="20"/>
          <w:szCs w:val="20"/>
          <w:color w:val="auto"/>
        </w:rPr>
      </w:pPr>
      <w:r>
        <w:rPr>
          <w:rFonts w:ascii="Arial" w:cs="Arial" w:eastAsia="Arial" w:hAnsi="Arial"/>
          <w:sz w:val="18"/>
          <w:szCs w:val="18"/>
          <w:color w:val="auto"/>
        </w:rPr>
        <w:t>fiduciary duty, any action asserting a claim against us arising pursuant to the DGCL, our certificate of incorporation or our bylaws or any action asserting a claim against us that is governed by the internal affairs doctrine. This provision does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8" w:name="page89"/>
    <w:bookmarkEnd w:id="88"/>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5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May 2021, we closed our IPO in which we issued and sold 12,006,000 shares of our voting common stock, including 1,566,000 shares of voting common stock sold pursuant to the underwriters’ full exercise of their option to purchase additional shares, at a public offering price of $24.00 per share, for aggregate net proceeds of $263.8 million, after deducting underwriting discounts and commissions of $19.4 million and other offering costs of $4.9 million. Goldman Sachs &amp; Co. LLC, J.P. Morgan Securities LLC and Citigroup Global Markets Inc. acted as representatives of the underwriters for our IPO. No payments for such expenses were made directly or indirectly to (i) any of our officers or directors or their associates, (ii) any persons owning 10% or more of any class of our equity securities or (iii) any of our affiliates. All of the shares issued and sold in the IPO were registered under the Securities Act pursuant to a Registration Statement on Form S-1 (File No. 333-255706), which was declared effective by the SEC on May 25, 2021, and a Registration Statement on Form S-1 MEF (File No. 333-256471) filed pursuant to Rule 462(b) of the Securities Act.</w:t>
      </w:r>
    </w:p>
    <w:p>
      <w:pPr>
        <w:spacing w:after="0" w:line="209"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The IPO terminated after the sale of all securities registered pursuant to the Registration Statements. As of September 30, 2021, the net proceeds of our IPO are in non-interest bearing accounts, but are expected to be invested in investment grade, interest-bearing instruments in the third quarter of 2021. There has been no material change in the expected use of the net proceeds from our IPO as described in our final prospectus, dated May 25, 2021, filed with the SEC pursuant to Rule 424(b) relating to our initial public offering.</w:t>
      </w:r>
    </w:p>
    <w:p>
      <w:pPr>
        <w:spacing w:after="0" w:line="29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tab/>
        <w:t>Defaults Upon Senior Securities.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tab/>
        <w:t>Other Information.</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89" w:name="page90"/>
    <w:bookmarkEnd w:id="89"/>
    <w:p>
      <w:pPr>
        <w:spacing w:after="0"/>
        <w:tabs>
          <w:tab w:leader="none" w:pos="780" w:val="left"/>
        </w:tabs>
        <w:rPr>
          <w:sz w:val="20"/>
          <w:szCs w:val="20"/>
          <w:color w:val="auto"/>
        </w:rPr>
      </w:pPr>
      <w:r>
        <w:rPr>
          <w:rFonts w:ascii="Arial" w:cs="Arial" w:eastAsia="Arial" w:hAnsi="Arial"/>
          <w:sz w:val="18"/>
          <w:szCs w:val="18"/>
          <w:b w:val="1"/>
          <w:bCs w:val="1"/>
          <w:color w:val="auto"/>
        </w:rPr>
        <w:t>Item 6.</w:t>
        <w:tab/>
        <w:t>Exhibits.</w:t>
      </w:r>
    </w:p>
    <w:p>
      <w:pPr>
        <w:spacing w:after="0" w:line="266"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1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8"/>
        </w:trPr>
        <w:tc>
          <w:tcPr>
            <w:tcW w:w="120" w:type="dxa"/>
            <w:vAlign w:val="bottom"/>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Description</w:t>
            </w:r>
          </w:p>
        </w:tc>
        <w:tc>
          <w:tcPr>
            <w:tcW w:w="3920" w:type="dxa"/>
            <w:vAlign w:val="bottom"/>
            <w:gridSpan w:val="7"/>
          </w:tcPr>
          <w:p>
            <w:pPr>
              <w:spacing w:after="0"/>
              <w:rPr>
                <w:sz w:val="17"/>
                <w:szCs w:val="17"/>
                <w:color w:val="auto"/>
              </w:rPr>
            </w:pPr>
          </w:p>
        </w:tc>
      </w:tr>
      <w:tr>
        <w:trPr>
          <w:trHeight w:val="358"/>
        </w:trPr>
        <w:tc>
          <w:tcPr>
            <w:tcW w:w="760" w:type="dxa"/>
            <w:vAlign w:val="bottom"/>
            <w:gridSpan w:val="2"/>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9980" w:type="dxa"/>
            <w:vAlign w:val="bottom"/>
            <w:gridSpan w:val="12"/>
          </w:tcPr>
          <w:p>
            <w:pPr>
              <w:spacing w:after="0"/>
              <w:rPr>
                <w:rFonts w:ascii="Arial" w:cs="Arial" w:eastAsia="Arial" w:hAnsi="Arial"/>
                <w:sz w:val="18"/>
                <w:szCs w:val="18"/>
                <w:color w:val="0000FF"/>
              </w:rPr>
            </w:pPr>
            <w:hyperlink r:id="rId391">
              <w:r>
                <w:rPr>
                  <w:rFonts w:ascii="Arial" w:cs="Arial" w:eastAsia="Arial" w:hAnsi="Arial"/>
                  <w:sz w:val="18"/>
                  <w:szCs w:val="18"/>
                  <w:color w:val="0000FF"/>
                </w:rPr>
                <w:t>Amended and Restated Certificate of Incorporation of Flywire Corporation, incorporated by reference to Exhibit 3.1 to the</w:t>
              </w:r>
            </w:hyperlink>
          </w:p>
        </w:tc>
      </w:tr>
      <w:tr>
        <w:trPr>
          <w:trHeight w:val="20"/>
        </w:trPr>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28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80" w:type="dxa"/>
            <w:vAlign w:val="bottom"/>
            <w:gridSpan w:val="12"/>
          </w:tcPr>
          <w:p>
            <w:pPr>
              <w:spacing w:after="0"/>
              <w:rPr>
                <w:rFonts w:ascii="Arial" w:cs="Arial" w:eastAsia="Arial" w:hAnsi="Arial"/>
                <w:sz w:val="18"/>
                <w:szCs w:val="18"/>
                <w:color w:val="0000FF"/>
              </w:rPr>
            </w:pPr>
            <w:hyperlink r:id="rId391">
              <w:r>
                <w:rPr>
                  <w:rFonts w:ascii="Arial" w:cs="Arial" w:eastAsia="Arial" w:hAnsi="Arial"/>
                  <w:sz w:val="18"/>
                  <w:szCs w:val="18"/>
                  <w:color w:val="0000FF"/>
                </w:rPr>
                <w:t>Registrant’s Current Report on Form 8-K filed on June 1, 2021.</w:t>
              </w:r>
            </w:hyperlink>
          </w:p>
        </w:tc>
      </w:tr>
      <w:tr>
        <w:trPr>
          <w:trHeight w:val="20"/>
        </w:trPr>
        <w:tc>
          <w:tcPr>
            <w:tcW w:w="76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20" w:type="dxa"/>
            <w:vAlign w:val="bottom"/>
            <w:tcBorders>
              <w:right w:val="single" w:sz="8" w:color="0000EE"/>
            </w:tcBorders>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5"/>
        </w:trPr>
        <w:tc>
          <w:tcPr>
            <w:tcW w:w="760" w:type="dxa"/>
            <w:vAlign w:val="bottom"/>
            <w:gridSpan w:val="2"/>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9980" w:type="dxa"/>
            <w:vAlign w:val="bottom"/>
            <w:gridSpan w:val="12"/>
          </w:tcPr>
          <w:p>
            <w:pPr>
              <w:spacing w:after="0"/>
              <w:rPr>
                <w:rFonts w:ascii="Arial" w:cs="Arial" w:eastAsia="Arial" w:hAnsi="Arial"/>
                <w:sz w:val="18"/>
                <w:szCs w:val="18"/>
                <w:color w:val="0000FF"/>
              </w:rPr>
            </w:pPr>
            <w:hyperlink r:id="rId392">
              <w:r>
                <w:rPr>
                  <w:rFonts w:ascii="Arial" w:cs="Arial" w:eastAsia="Arial" w:hAnsi="Arial"/>
                  <w:sz w:val="18"/>
                  <w:szCs w:val="18"/>
                  <w:color w:val="0000FF"/>
                </w:rPr>
                <w:t>Amended and Restated Bylaws of Flywire Corporation, incorporated by reference to Exhibit 3.2 to the Registrant’s Current</w:t>
              </w:r>
            </w:hyperlink>
          </w:p>
        </w:tc>
      </w:tr>
      <w:tr>
        <w:trPr>
          <w:trHeight w:val="20"/>
        </w:trPr>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800" w:type="dxa"/>
            <w:vAlign w:val="bottom"/>
            <w:tcBorders>
              <w:right w:val="single" w:sz="8" w:color="0000FF"/>
            </w:tcBorders>
            <w:gridSpan w:val="4"/>
            <w:shd w:val="clear" w:color="auto" w:fill="0000FF"/>
          </w:tcPr>
          <w:p>
            <w:pPr>
              <w:spacing w:after="0" w:line="20" w:lineRule="exact"/>
              <w:rPr>
                <w:sz w:val="1"/>
                <w:szCs w:val="1"/>
                <w:color w:val="auto"/>
              </w:rPr>
            </w:pPr>
          </w:p>
        </w:tc>
        <w:tc>
          <w:tcPr>
            <w:tcW w:w="28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80" w:type="dxa"/>
            <w:vAlign w:val="bottom"/>
            <w:gridSpan w:val="12"/>
          </w:tcPr>
          <w:p>
            <w:pPr>
              <w:spacing w:after="0"/>
              <w:rPr>
                <w:rFonts w:ascii="Arial" w:cs="Arial" w:eastAsia="Arial" w:hAnsi="Arial"/>
                <w:sz w:val="18"/>
                <w:szCs w:val="18"/>
                <w:color w:val="0000FF"/>
              </w:rPr>
            </w:pPr>
            <w:hyperlink r:id="rId392">
              <w:r>
                <w:rPr>
                  <w:rFonts w:ascii="Arial" w:cs="Arial" w:eastAsia="Arial" w:hAnsi="Arial"/>
                  <w:sz w:val="18"/>
                  <w:szCs w:val="18"/>
                  <w:color w:val="0000FF"/>
                </w:rPr>
                <w:t>Report on Form 8-K filed on June 1, 2021.</w:t>
              </w:r>
            </w:hyperlink>
          </w:p>
        </w:tc>
      </w:tr>
      <w:tr>
        <w:trPr>
          <w:trHeight w:val="20"/>
        </w:trPr>
        <w:tc>
          <w:tcPr>
            <w:tcW w:w="76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30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760" w:type="dxa"/>
            <w:vAlign w:val="bottom"/>
            <w:gridSpan w:val="2"/>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0"/>
                <w:szCs w:val="20"/>
                <w:color w:val="auto"/>
              </w:rPr>
            </w:pPr>
          </w:p>
        </w:tc>
        <w:tc>
          <w:tcPr>
            <w:tcW w:w="9980" w:type="dxa"/>
            <w:vAlign w:val="bottom"/>
            <w:gridSpan w:val="12"/>
          </w:tcPr>
          <w:p>
            <w:pPr>
              <w:spacing w:after="0"/>
              <w:rPr>
                <w:rFonts w:ascii="Arial" w:cs="Arial" w:eastAsia="Arial" w:hAnsi="Arial"/>
                <w:sz w:val="18"/>
                <w:szCs w:val="18"/>
                <w:color w:val="0000FF"/>
              </w:rPr>
            </w:pPr>
            <w:hyperlink r:id="rId393">
              <w:r>
                <w:rPr>
                  <w:rFonts w:ascii="Arial" w:cs="Arial" w:eastAsia="Arial" w:hAnsi="Arial"/>
                  <w:sz w:val="18"/>
                  <w:szCs w:val="18"/>
                  <w:color w:val="0000FF"/>
                </w:rPr>
                <w:t>Credit Agreement, dated as of July 29, 2021, by and among Flywire Corporation, the other Loan Parties party thereto from</w:t>
              </w:r>
            </w:hyperlink>
          </w:p>
        </w:tc>
      </w:tr>
      <w:tr>
        <w:trPr>
          <w:trHeight w:val="20"/>
        </w:trPr>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3880" w:type="dxa"/>
            <w:vAlign w:val="bottom"/>
            <w:tcBorders>
              <w:right w:val="single" w:sz="8" w:color="0000FF"/>
            </w:tcBorders>
            <w:gridSpan w:val="5"/>
            <w:shd w:val="clear" w:color="auto" w:fill="0000FF"/>
          </w:tcPr>
          <w:p>
            <w:pPr>
              <w:spacing w:after="0" w:line="20" w:lineRule="exact"/>
              <w:rPr>
                <w:sz w:val="1"/>
                <w:szCs w:val="1"/>
                <w:color w:val="auto"/>
              </w:rPr>
            </w:pPr>
          </w:p>
        </w:tc>
        <w:tc>
          <w:tcPr>
            <w:tcW w:w="28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80" w:type="dxa"/>
            <w:vAlign w:val="bottom"/>
            <w:gridSpan w:val="12"/>
          </w:tcPr>
          <w:p>
            <w:pPr>
              <w:spacing w:after="0"/>
              <w:rPr>
                <w:rFonts w:ascii="Arial" w:cs="Arial" w:eastAsia="Arial" w:hAnsi="Arial"/>
                <w:sz w:val="18"/>
                <w:szCs w:val="18"/>
                <w:color w:val="0000FF"/>
              </w:rPr>
            </w:pPr>
            <w:hyperlink r:id="rId393">
              <w:r>
                <w:rPr>
                  <w:rFonts w:ascii="Arial" w:cs="Arial" w:eastAsia="Arial" w:hAnsi="Arial"/>
                  <w:sz w:val="18"/>
                  <w:szCs w:val="18"/>
                  <w:color w:val="0000FF"/>
                </w:rPr>
                <w:t>time to time, the Lenders party thereto from time to time, the Issuing Banks party thereto from time to time, and Citibank,</w:t>
              </w:r>
            </w:hyperlink>
          </w:p>
        </w:tc>
      </w:tr>
      <w:tr>
        <w:trPr>
          <w:trHeight w:val="20"/>
        </w:trPr>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3880" w:type="dxa"/>
            <w:vAlign w:val="bottom"/>
            <w:tcBorders>
              <w:right w:val="single" w:sz="8" w:color="0000FF"/>
            </w:tcBorders>
            <w:gridSpan w:val="5"/>
            <w:shd w:val="clear" w:color="auto" w:fill="0000FF"/>
          </w:tcPr>
          <w:p>
            <w:pPr>
              <w:spacing w:after="0" w:line="20" w:lineRule="exact"/>
              <w:rPr>
                <w:sz w:val="1"/>
                <w:szCs w:val="1"/>
                <w:color w:val="auto"/>
              </w:rPr>
            </w:pPr>
          </w:p>
        </w:tc>
        <w:tc>
          <w:tcPr>
            <w:tcW w:w="28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80" w:type="dxa"/>
            <w:vAlign w:val="bottom"/>
            <w:gridSpan w:val="12"/>
          </w:tcPr>
          <w:p>
            <w:pPr>
              <w:spacing w:after="0"/>
              <w:rPr>
                <w:rFonts w:ascii="Arial" w:cs="Arial" w:eastAsia="Arial" w:hAnsi="Arial"/>
                <w:sz w:val="18"/>
                <w:szCs w:val="18"/>
                <w:color w:val="0000FF"/>
              </w:rPr>
            </w:pPr>
            <w:hyperlink r:id="rId393">
              <w:r>
                <w:rPr>
                  <w:rFonts w:ascii="Arial" w:cs="Arial" w:eastAsia="Arial" w:hAnsi="Arial"/>
                  <w:sz w:val="18"/>
                  <w:szCs w:val="18"/>
                  <w:color w:val="0000FF"/>
                </w:rPr>
                <w:t>incorporated by reference to Exhibit 10.1 to the Registrant’s Current Report on Form 8-K filed on August 4, 2021.</w:t>
              </w:r>
            </w:hyperlink>
          </w:p>
        </w:tc>
      </w:tr>
      <w:tr>
        <w:trPr>
          <w:trHeight w:val="20"/>
        </w:trPr>
        <w:tc>
          <w:tcPr>
            <w:tcW w:w="76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300" w:type="dxa"/>
            <w:vAlign w:val="bottom"/>
            <w:tcBorders>
              <w:right w:val="single" w:sz="8" w:color="0000EE"/>
            </w:tcBorders>
            <w:shd w:val="clear" w:color="auto" w:fill="0000EE"/>
          </w:tcPr>
          <w:p>
            <w:pPr>
              <w:spacing w:after="0" w:line="20" w:lineRule="exact"/>
              <w:rPr>
                <w:sz w:val="1"/>
                <w:szCs w:val="1"/>
                <w:color w:val="auto"/>
              </w:rPr>
            </w:pPr>
          </w:p>
        </w:tc>
        <w:tc>
          <w:tcPr>
            <w:tcW w:w="3880" w:type="dxa"/>
            <w:vAlign w:val="bottom"/>
            <w:tcBorders>
              <w:right w:val="single" w:sz="8" w:color="0000EE"/>
            </w:tcBorders>
            <w:gridSpan w:val="5"/>
            <w:shd w:val="clear" w:color="auto" w:fill="0000EE"/>
          </w:tcPr>
          <w:p>
            <w:pPr>
              <w:spacing w:after="0" w:line="20" w:lineRule="exact"/>
              <w:rPr>
                <w:sz w:val="1"/>
                <w:szCs w:val="1"/>
                <w:color w:val="auto"/>
              </w:rPr>
            </w:pPr>
          </w:p>
        </w:tc>
        <w:tc>
          <w:tcPr>
            <w:tcW w:w="282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760" w:type="dxa"/>
            <w:vAlign w:val="bottom"/>
            <w:gridSpan w:val="2"/>
          </w:tcPr>
          <w:p>
            <w:pPr>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0"/>
                <w:szCs w:val="20"/>
                <w:color w:val="auto"/>
              </w:rPr>
            </w:pPr>
          </w:p>
        </w:tc>
        <w:tc>
          <w:tcPr>
            <w:tcW w:w="9980" w:type="dxa"/>
            <w:vAlign w:val="bottom"/>
            <w:gridSpan w:val="12"/>
          </w:tcPr>
          <w:p>
            <w:pPr>
              <w:spacing w:after="0"/>
              <w:rPr>
                <w:rFonts w:ascii="Arial" w:cs="Arial" w:eastAsia="Arial" w:hAnsi="Arial"/>
                <w:sz w:val="18"/>
                <w:szCs w:val="18"/>
                <w:color w:val="0000FF"/>
              </w:rPr>
            </w:pPr>
            <w:hyperlink r:id="rId394">
              <w:r>
                <w:rPr>
                  <w:rFonts w:ascii="Arial" w:cs="Arial" w:eastAsia="Arial" w:hAnsi="Arial"/>
                  <w:sz w:val="18"/>
                  <w:szCs w:val="18"/>
                  <w:color w:val="0000FF"/>
                </w:rPr>
                <w:t>Pledge Agreement, dated as of July 29, 2021, by and among Flywire Corporation, the Grantors and the Administrative Agent,</w:t>
              </w:r>
            </w:hyperlink>
          </w:p>
        </w:tc>
      </w:tr>
      <w:tr>
        <w:trPr>
          <w:trHeight w:val="20"/>
        </w:trPr>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3880" w:type="dxa"/>
            <w:vAlign w:val="bottom"/>
            <w:tcBorders>
              <w:right w:val="single" w:sz="8" w:color="0000FF"/>
            </w:tcBorders>
            <w:gridSpan w:val="5"/>
            <w:shd w:val="clear" w:color="auto" w:fill="0000FF"/>
          </w:tcPr>
          <w:p>
            <w:pPr>
              <w:spacing w:after="0" w:line="20" w:lineRule="exact"/>
              <w:rPr>
                <w:sz w:val="1"/>
                <w:szCs w:val="1"/>
                <w:color w:val="auto"/>
              </w:rPr>
            </w:pPr>
          </w:p>
        </w:tc>
        <w:tc>
          <w:tcPr>
            <w:tcW w:w="34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80" w:type="dxa"/>
            <w:vAlign w:val="bottom"/>
            <w:gridSpan w:val="12"/>
          </w:tcPr>
          <w:p>
            <w:pPr>
              <w:spacing w:after="0"/>
              <w:rPr>
                <w:rFonts w:ascii="Arial" w:cs="Arial" w:eastAsia="Arial" w:hAnsi="Arial"/>
                <w:sz w:val="18"/>
                <w:szCs w:val="18"/>
                <w:color w:val="0000FF"/>
              </w:rPr>
            </w:pPr>
            <w:hyperlink r:id="rId394">
              <w:r>
                <w:rPr>
                  <w:rFonts w:ascii="Arial" w:cs="Arial" w:eastAsia="Arial" w:hAnsi="Arial"/>
                  <w:sz w:val="18"/>
                  <w:szCs w:val="18"/>
                  <w:color w:val="0000FF"/>
                </w:rPr>
                <w:t>incorporated by reference to Exhibit 10.2 to the Registrant’s Current Report on Form 8-K filed on August 4, 2021.</w:t>
              </w:r>
            </w:hyperlink>
          </w:p>
        </w:tc>
      </w:tr>
      <w:tr>
        <w:trPr>
          <w:trHeight w:val="20"/>
        </w:trPr>
        <w:tc>
          <w:tcPr>
            <w:tcW w:w="76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300" w:type="dxa"/>
            <w:vAlign w:val="bottom"/>
            <w:tcBorders>
              <w:right w:val="single" w:sz="8" w:color="0000EE"/>
            </w:tcBorders>
            <w:shd w:val="clear" w:color="auto" w:fill="0000EE"/>
          </w:tcPr>
          <w:p>
            <w:pPr>
              <w:spacing w:after="0" w:line="20" w:lineRule="exact"/>
              <w:rPr>
                <w:sz w:val="1"/>
                <w:szCs w:val="1"/>
                <w:color w:val="auto"/>
              </w:rPr>
            </w:pPr>
          </w:p>
        </w:tc>
        <w:tc>
          <w:tcPr>
            <w:tcW w:w="3880" w:type="dxa"/>
            <w:vAlign w:val="bottom"/>
            <w:tcBorders>
              <w:right w:val="single" w:sz="8" w:color="0000EE"/>
            </w:tcBorders>
            <w:gridSpan w:val="5"/>
            <w:shd w:val="clear" w:color="auto" w:fill="0000EE"/>
          </w:tcPr>
          <w:p>
            <w:pPr>
              <w:spacing w:after="0" w:line="20" w:lineRule="exact"/>
              <w:rPr>
                <w:sz w:val="1"/>
                <w:szCs w:val="1"/>
                <w:color w:val="auto"/>
              </w:rPr>
            </w:pPr>
          </w:p>
        </w:tc>
        <w:tc>
          <w:tcPr>
            <w:tcW w:w="282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4"/>
        </w:trPr>
        <w:tc>
          <w:tcPr>
            <w:tcW w:w="760" w:type="dxa"/>
            <w:vAlign w:val="bottom"/>
            <w:gridSpan w:val="2"/>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9980" w:type="dxa"/>
            <w:vAlign w:val="bottom"/>
            <w:gridSpan w:val="12"/>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Certification of Principal Executive Officer Pursuant to Rules 13a-14(a) and 15d-14(a) under the Securities Exchange Act of</w:t>
              </w:r>
            </w:hyperlink>
          </w:p>
        </w:tc>
      </w:tr>
      <w:tr>
        <w:trPr>
          <w:trHeight w:val="20"/>
        </w:trPr>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3880" w:type="dxa"/>
            <w:vAlign w:val="bottom"/>
            <w:tcBorders>
              <w:right w:val="single" w:sz="8" w:color="0000FF"/>
            </w:tcBorders>
            <w:gridSpan w:val="5"/>
            <w:shd w:val="clear" w:color="auto" w:fill="0000FF"/>
          </w:tcPr>
          <w:p>
            <w:pPr>
              <w:spacing w:after="0" w:line="20" w:lineRule="exact"/>
              <w:rPr>
                <w:sz w:val="1"/>
                <w:szCs w:val="1"/>
                <w:color w:val="auto"/>
              </w:rPr>
            </w:pPr>
          </w:p>
        </w:tc>
        <w:tc>
          <w:tcPr>
            <w:tcW w:w="34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80" w:type="dxa"/>
            <w:vAlign w:val="bottom"/>
            <w:gridSpan w:val="12"/>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1934, as Adopted Pursuant to Section 302 of the Sarbanes-Oxley Act of 2002.</w:t>
              </w:r>
            </w:hyperlink>
          </w:p>
        </w:tc>
      </w:tr>
      <w:tr>
        <w:trPr>
          <w:trHeight w:val="20"/>
        </w:trPr>
        <w:tc>
          <w:tcPr>
            <w:tcW w:w="76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3880" w:type="dxa"/>
            <w:vAlign w:val="bottom"/>
            <w:tcBorders>
              <w:right w:val="single" w:sz="8" w:color="0000FF"/>
            </w:tcBorders>
            <w:gridSpan w:val="5"/>
            <w:shd w:val="clear" w:color="auto" w:fill="0000FF"/>
          </w:tcPr>
          <w:p>
            <w:pPr>
              <w:spacing w:after="0" w:line="20" w:lineRule="exact"/>
              <w:rPr>
                <w:sz w:val="1"/>
                <w:szCs w:val="1"/>
                <w:color w:val="auto"/>
              </w:rPr>
            </w:pPr>
          </w:p>
        </w:tc>
        <w:tc>
          <w:tcPr>
            <w:tcW w:w="3460" w:type="dxa"/>
            <w:vAlign w:val="bottom"/>
            <w:tcBorders>
              <w:left w:val="single" w:sz="8" w:color="0000EE"/>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4"/>
        </w:trPr>
        <w:tc>
          <w:tcPr>
            <w:tcW w:w="760" w:type="dxa"/>
            <w:vAlign w:val="bottom"/>
            <w:gridSpan w:val="2"/>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9980" w:type="dxa"/>
            <w:vAlign w:val="bottom"/>
            <w:gridSpan w:val="12"/>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Certification of Principal Financial Officer Pursuant to Rules 13a-14(a) and 15d-14(a) under the Securities Exchange Act of</w:t>
              </w:r>
            </w:hyperlink>
          </w:p>
        </w:tc>
      </w:tr>
      <w:tr>
        <w:trPr>
          <w:trHeight w:val="20"/>
        </w:trPr>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3880" w:type="dxa"/>
            <w:vAlign w:val="bottom"/>
            <w:tcBorders>
              <w:right w:val="single" w:sz="8" w:color="0000FF"/>
            </w:tcBorders>
            <w:gridSpan w:val="5"/>
            <w:shd w:val="clear" w:color="auto" w:fill="0000FF"/>
          </w:tcPr>
          <w:p>
            <w:pPr>
              <w:spacing w:after="0" w:line="20" w:lineRule="exact"/>
              <w:rPr>
                <w:sz w:val="1"/>
                <w:szCs w:val="1"/>
                <w:color w:val="auto"/>
              </w:rPr>
            </w:pPr>
          </w:p>
        </w:tc>
        <w:tc>
          <w:tcPr>
            <w:tcW w:w="34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80" w:type="dxa"/>
            <w:vAlign w:val="bottom"/>
            <w:gridSpan w:val="12"/>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1934, as Adopted Pursuant to Section 302 of the Sarbanes-Oxley Act of 2002</w:t>
              </w:r>
              <w:r>
                <w:rPr>
                  <w:rFonts w:ascii="Arial" w:cs="Arial" w:eastAsia="Arial" w:hAnsi="Arial"/>
                  <w:sz w:val="18"/>
                  <w:szCs w:val="18"/>
                  <w:color w:val="000000"/>
                </w:rPr>
                <w:t>.</w:t>
              </w:r>
            </w:hyperlink>
          </w:p>
        </w:tc>
      </w:tr>
      <w:tr>
        <w:trPr>
          <w:trHeight w:val="20"/>
        </w:trPr>
        <w:tc>
          <w:tcPr>
            <w:tcW w:w="76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3880" w:type="dxa"/>
            <w:vAlign w:val="bottom"/>
            <w:tcBorders>
              <w:right w:val="single" w:sz="8" w:color="0000EE"/>
            </w:tcBorders>
            <w:gridSpan w:val="5"/>
            <w:shd w:val="clear" w:color="auto" w:fill="0000FF"/>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345"/>
        </w:trPr>
        <w:tc>
          <w:tcPr>
            <w:tcW w:w="760" w:type="dxa"/>
            <w:vAlign w:val="bottom"/>
            <w:gridSpan w:val="2"/>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9980" w:type="dxa"/>
            <w:vAlign w:val="bottom"/>
            <w:gridSpan w:val="12"/>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Certification of Principal Executive Officer Pursuant to 18 U.S.C. Section 1350, as Adopted Pursuant to Section 906 of the</w:t>
              </w:r>
            </w:hyperlink>
          </w:p>
        </w:tc>
      </w:tr>
      <w:tr>
        <w:trPr>
          <w:trHeight w:val="20"/>
        </w:trPr>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7340" w:type="dxa"/>
            <w:vAlign w:val="bottom"/>
            <w:gridSpan w:val="8"/>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80" w:type="dxa"/>
            <w:vAlign w:val="bottom"/>
            <w:gridSpan w:val="12"/>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Sarbanes-Oxley Act of 2002.</w:t>
              </w:r>
            </w:hyperlink>
          </w:p>
        </w:tc>
      </w:tr>
      <w:tr>
        <w:trPr>
          <w:trHeight w:val="20"/>
        </w:trPr>
        <w:tc>
          <w:tcPr>
            <w:tcW w:w="76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EE"/>
            </w:tcBorders>
            <w:shd w:val="clear" w:color="auto" w:fill="0000FF"/>
          </w:tcPr>
          <w:p>
            <w:pPr>
              <w:spacing w:after="0" w:line="20" w:lineRule="exact"/>
              <w:rPr>
                <w:sz w:val="1"/>
                <w:szCs w:val="1"/>
                <w:color w:val="auto"/>
              </w:rPr>
            </w:pPr>
          </w:p>
        </w:tc>
        <w:tc>
          <w:tcPr>
            <w:tcW w:w="7340" w:type="dxa"/>
            <w:vAlign w:val="bottom"/>
            <w:gridSpan w:val="8"/>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345"/>
        </w:trPr>
        <w:tc>
          <w:tcPr>
            <w:tcW w:w="760" w:type="dxa"/>
            <w:vAlign w:val="bottom"/>
            <w:gridSpan w:val="2"/>
          </w:tcPr>
          <w:p>
            <w:pP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9980" w:type="dxa"/>
            <w:vAlign w:val="bottom"/>
            <w:gridSpan w:val="12"/>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Certification of Principal Financial Officer Pursuant to 18 U.S.C. Section 1350, as Adopted Pursuant to Section 906 of the</w:t>
              </w:r>
            </w:hyperlink>
          </w:p>
        </w:tc>
      </w:tr>
      <w:tr>
        <w:trPr>
          <w:trHeight w:val="20"/>
        </w:trPr>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40" w:type="dxa"/>
            <w:vAlign w:val="bottom"/>
            <w:gridSpan w:val="9"/>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80" w:type="dxa"/>
            <w:vAlign w:val="bottom"/>
            <w:gridSpan w:val="12"/>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Sarbanes-Oxley Act of 2002.</w:t>
              </w:r>
            </w:hyperlink>
          </w:p>
        </w:tc>
      </w:tr>
      <w:tr>
        <w:trPr>
          <w:trHeight w:val="20"/>
        </w:trPr>
        <w:tc>
          <w:tcPr>
            <w:tcW w:w="76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EE"/>
            </w:tcBorders>
            <w:shd w:val="clear" w:color="auto" w:fill="0000FF"/>
          </w:tcPr>
          <w:p>
            <w:pPr>
              <w:spacing w:after="0" w:line="20" w:lineRule="exact"/>
              <w:rPr>
                <w:sz w:val="1"/>
                <w:szCs w:val="1"/>
                <w:color w:val="auto"/>
              </w:rPr>
            </w:pPr>
          </w:p>
        </w:tc>
        <w:tc>
          <w:tcPr>
            <w:tcW w:w="7680" w:type="dxa"/>
            <w:vAlign w:val="bottom"/>
            <w:gridSpan w:val="11"/>
          </w:tcPr>
          <w:p>
            <w:pPr>
              <w:spacing w:after="0" w:line="20" w:lineRule="exact"/>
              <w:rPr>
                <w:sz w:val="1"/>
                <w:szCs w:val="1"/>
                <w:color w:val="auto"/>
              </w:rPr>
            </w:pPr>
          </w:p>
        </w:tc>
      </w:tr>
      <w:tr>
        <w:trPr>
          <w:trHeight w:val="385"/>
        </w:trPr>
        <w:tc>
          <w:tcPr>
            <w:tcW w:w="7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9980" w:type="dxa"/>
            <w:vAlign w:val="bottom"/>
            <w:gridSpan w:val="12"/>
          </w:tcPr>
          <w:p>
            <w:pPr>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XBRL tags are</w:t>
            </w:r>
          </w:p>
        </w:tc>
      </w:tr>
      <w:tr>
        <w:trPr>
          <w:trHeight w:val="229"/>
        </w:trPr>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980" w:type="dxa"/>
            <w:vAlign w:val="bottom"/>
            <w:gridSpan w:val="12"/>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65"/>
        </w:trPr>
        <w:tc>
          <w:tcPr>
            <w:tcW w:w="7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4"/>
                <w:szCs w:val="24"/>
                <w:color w:val="auto"/>
              </w:rPr>
            </w:pPr>
          </w:p>
        </w:tc>
        <w:tc>
          <w:tcPr>
            <w:tcW w:w="998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64"/>
        </w:trPr>
        <w:tc>
          <w:tcPr>
            <w:tcW w:w="7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24"/>
                <w:szCs w:val="24"/>
                <w:color w:val="auto"/>
              </w:rPr>
            </w:pPr>
          </w:p>
        </w:tc>
        <w:tc>
          <w:tcPr>
            <w:tcW w:w="998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65"/>
        </w:trPr>
        <w:tc>
          <w:tcPr>
            <w:tcW w:w="7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24"/>
                <w:szCs w:val="24"/>
                <w:color w:val="auto"/>
              </w:rPr>
            </w:pPr>
          </w:p>
        </w:tc>
        <w:tc>
          <w:tcPr>
            <w:tcW w:w="998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65"/>
        </w:trPr>
        <w:tc>
          <w:tcPr>
            <w:tcW w:w="7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24"/>
                <w:szCs w:val="24"/>
                <w:color w:val="auto"/>
              </w:rPr>
            </w:pPr>
          </w:p>
        </w:tc>
        <w:tc>
          <w:tcPr>
            <w:tcW w:w="998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65"/>
        </w:trPr>
        <w:tc>
          <w:tcPr>
            <w:tcW w:w="7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24"/>
                <w:szCs w:val="24"/>
                <w:color w:val="auto"/>
              </w:rPr>
            </w:pPr>
          </w:p>
        </w:tc>
        <w:tc>
          <w:tcPr>
            <w:tcW w:w="998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48" w:lineRule="exact"/>
        <w:rPr>
          <w:sz w:val="20"/>
          <w:szCs w:val="20"/>
          <w:color w:val="auto"/>
        </w:rPr>
      </w:pPr>
    </w:p>
    <w:p>
      <w:pPr>
        <w:ind w:left="5520" w:right="3740" w:hanging="5382"/>
        <w:spacing w:after="0" w:line="809" w:lineRule="auto"/>
        <w:tabs>
          <w:tab w:leader="none" w:pos="1151"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69215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91" w:name="page92"/>
    <w:bookmarkEnd w:id="91"/>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6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700" w:type="dxa"/>
            <w:vAlign w:val="bottom"/>
            <w:gridSpan w:val="2"/>
          </w:tcPr>
          <w:p>
            <w:pPr>
              <w:ind w:left="1420"/>
              <w:spacing w:after="0"/>
              <w:rPr>
                <w:sz w:val="20"/>
                <w:szCs w:val="20"/>
                <w:color w:val="auto"/>
              </w:rPr>
            </w:pPr>
            <w:r>
              <w:rPr>
                <w:rFonts w:ascii="Arial" w:cs="Arial" w:eastAsia="Arial" w:hAnsi="Arial"/>
                <w:sz w:val="18"/>
                <w:szCs w:val="18"/>
                <w:b w:val="1"/>
                <w:bCs w:val="1"/>
                <w:color w:val="auto"/>
              </w:rPr>
              <w:t>FLYWIRE CORPORATION</w:t>
            </w:r>
          </w:p>
        </w:tc>
        <w:tc>
          <w:tcPr>
            <w:tcW w:w="3980" w:type="dxa"/>
            <w:vAlign w:val="bottom"/>
          </w:tcPr>
          <w:p>
            <w:pPr>
              <w:spacing w:after="0"/>
              <w:rPr>
                <w:sz w:val="20"/>
                <w:szCs w:val="20"/>
                <w:color w:val="auto"/>
              </w:rPr>
            </w:pPr>
          </w:p>
        </w:tc>
      </w:tr>
      <w:tr>
        <w:trPr>
          <w:trHeight w:val="486"/>
        </w:trPr>
        <w:tc>
          <w:tcPr>
            <w:tcW w:w="3300" w:type="dxa"/>
            <w:vAlign w:val="bottom"/>
          </w:tcPr>
          <w:p>
            <w:pPr>
              <w:spacing w:after="0"/>
              <w:rPr>
                <w:sz w:val="20"/>
                <w:szCs w:val="20"/>
                <w:color w:val="auto"/>
              </w:rPr>
            </w:pPr>
            <w:r>
              <w:rPr>
                <w:rFonts w:ascii="Arial" w:cs="Arial" w:eastAsia="Arial" w:hAnsi="Arial"/>
                <w:sz w:val="18"/>
                <w:szCs w:val="18"/>
                <w:color w:val="auto"/>
              </w:rPr>
              <w:t>Date: November 12, 2021</w:t>
            </w:r>
          </w:p>
        </w:tc>
        <w:tc>
          <w:tcPr>
            <w:tcW w:w="3700" w:type="dxa"/>
            <w:vAlign w:val="bottom"/>
            <w:gridSpan w:val="2"/>
          </w:tcPr>
          <w:p>
            <w:pPr>
              <w:ind w:left="142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ind w:right="1710"/>
              <w:spacing w:after="0"/>
              <w:rPr>
                <w:sz w:val="20"/>
                <w:szCs w:val="20"/>
                <w:color w:val="auto"/>
              </w:rPr>
            </w:pPr>
            <w:r>
              <w:rPr>
                <w:rFonts w:ascii="Arial" w:cs="Arial" w:eastAsia="Arial" w:hAnsi="Arial"/>
                <w:sz w:val="18"/>
                <w:szCs w:val="18"/>
                <w:color w:val="auto"/>
                <w:w w:val="93"/>
              </w:rPr>
              <w:t>/s/ Michael Massaro</w:t>
            </w:r>
          </w:p>
        </w:tc>
      </w:tr>
      <w:tr>
        <w:trPr>
          <w:trHeight w:val="290"/>
        </w:trPr>
        <w:tc>
          <w:tcPr>
            <w:tcW w:w="3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3980" w:type="dxa"/>
            <w:vAlign w:val="bottom"/>
            <w:tcBorders>
              <w:top w:val="single" w:sz="8" w:color="auto"/>
            </w:tcBorders>
          </w:tcPr>
          <w:p>
            <w:pPr>
              <w:jc w:val="center"/>
              <w:ind w:right="1610"/>
              <w:spacing w:after="0"/>
              <w:rPr>
                <w:sz w:val="20"/>
                <w:szCs w:val="20"/>
                <w:color w:val="auto"/>
              </w:rPr>
            </w:pPr>
            <w:r>
              <w:rPr>
                <w:rFonts w:ascii="Arial" w:cs="Arial" w:eastAsia="Arial" w:hAnsi="Arial"/>
                <w:sz w:val="18"/>
                <w:szCs w:val="18"/>
                <w:b w:val="1"/>
                <w:bCs w:val="1"/>
                <w:color w:val="auto"/>
                <w:w w:val="99"/>
              </w:rPr>
              <w:t>Michael Massaro</w:t>
            </w:r>
          </w:p>
        </w:tc>
      </w:tr>
      <w:tr>
        <w:trPr>
          <w:trHeight w:val="257"/>
        </w:trPr>
        <w:tc>
          <w:tcPr>
            <w:tcW w:w="33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9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9"/>
              </w:rPr>
              <w:t>Principal Executive Officer</w:t>
            </w:r>
          </w:p>
        </w:tc>
      </w:tr>
      <w:tr>
        <w:trPr>
          <w:trHeight w:val="486"/>
        </w:trPr>
        <w:tc>
          <w:tcPr>
            <w:tcW w:w="3300" w:type="dxa"/>
            <w:vAlign w:val="bottom"/>
          </w:tcPr>
          <w:p>
            <w:pPr>
              <w:spacing w:after="0"/>
              <w:rPr>
                <w:sz w:val="20"/>
                <w:szCs w:val="20"/>
                <w:color w:val="auto"/>
              </w:rPr>
            </w:pPr>
            <w:r>
              <w:rPr>
                <w:rFonts w:ascii="Arial" w:cs="Arial" w:eastAsia="Arial" w:hAnsi="Arial"/>
                <w:sz w:val="18"/>
                <w:szCs w:val="18"/>
                <w:color w:val="auto"/>
              </w:rPr>
              <w:t>Date: November 12, 2021</w:t>
            </w:r>
          </w:p>
        </w:tc>
        <w:tc>
          <w:tcPr>
            <w:tcW w:w="1920" w:type="dxa"/>
            <w:vAlign w:val="bottom"/>
          </w:tcPr>
          <w:p>
            <w:pPr>
              <w:ind w:left="1420"/>
              <w:spacing w:after="0"/>
              <w:rPr>
                <w:sz w:val="20"/>
                <w:szCs w:val="20"/>
                <w:color w:val="auto"/>
              </w:rPr>
            </w:pPr>
            <w:r>
              <w:rPr>
                <w:rFonts w:ascii="Arial" w:cs="Arial" w:eastAsia="Arial" w:hAnsi="Arial"/>
                <w:sz w:val="18"/>
                <w:szCs w:val="18"/>
                <w:color w:val="auto"/>
              </w:rPr>
              <w:t>By:</w:t>
            </w:r>
          </w:p>
        </w:tc>
        <w:tc>
          <w:tcPr>
            <w:tcW w:w="17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1710"/>
              <w:spacing w:after="0"/>
              <w:rPr>
                <w:sz w:val="20"/>
                <w:szCs w:val="20"/>
                <w:color w:val="auto"/>
              </w:rPr>
            </w:pPr>
            <w:r>
              <w:rPr>
                <w:rFonts w:ascii="Arial" w:cs="Arial" w:eastAsia="Arial" w:hAnsi="Arial"/>
                <w:sz w:val="18"/>
                <w:szCs w:val="18"/>
                <w:color w:val="auto"/>
                <w:w w:val="98"/>
              </w:rPr>
              <w:t>/s/ Michael Ellis</w:t>
            </w:r>
          </w:p>
        </w:tc>
      </w:tr>
    </w:tbl>
    <w:p>
      <w:pPr>
        <w:spacing w:after="0" w:line="58" w:lineRule="exact"/>
        <w:rPr>
          <w:sz w:val="20"/>
          <w:szCs w:val="20"/>
          <w:color w:val="auto"/>
        </w:rPr>
      </w:pPr>
    </w:p>
    <w:p>
      <w:pPr>
        <w:jc w:val="center"/>
        <w:ind w:left="5360"/>
        <w:spacing w:after="0"/>
        <w:rPr>
          <w:sz w:val="20"/>
          <w:szCs w:val="20"/>
          <w:color w:val="auto"/>
        </w:rPr>
      </w:pPr>
      <w:r>
        <w:rPr>
          <w:rFonts w:ascii="Arial" w:cs="Arial" w:eastAsia="Arial" w:hAnsi="Arial"/>
          <w:sz w:val="18"/>
          <w:szCs w:val="18"/>
          <w:b w:val="1"/>
          <w:bCs w:val="1"/>
          <w:color w:val="auto"/>
        </w:rPr>
        <w:t>Michael Ellis</w:t>
      </w:r>
    </w:p>
    <w:p>
      <w:pPr>
        <w:spacing w:after="0" w:line="50" w:lineRule="exact"/>
        <w:rPr>
          <w:sz w:val="20"/>
          <w:szCs w:val="20"/>
          <w:color w:val="auto"/>
        </w:rPr>
      </w:pPr>
    </w:p>
    <w:p>
      <w:pPr>
        <w:jc w:val="center"/>
        <w:ind w:left="536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Michael Massaro, certify that:</w:t>
      </w:r>
    </w:p>
    <w:p>
      <w:pPr>
        <w:spacing w:after="0" w:line="131"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2021 of Flywire Corporation;</w:t>
      </w:r>
    </w:p>
    <w:p>
      <w:pPr>
        <w:spacing w:after="0" w:line="130" w:lineRule="exact"/>
        <w:rPr>
          <w:rFonts w:ascii="Arial" w:cs="Arial" w:eastAsia="Arial" w:hAnsi="Arial"/>
          <w:sz w:val="18"/>
          <w:szCs w:val="18"/>
          <w:color w:val="auto"/>
        </w:rPr>
      </w:pPr>
    </w:p>
    <w:p>
      <w:pPr>
        <w:ind w:left="520" w:right="200" w:hanging="512"/>
        <w:spacing w:after="0" w:line="271" w:lineRule="auto"/>
        <w:tabs>
          <w:tab w:leader="none" w:pos="4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520" w:right="380" w:hanging="512"/>
        <w:spacing w:after="0" w:line="271" w:lineRule="auto"/>
        <w:tabs>
          <w:tab w:leader="none" w:pos="4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8"/>
          <w:szCs w:val="18"/>
          <w:color w:val="auto"/>
        </w:rPr>
      </w:pPr>
    </w:p>
    <w:p>
      <w:pPr>
        <w:ind w:left="520" w:right="160" w:hanging="512"/>
        <w:spacing w:after="0" w:line="277" w:lineRule="auto"/>
        <w:tabs>
          <w:tab w:leader="none" w:pos="4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89" w:lineRule="exact"/>
        <w:rPr>
          <w:rFonts w:ascii="Arial" w:cs="Arial" w:eastAsia="Arial" w:hAnsi="Arial"/>
          <w:sz w:val="18"/>
          <w:szCs w:val="18"/>
          <w:color w:val="auto"/>
        </w:rPr>
      </w:pPr>
    </w:p>
    <w:p>
      <w:pPr>
        <w:ind w:left="1660" w:right="260" w:hanging="507"/>
        <w:spacing w:after="0" w:line="269" w:lineRule="auto"/>
        <w:tabs>
          <w:tab w:leader="none" w:pos="155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Arial" w:cs="Arial" w:eastAsia="Arial" w:hAnsi="Arial"/>
          <w:sz w:val="18"/>
          <w:szCs w:val="18"/>
          <w:color w:val="auto"/>
        </w:rPr>
      </w:pPr>
    </w:p>
    <w:p>
      <w:pPr>
        <w:ind w:left="1560" w:hanging="407"/>
        <w:spacing w:after="0"/>
        <w:tabs>
          <w:tab w:leader="none" w:pos="15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[omitted]</w:t>
      </w:r>
    </w:p>
    <w:p>
      <w:pPr>
        <w:spacing w:after="0" w:line="130" w:lineRule="exact"/>
        <w:rPr>
          <w:rFonts w:ascii="Arial" w:cs="Arial" w:eastAsia="Arial" w:hAnsi="Arial"/>
          <w:sz w:val="18"/>
          <w:szCs w:val="18"/>
          <w:color w:val="auto"/>
        </w:rPr>
      </w:pPr>
    </w:p>
    <w:p>
      <w:pPr>
        <w:ind w:left="1660" w:right="280" w:hanging="507"/>
        <w:spacing w:after="0" w:line="271" w:lineRule="auto"/>
        <w:tabs>
          <w:tab w:leader="none" w:pos="1551"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1660" w:right="20" w:hanging="507"/>
        <w:spacing w:after="0" w:line="294" w:lineRule="auto"/>
        <w:tabs>
          <w:tab w:leader="none" w:pos="1551"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7"/>
          <w:szCs w:val="17"/>
          <w:color w:val="auto"/>
        </w:rPr>
      </w:pPr>
    </w:p>
    <w:p>
      <w:pPr>
        <w:ind w:left="520" w:right="380" w:hanging="512"/>
        <w:spacing w:after="0" w:line="271" w:lineRule="auto"/>
        <w:tabs>
          <w:tab w:leader="none" w:pos="4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1660" w:right="140" w:hanging="507"/>
        <w:spacing w:after="0" w:line="271" w:lineRule="auto"/>
        <w:tabs>
          <w:tab w:leader="none" w:pos="155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8"/>
          <w:szCs w:val="18"/>
          <w:color w:val="auto"/>
        </w:rPr>
      </w:pPr>
    </w:p>
    <w:p>
      <w:pPr>
        <w:ind w:left="1660" w:right="520" w:hanging="507"/>
        <w:spacing w:after="0" w:line="277" w:lineRule="auto"/>
        <w:tabs>
          <w:tab w:leader="none" w:pos="155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 w:lineRule="exact"/>
        <w:rPr>
          <w:sz w:val="20"/>
          <w:szCs w:val="20"/>
          <w:color w:val="auto"/>
        </w:rPr>
      </w:pPr>
    </w:p>
    <w:p>
      <w:pPr>
        <w:ind w:left="20"/>
        <w:spacing w:after="0"/>
        <w:tabs>
          <w:tab w:leader="none" w:pos="7540" w:val="left"/>
          <w:tab w:leader="none" w:pos="878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6"/>
          <w:szCs w:val="16"/>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10160</wp:posOffset>
            </wp:positionV>
            <wp:extent cx="20574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8">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68" w:lineRule="exact"/>
        <w:rPr>
          <w:sz w:val="20"/>
          <w:szCs w:val="20"/>
          <w:color w:val="auto"/>
        </w:rPr>
      </w:pPr>
    </w:p>
    <w:p>
      <w:pPr>
        <w:jc w:val="center"/>
        <w:ind w:left="7800"/>
        <w:spacing w:after="0"/>
        <w:rPr>
          <w:sz w:val="20"/>
          <w:szCs w:val="20"/>
          <w:color w:val="auto"/>
        </w:rPr>
      </w:pPr>
      <w:r>
        <w:rPr>
          <w:rFonts w:ascii="Arial" w:cs="Arial" w:eastAsia="Arial" w:hAnsi="Arial"/>
          <w:sz w:val="18"/>
          <w:szCs w:val="18"/>
          <w:b w:val="1"/>
          <w:bCs w:val="1"/>
          <w:color w:val="auto"/>
        </w:rPr>
        <w:t>Michael Massaro</w:t>
      </w:r>
    </w:p>
    <w:p>
      <w:pPr>
        <w:spacing w:after="0" w:line="50" w:lineRule="exact"/>
        <w:rPr>
          <w:sz w:val="20"/>
          <w:szCs w:val="20"/>
          <w:color w:val="auto"/>
        </w:rPr>
      </w:pPr>
    </w:p>
    <w:p>
      <w:pPr>
        <w:jc w:val="center"/>
        <w:ind w:left="78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Michael Ellis, certify that:</w:t>
      </w:r>
    </w:p>
    <w:p>
      <w:pPr>
        <w:spacing w:after="0" w:line="131"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2021 of Flywire Corporation;</w:t>
      </w:r>
    </w:p>
    <w:p>
      <w:pPr>
        <w:spacing w:after="0" w:line="130" w:lineRule="exact"/>
        <w:rPr>
          <w:rFonts w:ascii="Arial" w:cs="Arial" w:eastAsia="Arial" w:hAnsi="Arial"/>
          <w:sz w:val="18"/>
          <w:szCs w:val="18"/>
          <w:color w:val="auto"/>
        </w:rPr>
      </w:pPr>
    </w:p>
    <w:p>
      <w:pPr>
        <w:ind w:left="520" w:right="200" w:hanging="512"/>
        <w:spacing w:after="0" w:line="271" w:lineRule="auto"/>
        <w:tabs>
          <w:tab w:leader="none" w:pos="4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520" w:right="380" w:hanging="512"/>
        <w:spacing w:after="0" w:line="271" w:lineRule="auto"/>
        <w:tabs>
          <w:tab w:leader="none" w:pos="4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8"/>
          <w:szCs w:val="18"/>
          <w:color w:val="auto"/>
        </w:rPr>
      </w:pPr>
    </w:p>
    <w:p>
      <w:pPr>
        <w:ind w:left="520" w:right="160" w:hanging="512"/>
        <w:spacing w:after="0" w:line="277" w:lineRule="auto"/>
        <w:tabs>
          <w:tab w:leader="none" w:pos="4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89" w:lineRule="exact"/>
        <w:rPr>
          <w:rFonts w:ascii="Arial" w:cs="Arial" w:eastAsia="Arial" w:hAnsi="Arial"/>
          <w:sz w:val="18"/>
          <w:szCs w:val="18"/>
          <w:color w:val="auto"/>
        </w:rPr>
      </w:pPr>
    </w:p>
    <w:p>
      <w:pPr>
        <w:ind w:left="1660" w:right="260" w:hanging="507"/>
        <w:spacing w:after="0" w:line="269" w:lineRule="auto"/>
        <w:tabs>
          <w:tab w:leader="none" w:pos="155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Arial" w:cs="Arial" w:eastAsia="Arial" w:hAnsi="Arial"/>
          <w:sz w:val="18"/>
          <w:szCs w:val="18"/>
          <w:color w:val="auto"/>
        </w:rPr>
      </w:pPr>
    </w:p>
    <w:p>
      <w:pPr>
        <w:ind w:left="1560" w:hanging="407"/>
        <w:spacing w:after="0"/>
        <w:tabs>
          <w:tab w:leader="none" w:pos="15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[omitted]</w:t>
      </w:r>
    </w:p>
    <w:p>
      <w:pPr>
        <w:spacing w:after="0" w:line="130" w:lineRule="exact"/>
        <w:rPr>
          <w:rFonts w:ascii="Arial" w:cs="Arial" w:eastAsia="Arial" w:hAnsi="Arial"/>
          <w:sz w:val="18"/>
          <w:szCs w:val="18"/>
          <w:color w:val="auto"/>
        </w:rPr>
      </w:pPr>
    </w:p>
    <w:p>
      <w:pPr>
        <w:ind w:left="1660" w:right="280" w:hanging="507"/>
        <w:spacing w:after="0" w:line="271" w:lineRule="auto"/>
        <w:tabs>
          <w:tab w:leader="none" w:pos="1551"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1660" w:right="20" w:hanging="507"/>
        <w:spacing w:after="0" w:line="294" w:lineRule="auto"/>
        <w:tabs>
          <w:tab w:leader="none" w:pos="1551"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7"/>
          <w:szCs w:val="17"/>
          <w:color w:val="auto"/>
        </w:rPr>
      </w:pPr>
    </w:p>
    <w:p>
      <w:pPr>
        <w:ind w:left="520" w:right="380" w:hanging="512"/>
        <w:spacing w:after="0" w:line="271" w:lineRule="auto"/>
        <w:tabs>
          <w:tab w:leader="none" w:pos="4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1660" w:right="140" w:hanging="507"/>
        <w:spacing w:after="0" w:line="271" w:lineRule="auto"/>
        <w:tabs>
          <w:tab w:leader="none" w:pos="155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8"/>
          <w:szCs w:val="18"/>
          <w:color w:val="auto"/>
        </w:rPr>
      </w:pPr>
    </w:p>
    <w:p>
      <w:pPr>
        <w:ind w:left="1660" w:right="520" w:hanging="507"/>
        <w:spacing w:after="0" w:line="277" w:lineRule="auto"/>
        <w:tabs>
          <w:tab w:leader="none" w:pos="155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 w:lineRule="exact"/>
        <w:rPr>
          <w:sz w:val="20"/>
          <w:szCs w:val="20"/>
          <w:color w:val="auto"/>
        </w:rPr>
      </w:pPr>
    </w:p>
    <w:p>
      <w:pPr>
        <w:ind w:left="20"/>
        <w:spacing w:after="0"/>
        <w:tabs>
          <w:tab w:leader="none" w:pos="7540" w:val="left"/>
          <w:tab w:leader="none" w:pos="892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7"/>
          <w:szCs w:val="17"/>
          <w:color w:val="auto"/>
        </w:rPr>
        <w:t>/s/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10160</wp:posOffset>
            </wp:positionV>
            <wp:extent cx="205740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68" w:lineRule="exact"/>
        <w:rPr>
          <w:sz w:val="20"/>
          <w:szCs w:val="20"/>
          <w:color w:val="auto"/>
        </w:rPr>
      </w:pPr>
    </w:p>
    <w:p>
      <w:pPr>
        <w:jc w:val="center"/>
        <w:ind w:left="7800"/>
        <w:spacing w:after="0"/>
        <w:rPr>
          <w:sz w:val="20"/>
          <w:szCs w:val="20"/>
          <w:color w:val="auto"/>
        </w:rPr>
      </w:pPr>
      <w:r>
        <w:rPr>
          <w:rFonts w:ascii="Arial" w:cs="Arial" w:eastAsia="Arial" w:hAnsi="Arial"/>
          <w:sz w:val="18"/>
          <w:szCs w:val="18"/>
          <w:b w:val="1"/>
          <w:bCs w:val="1"/>
          <w:color w:val="auto"/>
        </w:rPr>
        <w:t>Michael Ellis</w:t>
      </w:r>
    </w:p>
    <w:p>
      <w:pPr>
        <w:spacing w:after="0" w:line="50" w:lineRule="exact"/>
        <w:rPr>
          <w:sz w:val="20"/>
          <w:szCs w:val="20"/>
          <w:color w:val="auto"/>
        </w:rPr>
      </w:pPr>
    </w:p>
    <w:p>
      <w:pPr>
        <w:jc w:val="center"/>
        <w:ind w:left="78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1190625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3"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In connection with the Quarterly Report of Flywire Corporation (the “Company”) on Form 10-Q for the quarter ended September 30, 2021 as filed with the Securities and Exchange Commission on the date hereof (the “Report”), I certify, pursuant to 18 U.S.C. § 1350, as adopted pursuant to § 906 of the Sarbanes-Oxley Act of 2002, that:</w:t>
      </w:r>
    </w:p>
    <w:p>
      <w:pPr>
        <w:spacing w:after="0" w:line="95" w:lineRule="exact"/>
        <w:rPr>
          <w:sz w:val="20"/>
          <w:szCs w:val="20"/>
          <w:color w:val="auto"/>
        </w:rPr>
      </w:pPr>
    </w:p>
    <w:p>
      <w:pPr>
        <w:ind w:left="1560" w:hanging="407"/>
        <w:spacing w:after="0"/>
        <w:tabs>
          <w:tab w:leader="none" w:pos="1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660" w:right="560" w:hanging="507"/>
        <w:spacing w:after="0" w:line="277" w:lineRule="auto"/>
        <w:tabs>
          <w:tab w:leader="none" w:pos="15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4" w:lineRule="exact"/>
        <w:rPr>
          <w:sz w:val="20"/>
          <w:szCs w:val="20"/>
          <w:color w:val="auto"/>
        </w:rPr>
      </w:pPr>
    </w:p>
    <w:p>
      <w:pPr>
        <w:ind w:left="20"/>
        <w:spacing w:after="0"/>
        <w:tabs>
          <w:tab w:leader="none" w:pos="7780" w:val="left"/>
          <w:tab w:leader="none" w:pos="890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6"/>
          <w:szCs w:val="16"/>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10160</wp:posOffset>
            </wp:positionV>
            <wp:extent cx="190309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68" w:lineRule="exact"/>
        <w:rPr>
          <w:sz w:val="20"/>
          <w:szCs w:val="20"/>
          <w:color w:val="auto"/>
        </w:rPr>
      </w:pPr>
    </w:p>
    <w:p>
      <w:pPr>
        <w:jc w:val="center"/>
        <w:ind w:left="8060"/>
        <w:spacing w:after="0"/>
        <w:rPr>
          <w:sz w:val="20"/>
          <w:szCs w:val="20"/>
          <w:color w:val="auto"/>
        </w:rPr>
      </w:pPr>
      <w:r>
        <w:rPr>
          <w:rFonts w:ascii="Arial" w:cs="Arial" w:eastAsia="Arial" w:hAnsi="Arial"/>
          <w:sz w:val="18"/>
          <w:szCs w:val="18"/>
          <w:b w:val="1"/>
          <w:bCs w:val="1"/>
          <w:color w:val="auto"/>
        </w:rPr>
        <w:t>Michael Massaro</w:t>
      </w:r>
    </w:p>
    <w:p>
      <w:pPr>
        <w:spacing w:after="0" w:line="50" w:lineRule="exact"/>
        <w:rPr>
          <w:sz w:val="20"/>
          <w:szCs w:val="20"/>
          <w:color w:val="auto"/>
        </w:rPr>
      </w:pPr>
    </w:p>
    <w:p>
      <w:pPr>
        <w:jc w:val="center"/>
        <w:ind w:left="806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3"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In connection with the Quarterly Report of Flywire Corporation (the “Company”) on Form 10-Q for the quarter ended September 30, 2021 as filed with the Securities and Exchange Commission on the date hereof (the “Report”), I certify, pursuant to 18 U.S.C. § 1350, as adopted pursuant to § 906 of the Sarbanes-Oxley Act of 2002, that:</w:t>
      </w:r>
    </w:p>
    <w:p>
      <w:pPr>
        <w:spacing w:after="0" w:line="95" w:lineRule="exact"/>
        <w:rPr>
          <w:sz w:val="20"/>
          <w:szCs w:val="20"/>
          <w:color w:val="auto"/>
        </w:rPr>
      </w:pPr>
    </w:p>
    <w:p>
      <w:pPr>
        <w:ind w:left="1560" w:hanging="407"/>
        <w:spacing w:after="0"/>
        <w:tabs>
          <w:tab w:leader="none" w:pos="1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660" w:right="560" w:hanging="507"/>
        <w:spacing w:after="0" w:line="277" w:lineRule="auto"/>
        <w:tabs>
          <w:tab w:leader="none" w:pos="155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4" w:lineRule="exact"/>
        <w:rPr>
          <w:sz w:val="20"/>
          <w:szCs w:val="20"/>
          <w:color w:val="auto"/>
        </w:rPr>
      </w:pPr>
    </w:p>
    <w:p>
      <w:pPr>
        <w:ind w:left="20"/>
        <w:spacing w:after="0"/>
        <w:tabs>
          <w:tab w:leader="none" w:pos="7780" w:val="left"/>
          <w:tab w:leader="none" w:pos="904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7"/>
          <w:szCs w:val="17"/>
          <w:color w:val="auto"/>
        </w:rPr>
        <w:t>/s/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10160</wp:posOffset>
            </wp:positionV>
            <wp:extent cx="190309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68" w:lineRule="exact"/>
        <w:rPr>
          <w:sz w:val="20"/>
          <w:szCs w:val="20"/>
          <w:color w:val="auto"/>
        </w:rPr>
      </w:pPr>
    </w:p>
    <w:p>
      <w:pPr>
        <w:jc w:val="center"/>
        <w:ind w:left="8060"/>
        <w:spacing w:after="0"/>
        <w:rPr>
          <w:sz w:val="20"/>
          <w:szCs w:val="20"/>
          <w:color w:val="auto"/>
        </w:rPr>
      </w:pPr>
      <w:r>
        <w:rPr>
          <w:rFonts w:ascii="Arial" w:cs="Arial" w:eastAsia="Arial" w:hAnsi="Arial"/>
          <w:sz w:val="18"/>
          <w:szCs w:val="18"/>
          <w:b w:val="1"/>
          <w:bCs w:val="1"/>
          <w:color w:val="auto"/>
        </w:rPr>
        <w:t>Michael Ellis</w:t>
      </w:r>
    </w:p>
    <w:p>
      <w:pPr>
        <w:spacing w:after="0" w:line="50" w:lineRule="exact"/>
        <w:rPr>
          <w:sz w:val="20"/>
          <w:szCs w:val="20"/>
          <w:color w:val="auto"/>
        </w:rPr>
      </w:pPr>
    </w:p>
    <w:p>
      <w:pPr>
        <w:jc w:val="center"/>
        <w:ind w:left="806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Roman"/>
      <w:start w:val="2"/>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Letter"/>
      <w:start w:val="3"/>
    </w:lvl>
  </w:abstractNum>
  <w:abstractNum w:abstractNumId="11">
    <w:nsid w:val="DED7263"/>
    <w:multiLevelType w:val="hybridMultilevel"/>
    <w:lvl w:ilvl="0">
      <w:lvlJc w:val="left"/>
      <w:lvlText w:val="%1"/>
      <w:numFmt w:val="decimal"/>
      <w:start w:val="10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5" Type="http://schemas.openxmlformats.org/officeDocument/2006/relationships/image" Target="media/image384.png"/><Relationship Id="rId396" Type="http://schemas.openxmlformats.org/officeDocument/2006/relationships/image" Target="media/image385.png"/><Relationship Id="rId397"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391" Type="http://schemas.openxmlformats.org/officeDocument/2006/relationships/hyperlink" Target="https://www.sec.gov/Archives/edgar/data/1580560/000119312521178711/d109060dex31.htm" TargetMode="External"/><Relationship Id="rId392" Type="http://schemas.openxmlformats.org/officeDocument/2006/relationships/hyperlink" Target="https://www.sec.gov/Archives/edgar/data/1580560/000119312521178711/d109060dex32.htm" TargetMode="External"/><Relationship Id="rId393" Type="http://schemas.openxmlformats.org/officeDocument/2006/relationships/hyperlink" Target="https://www.sec.gov/Archives/edgar/data/1580560/000119312521236325/d209980dex101.htm" TargetMode="External"/><Relationship Id="rId394" Type="http://schemas.openxmlformats.org/officeDocument/2006/relationships/hyperlink" Target="https://www.sec.gov/Archives/edgar/data/1580560/000119312521236325/d20998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2021-11-12T19:04:16Z</dcterms:created>
  <dcterms:modified xsi:type="dcterms:W3CDTF">2021-11-12T19:04:16Z</dcterms:modified>
</cp:coreProperties>
</file>