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188595</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224155</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192405</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SCHEDULE 14A INFORMATION</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Proxy Statement Pursuant to Section 14(a) of the</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191770</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1020"/>
        <w:spacing w:after="0" w:line="173" w:lineRule="exact"/>
        <w:tabs>
          <w:tab w:leader="none" w:pos="2740" w:val="left"/>
          <w:tab w:leader="none" w:pos="2880" w:val="left"/>
          <w:tab w:leader="none" w:pos="3080" w:val="left"/>
        </w:tabs>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tab/>
        <w:t> </w:t>
        <w:tab/>
        <w:t> </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2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88" w:lineRule="exact"/>
        <w:rPr>
          <w:sz w:val="24"/>
          <w:szCs w:val="24"/>
          <w:color w:val="auto"/>
        </w:rPr>
      </w:pPr>
    </w:p>
    <w:p>
      <w:pPr>
        <w:ind w:left="1380" w:hanging="353"/>
        <w:spacing w:after="0"/>
        <w:tabs>
          <w:tab w:leader="none" w:pos="1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105" w:lineRule="exact"/>
        <w:rPr>
          <w:rFonts w:ascii="MS PGothic" w:cs="MS PGothic" w:eastAsia="MS PGothic" w:hAnsi="MS PGothic"/>
          <w:sz w:val="15"/>
          <w:szCs w:val="15"/>
          <w:color w:val="auto"/>
        </w:rPr>
      </w:pPr>
    </w:p>
    <w:p>
      <w:pPr>
        <w:ind w:left="1380" w:hanging="353"/>
        <w:spacing w:after="0"/>
        <w:tabs>
          <w:tab w:leader="none" w:pos="1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113" w:lineRule="exact"/>
        <w:rPr>
          <w:sz w:val="24"/>
          <w:szCs w:val="24"/>
          <w:color w:val="auto"/>
        </w:rPr>
      </w:pPr>
    </w:p>
    <w:p>
      <w:pPr>
        <w:ind w:left="1380" w:hanging="353"/>
        <w:spacing w:after="0"/>
        <w:tabs>
          <w:tab w:leader="none" w:pos="1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109" w:lineRule="exact"/>
        <w:rPr>
          <w:sz w:val="24"/>
          <w:szCs w:val="24"/>
          <w:color w:val="auto"/>
        </w:rPr>
      </w:pPr>
    </w:p>
    <w:p>
      <w:pPr>
        <w:ind w:left="1380" w:hanging="353"/>
        <w:spacing w:after="0"/>
        <w:tabs>
          <w:tab w:leader="none" w:pos="1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09" w:lineRule="exact"/>
        <w:rPr>
          <w:rFonts w:ascii="MS PGothic" w:cs="MS PGothic" w:eastAsia="MS PGothic" w:hAnsi="MS PGothic"/>
          <w:sz w:val="15"/>
          <w:szCs w:val="15"/>
          <w:color w:val="auto"/>
        </w:rPr>
      </w:pPr>
    </w:p>
    <w:p>
      <w:pPr>
        <w:ind w:left="1380" w:hanging="353"/>
        <w:spacing w:after="0"/>
        <w:tabs>
          <w:tab w:leader="none" w:pos="1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under Rule 14a-12</w:t>
      </w:r>
    </w:p>
    <w:p>
      <w:pPr>
        <w:spacing w:after="0" w:line="17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4"/>
          <w:szCs w:val="24"/>
          <w:b w:val="1"/>
          <w:bCs w:val="1"/>
          <w:color w:val="auto"/>
        </w:rPr>
        <w:t>FLYWIRE CORPORATION</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6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5"/>
          <w:szCs w:val="15"/>
          <w:b w:val="1"/>
          <w:bCs w:val="1"/>
          <w:color w:val="auto"/>
        </w:rPr>
        <w:t>(Name of Person(s) Filing Proxy Statement, if Other Than the Registrant)</w:t>
      </w:r>
    </w:p>
    <w:p>
      <w:pPr>
        <w:spacing w:after="0" w:line="19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109" w:lineRule="exact"/>
        <w:rPr>
          <w:sz w:val="24"/>
          <w:szCs w:val="24"/>
          <w:color w:val="auto"/>
        </w:rPr>
      </w:pPr>
    </w:p>
    <w:p>
      <w:pPr>
        <w:ind w:left="1380" w:hanging="353"/>
        <w:spacing w:after="0"/>
        <w:tabs>
          <w:tab w:leader="none" w:pos="13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09" w:lineRule="exact"/>
        <w:rPr>
          <w:sz w:val="24"/>
          <w:szCs w:val="24"/>
          <w:color w:val="auto"/>
        </w:rPr>
      </w:pPr>
    </w:p>
    <w:p>
      <w:pPr>
        <w:ind w:left="1380" w:hanging="353"/>
        <w:spacing w:after="0"/>
        <w:tabs>
          <w:tab w:leader="none" w:pos="13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09" w:lineRule="exact"/>
        <w:rPr>
          <w:rFonts w:ascii="MS PGothic" w:cs="MS PGothic" w:eastAsia="MS PGothic" w:hAnsi="MS PGothic"/>
          <w:sz w:val="15"/>
          <w:szCs w:val="15"/>
          <w:color w:val="auto"/>
        </w:rPr>
      </w:pPr>
    </w:p>
    <w:p>
      <w:pPr>
        <w:ind w:left="1380" w:hanging="353"/>
        <w:spacing w:after="0"/>
        <w:tabs>
          <w:tab w:leader="none" w:pos="13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135890</wp:posOffset>
            </wp:positionV>
            <wp:extent cx="58381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171450</wp:posOffset>
            </wp:positionV>
            <wp:extent cx="58381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139"/>
          </w:cols>
          <w:pgMar w:left="320" w:top="2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auto"/>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7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April 23, 2026</w:t>
      </w:r>
    </w:p>
    <w:p>
      <w:pPr>
        <w:spacing w:after="0" w:line="87" w:lineRule="exact"/>
        <w:rPr>
          <w:sz w:val="20"/>
          <w:szCs w:val="20"/>
          <w:color w:val="auto"/>
        </w:rPr>
      </w:pPr>
    </w:p>
    <w:p>
      <w:pPr>
        <w:ind w:left="1020" w:right="20"/>
        <w:spacing w:after="0" w:line="242" w:lineRule="auto"/>
        <w:rPr>
          <w:sz w:val="20"/>
          <w:szCs w:val="20"/>
          <w:color w:val="auto"/>
        </w:rPr>
      </w:pPr>
      <w:r>
        <w:rPr>
          <w:rFonts w:ascii="Arial" w:cs="Arial" w:eastAsia="Arial" w:hAnsi="Arial"/>
          <w:sz w:val="14"/>
          <w:szCs w:val="14"/>
          <w:color w:val="auto"/>
        </w:rPr>
        <w:t>You are cordially invited to attend the 2026 Annual Meeting of Stockholders of Flywire Corporation (Flywire) that will be held on Tuesday, June 2, 2026 at 9:30 a.m. EDT (the Annual Meeting). The Annual Meeting will be held virtually via live audio webcast on the internet at www.proxydocs.com/FLYW. Even though our Annual Meeting will be held virtually, stockholders will still have the ability to participate and vote their shares at the Annual Meeting if they wish.</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Details regarding the Annual Meeting and the business to be conducted are described in the accompanying proxy materials. Also included is a copy of our annual report on Form 10-K for the year ended December 31, 2025 (the 2025 Annual Report). We encourage you to read this information carefully. Your vote is important. Whether or not you plan to attend the Annual Meeting, we hope you will vote as soon as possible. You may vote over the internet, by telephone or by mailing a proxy card, if you have requested one. Please review the instructions on the Notice of Internet Availability of Proxy Materials you received in the mail regarding each of these voting options.</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Thank you for your ongoing support of Flywire.</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Very truly yours,</w:t>
      </w:r>
    </w:p>
    <w:p>
      <w:pPr>
        <w:spacing w:after="0" w:line="265"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Michael Massaro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Chief Executive Officer and Director</w:t>
      </w:r>
    </w:p>
    <w:p>
      <w:pPr>
        <w:sectPr>
          <w:pgSz w:w="11900" w:h="16838" w:orient="portrait"/>
          <w:cols w:equalWidth="0" w:num="1">
            <w:col w:w="10160"/>
          </w:cols>
          <w:pgMar w:left="320" w:top="425" w:right="1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FLYWIRE CORPORATION</w:t>
      </w:r>
    </w:p>
    <w:p>
      <w:pPr>
        <w:jc w:val="right"/>
        <w:spacing w:after="0" w:line="185" w:lineRule="auto"/>
        <w:rPr>
          <w:sz w:val="20"/>
          <w:szCs w:val="20"/>
          <w:color w:val="auto"/>
        </w:rPr>
      </w:pPr>
      <w:r>
        <w:rPr>
          <w:rFonts w:ascii="Arial" w:cs="Arial" w:eastAsia="Arial" w:hAnsi="Arial"/>
          <w:sz w:val="13"/>
          <w:szCs w:val="13"/>
          <w:b w:val="1"/>
          <w:bCs w:val="1"/>
          <w:color w:val="auto"/>
        </w:rPr>
        <w:t>141 Tremont St., 10</w:t>
      </w:r>
      <w:r>
        <w:rPr>
          <w:rFonts w:ascii="Arial" w:cs="Arial" w:eastAsia="Arial" w:hAnsi="Arial"/>
          <w:sz w:val="19"/>
          <w:szCs w:val="19"/>
          <w:b w:val="1"/>
          <w:bCs w:val="1"/>
          <w:color w:val="auto"/>
          <w:vertAlign w:val="superscript"/>
        </w:rPr>
        <w:t>th</w:t>
      </w:r>
      <w:r>
        <w:rPr>
          <w:rFonts w:ascii="Arial" w:cs="Arial" w:eastAsia="Arial" w:hAnsi="Arial"/>
          <w:sz w:val="13"/>
          <w:szCs w:val="13"/>
          <w:b w:val="1"/>
          <w:bCs w:val="1"/>
          <w:color w:val="auto"/>
        </w:rPr>
        <w:t xml:space="preserve"> Floor</w:t>
      </w:r>
    </w:p>
    <w:p>
      <w:pPr>
        <w:jc w:val="right"/>
        <w:spacing w:after="0"/>
        <w:rPr>
          <w:sz w:val="20"/>
          <w:szCs w:val="20"/>
          <w:color w:val="auto"/>
        </w:rPr>
      </w:pPr>
      <w:r>
        <w:rPr>
          <w:rFonts w:ascii="Arial" w:cs="Arial" w:eastAsia="Arial" w:hAnsi="Arial"/>
          <w:sz w:val="14"/>
          <w:szCs w:val="14"/>
          <w:b w:val="1"/>
          <w:bCs w:val="1"/>
          <w:color w:val="auto"/>
        </w:rPr>
        <w:t>Boston, Massachusetts 02111</w:t>
      </w:r>
    </w:p>
    <w:p>
      <w:pPr>
        <w:spacing w:after="0" w:line="134" w:lineRule="exact"/>
        <w:rPr>
          <w:sz w:val="20"/>
          <w:szCs w:val="20"/>
          <w:color w:val="auto"/>
        </w:rPr>
      </w:pPr>
    </w:p>
    <w:p>
      <w:pPr>
        <w:ind w:left="1020" w:right="3820"/>
        <w:spacing w:after="0" w:line="265" w:lineRule="auto"/>
        <w:rPr>
          <w:sz w:val="20"/>
          <w:szCs w:val="20"/>
          <w:color w:val="auto"/>
        </w:rPr>
      </w:pPr>
      <w:r>
        <w:rPr>
          <w:rFonts w:ascii="Arial" w:cs="Arial" w:eastAsia="Arial" w:hAnsi="Arial"/>
          <w:sz w:val="42"/>
          <w:szCs w:val="42"/>
          <w:b w:val="1"/>
          <w:bCs w:val="1"/>
          <w:color w:val="auto"/>
        </w:rPr>
        <w:t>Notice of Annual Meeting for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97790</wp:posOffset>
            </wp:positionV>
            <wp:extent cx="583819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425" w:right="1359" w:bottom="1440" w:gutter="0" w:footer="0" w:header="0"/>
        </w:sectPr>
      </w:pPr>
    </w:p>
    <w:p>
      <w:pPr>
        <w:spacing w:after="0" w:line="367" w:lineRule="exact"/>
        <w:rPr>
          <w:sz w:val="20"/>
          <w:szCs w:val="20"/>
          <w:color w:val="auto"/>
        </w:rPr>
      </w:pPr>
    </w:p>
    <w:p>
      <w:pPr>
        <w:ind w:left="1680"/>
        <w:spacing w:after="0"/>
        <w:tabs>
          <w:tab w:leader="none" w:pos="4440" w:val="left"/>
        </w:tabs>
        <w:rPr>
          <w:sz w:val="20"/>
          <w:szCs w:val="20"/>
          <w:color w:val="auto"/>
        </w:rPr>
      </w:pPr>
      <w:r>
        <w:rPr>
          <w:rFonts w:ascii="Arial" w:cs="Arial" w:eastAsia="Arial" w:hAnsi="Arial"/>
          <w:sz w:val="14"/>
          <w:szCs w:val="14"/>
          <w:b w:val="1"/>
          <w:bCs w:val="1"/>
          <w:color w:val="2393FF"/>
        </w:rPr>
        <w:t>Time and Date:</w:t>
      </w:r>
      <w:r>
        <w:rPr>
          <w:sz w:val="20"/>
          <w:szCs w:val="20"/>
          <w:color w:val="auto"/>
        </w:rPr>
        <w:tab/>
      </w:r>
      <w:r>
        <w:rPr>
          <w:rFonts w:ascii="Arial" w:cs="Arial" w:eastAsia="Arial" w:hAnsi="Arial"/>
          <w:sz w:val="12"/>
          <w:szCs w:val="12"/>
          <w:b w:val="1"/>
          <w:bCs w:val="1"/>
          <w:color w:val="2393FF"/>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-93980</wp:posOffset>
            </wp:positionV>
            <wp:extent cx="314960" cy="314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960" cy="314960"/>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-93980</wp:posOffset>
            </wp:positionV>
            <wp:extent cx="314960" cy="314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960" cy="314960"/>
                    </a:xfrm>
                    <a:prstGeom prst="rect">
                      <a:avLst/>
                    </a:prstGeom>
                    <a:noFill/>
                  </pic:spPr>
                </pic:pic>
              </a:graphicData>
            </a:graphic>
          </wp:anchor>
        </w:drawing>
      </w:r>
    </w:p>
    <w:p>
      <w:pPr>
        <w:ind w:left="1680"/>
        <w:spacing w:after="0"/>
        <w:tabs>
          <w:tab w:leader="none" w:pos="4440" w:val="left"/>
        </w:tabs>
        <w:rPr>
          <w:sz w:val="20"/>
          <w:szCs w:val="20"/>
          <w:color w:val="auto"/>
        </w:rPr>
      </w:pPr>
      <w:r>
        <w:rPr>
          <w:rFonts w:ascii="Arial" w:cs="Arial" w:eastAsia="Arial" w:hAnsi="Arial"/>
          <w:sz w:val="12"/>
          <w:szCs w:val="12"/>
          <w:color w:val="auto"/>
        </w:rPr>
        <w:t>Tuesday, June 2,</w:t>
      </w:r>
      <w:r>
        <w:rPr>
          <w:sz w:val="20"/>
          <w:szCs w:val="20"/>
          <w:color w:val="auto"/>
        </w:rPr>
        <w:tab/>
      </w:r>
      <w:r>
        <w:rPr>
          <w:rFonts w:ascii="Arial" w:cs="Arial" w:eastAsia="Arial" w:hAnsi="Arial"/>
          <w:sz w:val="11"/>
          <w:szCs w:val="11"/>
          <w:color w:val="auto"/>
        </w:rPr>
        <w:t>The Annual Meeting will be held via</w:t>
      </w:r>
    </w:p>
    <w:p>
      <w:pPr>
        <w:ind w:left="1680"/>
        <w:spacing w:after="0"/>
        <w:tabs>
          <w:tab w:leader="none" w:pos="4440" w:val="left"/>
        </w:tabs>
        <w:rPr>
          <w:sz w:val="20"/>
          <w:szCs w:val="20"/>
          <w:color w:val="auto"/>
        </w:rPr>
      </w:pPr>
      <w:r>
        <w:rPr>
          <w:rFonts w:ascii="Arial" w:cs="Arial" w:eastAsia="Arial" w:hAnsi="Arial"/>
          <w:sz w:val="12"/>
          <w:szCs w:val="12"/>
          <w:color w:val="auto"/>
        </w:rPr>
        <w:t>2026 at 9:30 a.m. EDT.</w:t>
      </w:r>
      <w:r>
        <w:rPr>
          <w:sz w:val="20"/>
          <w:szCs w:val="20"/>
          <w:color w:val="auto"/>
        </w:rPr>
        <w:tab/>
      </w:r>
      <w:r>
        <w:rPr>
          <w:rFonts w:ascii="Arial" w:cs="Arial" w:eastAsia="Arial" w:hAnsi="Arial"/>
          <w:sz w:val="11"/>
          <w:szCs w:val="11"/>
          <w:color w:val="auto"/>
        </w:rPr>
        <w:t>live webcast at</w:t>
      </w:r>
    </w:p>
    <w:p>
      <w:pPr>
        <w:ind w:left="4460" w:right="520"/>
        <w:spacing w:after="0"/>
        <w:rPr>
          <w:sz w:val="20"/>
          <w:szCs w:val="20"/>
          <w:color w:val="auto"/>
        </w:rPr>
      </w:pPr>
      <w:r>
        <w:rPr>
          <w:rFonts w:ascii="Arial" w:cs="Arial" w:eastAsia="Arial" w:hAnsi="Arial"/>
          <w:sz w:val="12"/>
          <w:szCs w:val="12"/>
          <w:color w:val="auto"/>
        </w:rPr>
        <w:t>www.proxydocs.com/FLYW. To participate, you will need the 16-digit control number provided on your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169545</wp:posOffset>
            </wp:positionV>
            <wp:extent cx="58381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2393FF"/>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-93980</wp:posOffset>
            </wp:positionV>
            <wp:extent cx="307975" cy="307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975" cy="307975"/>
                    </a:xfrm>
                    <a:prstGeom prst="rect">
                      <a:avLst/>
                    </a:prstGeom>
                    <a:noFill/>
                  </pic:spPr>
                </pic:pic>
              </a:graphicData>
            </a:graphic>
          </wp:anchor>
        </w:drawing>
      </w:r>
    </w:p>
    <w:p>
      <w:pPr>
        <w:ind w:right="800"/>
        <w:spacing w:after="0"/>
        <w:rPr>
          <w:sz w:val="20"/>
          <w:szCs w:val="20"/>
          <w:color w:val="auto"/>
        </w:rPr>
      </w:pPr>
      <w:r>
        <w:rPr>
          <w:rFonts w:ascii="Arial" w:cs="Arial" w:eastAsia="Arial" w:hAnsi="Arial"/>
          <w:sz w:val="12"/>
          <w:szCs w:val="12"/>
          <w:color w:val="auto"/>
        </w:rPr>
        <w:t>You are entitled to vote if you were a stockholder of record as of the close of business on Wednesday, April 8, 2026.</w:t>
      </w:r>
    </w:p>
    <w:p>
      <w:pPr>
        <w:spacing w:after="0" w:line="470" w:lineRule="exact"/>
        <w:rPr>
          <w:sz w:val="20"/>
          <w:szCs w:val="20"/>
          <w:color w:val="auto"/>
        </w:rPr>
      </w:pPr>
    </w:p>
    <w:p>
      <w:pPr>
        <w:sectPr>
          <w:pgSz w:w="11900" w:h="16838" w:orient="portrait"/>
          <w:cols w:equalWidth="0" w:num="2">
            <w:col w:w="7020" w:space="720"/>
            <w:col w:w="2480"/>
          </w:cols>
          <w:pgMar w:left="320" w:top="425" w:right="1359" w:bottom="1440" w:gutter="0" w:footer="0" w:header="0"/>
          <w:type w:val="continuous"/>
        </w:sectPr>
      </w:pP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ITEMS OF BUSINESS</w:t>
      </w:r>
    </w:p>
    <w:p>
      <w:pPr>
        <w:spacing w:after="0" w:line="200" w:lineRule="exact"/>
        <w:rPr>
          <w:sz w:val="20"/>
          <w:szCs w:val="20"/>
          <w:color w:val="auto"/>
        </w:rPr>
      </w:pPr>
    </w:p>
    <w:p>
      <w:pPr>
        <w:spacing w:after="0" w:line="281" w:lineRule="exact"/>
        <w:rPr>
          <w:sz w:val="20"/>
          <w:szCs w:val="20"/>
          <w:color w:val="auto"/>
        </w:rPr>
      </w:pPr>
    </w:p>
    <w:p>
      <w:pPr>
        <w:ind w:left="1680" w:right="60" w:hanging="443"/>
        <w:spacing w:after="0" w:line="183" w:lineRule="auto"/>
        <w:tabs>
          <w:tab w:leader="none" w:pos="1680" w:val="left"/>
        </w:tabs>
        <w:numPr>
          <w:ilvl w:val="0"/>
          <w:numId w:val="6"/>
        </w:numPr>
        <w:rPr>
          <w:rFonts w:ascii="Arial" w:cs="Arial" w:eastAsia="Arial" w:hAnsi="Arial"/>
          <w:sz w:val="27"/>
          <w:szCs w:val="27"/>
          <w:b w:val="1"/>
          <w:bCs w:val="1"/>
          <w:color w:val="2393FF"/>
          <w:vertAlign w:val="subscript"/>
        </w:rPr>
      </w:pPr>
      <w:r>
        <w:rPr>
          <w:rFonts w:ascii="Arial" w:cs="Arial" w:eastAsia="Arial" w:hAnsi="Arial"/>
          <w:sz w:val="11"/>
          <w:szCs w:val="11"/>
          <w:color w:val="auto"/>
        </w:rPr>
        <w:t>To elect the three directors named in the proxy statement accompanying this notice to serve as Class II directors until the annual meeting held in 2029 and until their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-297180</wp:posOffset>
            </wp:positionV>
            <wp:extent cx="5838190" cy="365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8190" cy="365125"/>
                    </a:xfrm>
                    <a:prstGeom prst="rect">
                      <a:avLst/>
                    </a:prstGeom>
                    <a:noFill/>
                  </pic:spPr>
                </pic:pic>
              </a:graphicData>
            </a:graphic>
          </wp:anchor>
        </w:drawing>
      </w:r>
    </w:p>
    <w:p>
      <w:pPr>
        <w:spacing w:after="0" w:line="312" w:lineRule="exact"/>
        <w:rPr>
          <w:sz w:val="20"/>
          <w:szCs w:val="20"/>
          <w:color w:val="auto"/>
        </w:rPr>
      </w:pPr>
    </w:p>
    <w:p>
      <w:pPr>
        <w:ind w:left="1680" w:right="100" w:hanging="443"/>
        <w:spacing w:after="0" w:line="211" w:lineRule="auto"/>
        <w:tabs>
          <w:tab w:leader="none" w:pos="1680" w:val="left"/>
        </w:tabs>
        <w:numPr>
          <w:ilvl w:val="0"/>
          <w:numId w:val="7"/>
        </w:numPr>
        <w:rPr>
          <w:rFonts w:ascii="Arial" w:cs="Arial" w:eastAsia="Arial" w:hAnsi="Arial"/>
          <w:sz w:val="33"/>
          <w:szCs w:val="33"/>
          <w:b w:val="1"/>
          <w:bCs w:val="1"/>
          <w:color w:val="2393FF"/>
          <w:vertAlign w:val="subscript"/>
        </w:rPr>
      </w:pPr>
      <w:r>
        <w:rPr>
          <w:rFonts w:ascii="Arial" w:cs="Arial" w:eastAsia="Arial" w:hAnsi="Arial"/>
          <w:sz w:val="11"/>
          <w:szCs w:val="11"/>
          <w:color w:val="auto"/>
        </w:rPr>
        <w:t>To ratify the appointment of PricewaterhouseCoopers LLP as Flywire Corporation’s independent registered public accounting firm for the year ending December 31, 2026.</w:t>
      </w:r>
    </w:p>
    <w:p>
      <w:pPr>
        <w:spacing w:after="0" w:line="195" w:lineRule="exact"/>
        <w:rPr>
          <w:sz w:val="20"/>
          <w:szCs w:val="20"/>
          <w:color w:val="auto"/>
        </w:rPr>
      </w:pPr>
    </w:p>
    <w:tbl>
      <w:tblPr>
        <w:tblLayout w:type="fixed"/>
        <w:tblInd w:w="1020" w:type="dxa"/>
        <w:tblCellMar>
          <w:top w:w="0" w:type="dxa"/>
          <w:left w:w="0" w:type="dxa"/>
          <w:bottom w:w="0" w:type="dxa"/>
          <w:right w:w="0" w:type="dxa"/>
        </w:tblCellMar>
      </w:tblPr>
      <w:tr>
        <w:trPr>
          <w:trHeight w:val="294"/>
        </w:trPr>
        <w:tc>
          <w:tcPr>
            <w:tcW w:w="520" w:type="dxa"/>
            <w:vAlign w:val="bottom"/>
            <w:vMerge w:val="restart"/>
            <w:shd w:val="clear" w:color="auto" w:fill="CCEEFF"/>
          </w:tcPr>
          <w:p>
            <w:pPr>
              <w:ind w:left="80"/>
              <w:spacing w:after="0"/>
              <w:rPr>
                <w:sz w:val="20"/>
                <w:szCs w:val="20"/>
                <w:color w:val="auto"/>
              </w:rPr>
            </w:pPr>
            <w:r>
              <w:rPr>
                <w:rFonts w:ascii="Arial" w:cs="Arial" w:eastAsia="Arial" w:hAnsi="Arial"/>
                <w:sz w:val="27"/>
                <w:szCs w:val="27"/>
                <w:b w:val="1"/>
                <w:bCs w:val="1"/>
                <w:color w:val="2393FF"/>
              </w:rPr>
              <w:t>  3</w:t>
            </w:r>
          </w:p>
        </w:tc>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To approve, on a non-binding, advisory basis, the compensation of Flywire Corporation’s named executive officers as described in this proxy</w:t>
            </w:r>
          </w:p>
        </w:tc>
        <w:tc>
          <w:tcPr>
            <w:tcW w:w="0" w:type="dxa"/>
            <w:vAlign w:val="bottom"/>
          </w:tcPr>
          <w:p>
            <w:pPr>
              <w:spacing w:after="0"/>
              <w:rPr>
                <w:sz w:val="1"/>
                <w:szCs w:val="1"/>
                <w:color w:val="auto"/>
              </w:rPr>
            </w:pPr>
          </w:p>
        </w:tc>
      </w:tr>
      <w:tr>
        <w:trPr>
          <w:trHeight w:val="189"/>
        </w:trPr>
        <w:tc>
          <w:tcPr>
            <w:tcW w:w="520" w:type="dxa"/>
            <w:vAlign w:val="bottom"/>
            <w:vMerge w:val="continue"/>
            <w:shd w:val="clear" w:color="auto" w:fill="CCEEFF"/>
          </w:tcPr>
          <w:p>
            <w:pPr>
              <w:spacing w:after="0"/>
              <w:rPr>
                <w:sz w:val="16"/>
                <w:szCs w:val="16"/>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statement.</w:t>
            </w:r>
          </w:p>
        </w:tc>
        <w:tc>
          <w:tcPr>
            <w:tcW w:w="0" w:type="dxa"/>
            <w:vAlign w:val="bottom"/>
          </w:tcPr>
          <w:p>
            <w:pPr>
              <w:spacing w:after="0"/>
              <w:rPr>
                <w:sz w:val="1"/>
                <w:szCs w:val="1"/>
                <w:color w:val="auto"/>
              </w:rPr>
            </w:pPr>
          </w:p>
        </w:tc>
      </w:tr>
      <w:tr>
        <w:trPr>
          <w:trHeight w:val="92"/>
        </w:trPr>
        <w:tc>
          <w:tcPr>
            <w:tcW w:w="520" w:type="dxa"/>
            <w:vAlign w:val="bottom"/>
            <w:tcBorders>
              <w:bottom w:val="single" w:sz="8" w:color="2393FF"/>
            </w:tcBorders>
            <w:shd w:val="clear" w:color="auto" w:fill="CCEEFF"/>
          </w:tcPr>
          <w:p>
            <w:pPr>
              <w:spacing w:after="0"/>
              <w:rPr>
                <w:sz w:val="7"/>
                <w:szCs w:val="7"/>
                <w:color w:val="auto"/>
              </w:rPr>
            </w:pPr>
          </w:p>
        </w:tc>
        <w:tc>
          <w:tcPr>
            <w:tcW w:w="8680" w:type="dxa"/>
            <w:vAlign w:val="bottom"/>
            <w:tcBorders>
              <w:bottom w:val="single" w:sz="8" w:color="2393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20" w:right="2600"/>
        <w:spacing w:after="0" w:line="459" w:lineRule="auto"/>
        <w:rPr>
          <w:sz w:val="20"/>
          <w:szCs w:val="20"/>
          <w:color w:val="auto"/>
        </w:rPr>
      </w:pPr>
      <w:r>
        <w:rPr>
          <w:rFonts w:ascii="Arial" w:cs="Arial" w:eastAsia="Arial" w:hAnsi="Arial"/>
          <w:sz w:val="14"/>
          <w:szCs w:val="14"/>
          <w:color w:val="auto"/>
        </w:rPr>
        <w:t>To transact such other business as may properly come before the Annual Meeting or any adjournment thereof. These items of business are more fully described in the proxy statement accompanying this notice. ADJOURNMENTS AND POSTPONEMENTS</w:t>
      </w:r>
    </w:p>
    <w:p>
      <w:pPr>
        <w:jc w:val="both"/>
        <w:ind w:left="1020" w:right="20"/>
        <w:spacing w:after="0" w:line="258" w:lineRule="auto"/>
        <w:rPr>
          <w:sz w:val="20"/>
          <w:szCs w:val="20"/>
          <w:color w:val="auto"/>
        </w:rPr>
      </w:pPr>
      <w:r>
        <w:rPr>
          <w:rFonts w:ascii="Arial" w:cs="Arial" w:eastAsia="Arial" w:hAnsi="Arial"/>
          <w:sz w:val="14"/>
          <w:szCs w:val="14"/>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VOTING</w:t>
      </w:r>
    </w:p>
    <w:p>
      <w:pPr>
        <w:spacing w:after="0" w:line="143" w:lineRule="exact"/>
        <w:rPr>
          <w:sz w:val="20"/>
          <w:szCs w:val="20"/>
          <w:color w:val="auto"/>
        </w:rPr>
      </w:pPr>
    </w:p>
    <w:p>
      <w:pPr>
        <w:ind w:left="1020" w:right="120"/>
        <w:spacing w:after="0" w:line="246" w:lineRule="auto"/>
        <w:rPr>
          <w:sz w:val="20"/>
          <w:szCs w:val="20"/>
          <w:color w:val="auto"/>
        </w:rPr>
      </w:pPr>
      <w:r>
        <w:rPr>
          <w:rFonts w:ascii="Arial" w:cs="Arial" w:eastAsia="Arial" w:hAnsi="Arial"/>
          <w:sz w:val="14"/>
          <w:szCs w:val="14"/>
          <w:color w:val="auto"/>
        </w:rPr>
        <w:t>Your vote is very important. Whether or not you plan to attend the Annual Meeting, we encourage you to read the proxy statement and vote on the internet or by telephone or submit your proxy card, if you have requested one, as soon as possible. For specific instructions on how to vote your shares, please refer to the section entitled “Questions and Answers about Procedural Matters.”</w:t>
      </w:r>
    </w:p>
    <w:p>
      <w:pPr>
        <w:sectPr>
          <w:pgSz w:w="11900" w:h="16838" w:orient="portrait"/>
          <w:cols w:equalWidth="0" w:num="1">
            <w:col w:w="10220"/>
          </w:cols>
          <w:pgMar w:left="320" w:top="425" w:right="1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19"/>
        <w:spacing w:after="0" w:line="296" w:lineRule="auto"/>
        <w:rPr>
          <w:sz w:val="20"/>
          <w:szCs w:val="20"/>
          <w:color w:val="auto"/>
        </w:rPr>
      </w:pPr>
      <w:r>
        <w:rPr>
          <w:rFonts w:ascii="Arial" w:cs="Arial" w:eastAsia="Arial" w:hAnsi="Arial"/>
          <w:sz w:val="12"/>
          <w:szCs w:val="12"/>
          <w:color w:val="auto"/>
        </w:rPr>
        <w:t>A Notice of Internet Availability of Proxy Materials (Notice) has been mailed to stockholders of record on or about April 23, 2026. The Notice contains instructions on how to access our proxy statement for our 2026 Annual Meeting of Stockholders and our 2025 Annual Report (together, the proxy materials). The Notice also provides instructions on how to vote online, by telephone or by mail and includes instructions on how to receive a paper copy of proxy materials by mail. The proxy materials can be accessed directly at the following internet address: www.proxydocs.com/FLYW.</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By order of the Board of Directors,</w:t>
      </w:r>
    </w:p>
    <w:p>
      <w:pPr>
        <w:spacing w:after="0" w:line="200" w:lineRule="exact"/>
        <w:rPr>
          <w:sz w:val="20"/>
          <w:szCs w:val="20"/>
          <w:color w:val="auto"/>
        </w:rPr>
      </w:pP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Michael Massaro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Chief Executive Officer and Director</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This notice of annual meeting, proxy statement and accompanying form of proxy card are being made available on or about April 23, 2026.</w:t>
      </w:r>
    </w:p>
    <w:p>
      <w:pPr>
        <w:sectPr>
          <w:pgSz w:w="11900" w:h="16838" w:orient="portrait"/>
          <w:cols w:equalWidth="0" w:num="1">
            <w:col w:w="10139"/>
          </w:cols>
          <w:pgMar w:left="320" w:top="42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80"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22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b w:val="1"/>
                <w:bCs w:val="1"/>
                <w:color w:val="0000EE"/>
                <w:w w:val="96"/>
              </w:rPr>
              <w:t>Questions and Answers about Procedural Matters</w:t>
            </w:r>
          </w:p>
        </w:tc>
        <w:tc>
          <w:tcPr>
            <w:tcW w:w="3820" w:type="dxa"/>
            <w:vAlign w:val="bottom"/>
            <w:gridSpan w:val="6"/>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2393FF"/>
              </w:rPr>
              <w:t>2</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Annual Meeting</w:t>
            </w:r>
          </w:p>
        </w:tc>
        <w:tc>
          <w:tcPr>
            <w:tcW w:w="21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10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96"/>
              </w:rPr>
              <w:t>Stock Ownership</w:t>
            </w:r>
          </w:p>
        </w:tc>
        <w:tc>
          <w:tcPr>
            <w:tcW w:w="6000" w:type="dxa"/>
            <w:vAlign w:val="bottom"/>
            <w:gridSpan w:val="22"/>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84"/>
        </w:trPr>
        <w:tc>
          <w:tcPr>
            <w:tcW w:w="118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5"/>
              </w:rPr>
              <w:t>Quorum and Voting</w:t>
            </w:r>
          </w:p>
        </w:tc>
        <w:tc>
          <w:tcPr>
            <w:tcW w:w="5860" w:type="dxa"/>
            <w:vAlign w:val="bottom"/>
            <w:gridSpan w:val="19"/>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Stockholder Proposals and Director Nominations</w:t>
            </w:r>
          </w:p>
        </w:tc>
        <w:tc>
          <w:tcPr>
            <w:tcW w:w="21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4"/>
        </w:trPr>
        <w:tc>
          <w:tcPr>
            <w:tcW w:w="2920" w:type="dxa"/>
            <w:vAlign w:val="bottom"/>
            <w:tcBorders>
              <w:top w:val="single" w:sz="8" w:color="0000EE"/>
            </w:tcBorders>
            <w:gridSpan w:val="18"/>
          </w:tcPr>
          <w:p>
            <w:pPr>
              <w:spacing w:after="0"/>
              <w:rPr>
                <w:sz w:val="20"/>
                <w:szCs w:val="20"/>
                <w:color w:val="auto"/>
              </w:rPr>
            </w:pPr>
            <w:r>
              <w:rPr>
                <w:rFonts w:ascii="Arial" w:cs="Arial" w:eastAsia="Arial" w:hAnsi="Arial"/>
                <w:sz w:val="14"/>
                <w:szCs w:val="14"/>
                <w:color w:val="0000EE"/>
                <w:w w:val="97"/>
              </w:rPr>
              <w:t>Additional Information about the Proxy Materials</w:t>
            </w:r>
          </w:p>
        </w:tc>
        <w:tc>
          <w:tcPr>
            <w:tcW w:w="4120" w:type="dxa"/>
            <w:vAlign w:val="bottom"/>
            <w:gridSpan w:val="8"/>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7040" w:type="dxa"/>
            <w:vAlign w:val="bottom"/>
            <w:tcBorders>
              <w:bottom w:val="single" w:sz="8" w:color="0000EE"/>
            </w:tcBorders>
            <w:gridSpan w:val="26"/>
          </w:tcPr>
          <w:p>
            <w:pPr>
              <w:spacing w:after="0"/>
              <w:rPr>
                <w:sz w:val="20"/>
                <w:szCs w:val="20"/>
                <w:color w:val="auto"/>
              </w:rPr>
            </w:pPr>
            <w:r>
              <w:rPr>
                <w:rFonts w:ascii="Arial" w:cs="Arial" w:eastAsia="Arial" w:hAnsi="Arial"/>
                <w:sz w:val="14"/>
                <w:szCs w:val="14"/>
                <w:color w:val="0000EE"/>
                <w:w w:val="96"/>
              </w:rPr>
              <w:t>Important Notice Regarding the Availability of Proxy Materials for the Stockholder Meeting to be Held on June 2, 2026</w:t>
            </w:r>
          </w:p>
        </w:tc>
        <w:tc>
          <w:tcPr>
            <w:tcW w:w="21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b w:val="1"/>
                <w:bCs w:val="1"/>
                <w:color w:val="0000EE"/>
              </w:rPr>
              <w:t>Proposal 1: Election of Directors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2393FF"/>
              </w:rPr>
              <w:t>8</w:t>
            </w:r>
          </w:p>
        </w:tc>
      </w:tr>
      <w:tr>
        <w:trPr>
          <w:trHeight w:val="284"/>
        </w:trPr>
        <w:tc>
          <w:tcPr>
            <w:tcW w:w="2100" w:type="dxa"/>
            <w:vAlign w:val="bottom"/>
            <w:tcBorders>
              <w:top w:val="single" w:sz="8" w:color="0000EE"/>
            </w:tcBorders>
            <w:gridSpan w:val="11"/>
          </w:tcPr>
          <w:p>
            <w:pPr>
              <w:spacing w:after="0"/>
              <w:rPr>
                <w:sz w:val="20"/>
                <w:szCs w:val="20"/>
                <w:color w:val="auto"/>
              </w:rPr>
            </w:pPr>
            <w:r>
              <w:rPr>
                <w:rFonts w:ascii="Arial" w:cs="Arial" w:eastAsia="Arial" w:hAnsi="Arial"/>
                <w:sz w:val="14"/>
                <w:szCs w:val="14"/>
                <w:color w:val="0000EE"/>
              </w:rPr>
              <w:t>General</w:t>
            </w:r>
          </w:p>
        </w:tc>
        <w:tc>
          <w:tcPr>
            <w:tcW w:w="4940" w:type="dxa"/>
            <w:vAlign w:val="bottom"/>
            <w:gridSpan w:val="15"/>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4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Nominees for Election as Class II Directors at the Annual Meeting</w:t>
            </w:r>
          </w:p>
        </w:tc>
        <w:tc>
          <w:tcPr>
            <w:tcW w:w="21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Required Vote and Recommendation of the Board of Directors for Proposal 1</w:t>
            </w:r>
          </w:p>
        </w:tc>
        <w:tc>
          <w:tcPr>
            <w:tcW w:w="21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84"/>
        </w:trPr>
        <w:tc>
          <w:tcPr>
            <w:tcW w:w="4600" w:type="dxa"/>
            <w:vAlign w:val="bottom"/>
            <w:tcBorders>
              <w:top w:val="single" w:sz="8" w:color="0000EE"/>
            </w:tcBorders>
            <w:gridSpan w:val="24"/>
          </w:tcPr>
          <w:p>
            <w:pPr>
              <w:spacing w:after="0"/>
              <w:rPr>
                <w:sz w:val="20"/>
                <w:szCs w:val="20"/>
                <w:color w:val="auto"/>
              </w:rPr>
            </w:pPr>
            <w:r>
              <w:rPr>
                <w:rFonts w:ascii="Arial" w:cs="Arial" w:eastAsia="Arial" w:hAnsi="Arial"/>
                <w:sz w:val="14"/>
                <w:szCs w:val="14"/>
                <w:color w:val="0000EE"/>
              </w:rPr>
              <w:t>Continuing Directors Not Standing for Election</w:t>
            </w:r>
          </w:p>
        </w:tc>
        <w:tc>
          <w:tcPr>
            <w:tcW w:w="2440" w:type="dxa"/>
            <w:vAlign w:val="bottom"/>
            <w:gridSpan w:val="2"/>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6100" w:type="dxa"/>
            <w:vAlign w:val="bottom"/>
            <w:tcBorders>
              <w:bottom w:val="single" w:sz="8" w:color="0000EE"/>
            </w:tcBorders>
            <w:gridSpan w:val="25"/>
          </w:tcPr>
          <w:p>
            <w:pPr>
              <w:spacing w:after="0"/>
              <w:rPr>
                <w:sz w:val="20"/>
                <w:szCs w:val="20"/>
                <w:color w:val="auto"/>
              </w:rPr>
            </w:pPr>
            <w:r>
              <w:rPr>
                <w:rFonts w:ascii="Arial" w:cs="Arial" w:eastAsia="Arial" w:hAnsi="Arial"/>
                <w:sz w:val="14"/>
                <w:szCs w:val="14"/>
                <w:b w:val="1"/>
                <w:bCs w:val="1"/>
                <w:color w:val="0000EE"/>
                <w:w w:val="96"/>
              </w:rPr>
              <w:t>Proposal 2: Ratification of the Appointment of Independent Registered Public Accounting Firm</w:t>
            </w:r>
          </w:p>
        </w:tc>
        <w:tc>
          <w:tcPr>
            <w:tcW w:w="9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2393FF"/>
              </w:rPr>
              <w:t>13</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General</w:t>
            </w:r>
          </w:p>
        </w:tc>
        <w:tc>
          <w:tcPr>
            <w:tcW w:w="21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240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w w:val="96"/>
              </w:rPr>
              <w:t>Principal Accounting Fees and Services</w:t>
            </w:r>
          </w:p>
        </w:tc>
        <w:tc>
          <w:tcPr>
            <w:tcW w:w="4640" w:type="dxa"/>
            <w:vAlign w:val="bottom"/>
            <w:gridSpan w:val="12"/>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Pre-Approval of Audit and Non-Audit Services</w:t>
            </w:r>
          </w:p>
        </w:tc>
        <w:tc>
          <w:tcPr>
            <w:tcW w:w="21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b w:val="1"/>
                <w:bCs w:val="1"/>
                <w:color w:val="0000EE"/>
              </w:rPr>
              <w:t>Proposal 3: Advisory Vote on Executive Compensation</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2393FF"/>
              </w:rPr>
              <w:t>15</w:t>
            </w:r>
          </w:p>
        </w:tc>
      </w:tr>
      <w:tr>
        <w:trPr>
          <w:trHeight w:val="284"/>
        </w:trPr>
        <w:tc>
          <w:tcPr>
            <w:tcW w:w="24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w w:val="96"/>
              </w:rPr>
              <w:t>Compensation Program And Philosophy</w:t>
            </w:r>
          </w:p>
        </w:tc>
        <w:tc>
          <w:tcPr>
            <w:tcW w:w="1100" w:type="dxa"/>
            <w:vAlign w:val="bottom"/>
            <w:tcBorders>
              <w:top w:val="single" w:sz="8" w:color="0000EE"/>
            </w:tcBorders>
            <w:gridSpan w:val="6"/>
          </w:tcPr>
          <w:p>
            <w:pPr>
              <w:spacing w:after="0"/>
              <w:rPr>
                <w:sz w:val="24"/>
                <w:szCs w:val="24"/>
                <w:color w:val="auto"/>
              </w:rPr>
            </w:pPr>
          </w:p>
        </w:tc>
        <w:tc>
          <w:tcPr>
            <w:tcW w:w="3520" w:type="dxa"/>
            <w:vAlign w:val="bottom"/>
            <w:gridSpan w:val="5"/>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84"/>
        </w:trPr>
        <w:tc>
          <w:tcPr>
            <w:tcW w:w="238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color w:val="0000EE"/>
                <w:w w:val="96"/>
              </w:rPr>
              <w:t>Compensation Discussion and Analysis</w:t>
            </w:r>
          </w:p>
        </w:tc>
        <w:tc>
          <w:tcPr>
            <w:tcW w:w="4660" w:type="dxa"/>
            <w:vAlign w:val="bottom"/>
            <w:gridSpan w:val="13"/>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Required Vote and Recommendation of the Board of Directors for Proposal 3</w:t>
            </w:r>
          </w:p>
        </w:tc>
        <w:tc>
          <w:tcPr>
            <w:tcW w:w="21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84"/>
        </w:trPr>
        <w:tc>
          <w:tcPr>
            <w:tcW w:w="14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4"/>
                <w:szCs w:val="14"/>
                <w:b w:val="1"/>
                <w:bCs w:val="1"/>
                <w:color w:val="0000EE"/>
                <w:w w:val="96"/>
              </w:rPr>
              <w:t>Corporate Governance</w:t>
            </w:r>
          </w:p>
        </w:tc>
        <w:tc>
          <w:tcPr>
            <w:tcW w:w="3120" w:type="dxa"/>
            <w:vAlign w:val="bottom"/>
            <w:tcBorders>
              <w:top w:val="single" w:sz="8" w:color="0000EE"/>
            </w:tcBorders>
            <w:gridSpan w:val="15"/>
          </w:tcPr>
          <w:p>
            <w:pPr>
              <w:spacing w:after="0"/>
              <w:rPr>
                <w:sz w:val="24"/>
                <w:szCs w:val="24"/>
                <w:color w:val="auto"/>
              </w:rPr>
            </w:pPr>
          </w:p>
        </w:tc>
        <w:tc>
          <w:tcPr>
            <w:tcW w:w="2440" w:type="dxa"/>
            <w:vAlign w:val="bottom"/>
            <w:gridSpan w:val="2"/>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2393FF"/>
              </w:rPr>
              <w:t>16</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Code of Conduct</w:t>
            </w:r>
          </w:p>
        </w:tc>
        <w:tc>
          <w:tcPr>
            <w:tcW w:w="21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116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5"/>
              </w:rPr>
              <w:t>Board Composition</w:t>
            </w:r>
          </w:p>
        </w:tc>
        <w:tc>
          <w:tcPr>
            <w:tcW w:w="5880" w:type="dxa"/>
            <w:vAlign w:val="bottom"/>
            <w:gridSpan w:val="20"/>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84"/>
        </w:trPr>
        <w:tc>
          <w:tcPr>
            <w:tcW w:w="138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w w:val="95"/>
              </w:rPr>
              <w:t>Director Independence</w:t>
            </w:r>
          </w:p>
        </w:tc>
        <w:tc>
          <w:tcPr>
            <w:tcW w:w="5660" w:type="dxa"/>
            <w:vAlign w:val="bottom"/>
            <w:gridSpan w:val="18"/>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Board Leadership Structure</w:t>
            </w:r>
          </w:p>
        </w:tc>
        <w:tc>
          <w:tcPr>
            <w:tcW w:w="21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84"/>
        </w:trPr>
        <w:tc>
          <w:tcPr>
            <w:tcW w:w="1660" w:type="dxa"/>
            <w:vAlign w:val="bottom"/>
            <w:tcBorders>
              <w:top w:val="single" w:sz="8" w:color="0000EE"/>
            </w:tcBorders>
            <w:gridSpan w:val="10"/>
          </w:tcPr>
          <w:p>
            <w:pPr>
              <w:spacing w:after="0"/>
              <w:rPr>
                <w:sz w:val="20"/>
                <w:szCs w:val="20"/>
                <w:color w:val="auto"/>
              </w:rPr>
            </w:pPr>
            <w:r>
              <w:rPr>
                <w:rFonts w:ascii="Arial" w:cs="Arial" w:eastAsia="Arial" w:hAnsi="Arial"/>
                <w:sz w:val="14"/>
                <w:szCs w:val="14"/>
                <w:color w:val="0000EE"/>
              </w:rPr>
              <w:t>Board Committees</w:t>
            </w:r>
          </w:p>
        </w:tc>
        <w:tc>
          <w:tcPr>
            <w:tcW w:w="5380" w:type="dxa"/>
            <w:vAlign w:val="bottom"/>
            <w:gridSpan w:val="16"/>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84"/>
        </w:trPr>
        <w:tc>
          <w:tcPr>
            <w:tcW w:w="1120" w:type="dxa"/>
            <w:vAlign w:val="bottom"/>
            <w:tcBorders>
              <w:top w:val="single" w:sz="8" w:color="0000EE"/>
            </w:tcBorders>
            <w:gridSpan w:val="5"/>
          </w:tcPr>
          <w:p>
            <w:pPr>
              <w:spacing w:after="0"/>
              <w:rPr>
                <w:sz w:val="20"/>
                <w:szCs w:val="20"/>
                <w:color w:val="auto"/>
              </w:rPr>
            </w:pPr>
            <w:r>
              <w:rPr>
                <w:rFonts w:ascii="Arial" w:cs="Arial" w:eastAsia="Arial" w:hAnsi="Arial"/>
                <w:sz w:val="14"/>
                <w:szCs w:val="14"/>
                <w:color w:val="0000EE"/>
              </w:rPr>
              <w:t>Audit Committee</w:t>
            </w:r>
          </w:p>
        </w:tc>
        <w:tc>
          <w:tcPr>
            <w:tcW w:w="5920" w:type="dxa"/>
            <w:vAlign w:val="bottom"/>
            <w:gridSpan w:val="21"/>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84"/>
        </w:trPr>
        <w:tc>
          <w:tcPr>
            <w:tcW w:w="216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w w:val="96"/>
              </w:rPr>
              <w:t>People &amp; Compensation Committee</w:t>
            </w:r>
          </w:p>
        </w:tc>
        <w:tc>
          <w:tcPr>
            <w:tcW w:w="4880" w:type="dxa"/>
            <w:vAlign w:val="bottom"/>
            <w:gridSpan w:val="14"/>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84"/>
        </w:trPr>
        <w:tc>
          <w:tcPr>
            <w:tcW w:w="306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w w:val="96"/>
              </w:rPr>
              <w:t>Nominating and Corporate Governance Committee</w:t>
            </w:r>
          </w:p>
        </w:tc>
        <w:tc>
          <w:tcPr>
            <w:tcW w:w="3980" w:type="dxa"/>
            <w:vAlign w:val="bottom"/>
            <w:gridSpan w:val="7"/>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84"/>
        </w:trPr>
        <w:tc>
          <w:tcPr>
            <w:tcW w:w="7040" w:type="dxa"/>
            <w:vAlign w:val="bottom"/>
            <w:gridSpan w:val="26"/>
          </w:tcPr>
          <w:p>
            <w:pPr>
              <w:spacing w:after="0"/>
              <w:rPr>
                <w:sz w:val="20"/>
                <w:szCs w:val="20"/>
                <w:color w:val="auto"/>
              </w:rPr>
            </w:pPr>
            <w:r>
              <w:rPr>
                <w:rFonts w:ascii="Arial" w:cs="Arial" w:eastAsia="Arial" w:hAnsi="Arial"/>
                <w:sz w:val="14"/>
                <w:szCs w:val="14"/>
                <w:color w:val="0000EE"/>
              </w:rPr>
              <w:t>People &amp; Compensation Committee Interlocks and Insider Participation</w:t>
            </w:r>
          </w:p>
        </w:tc>
        <w:tc>
          <w:tcPr>
            <w:tcW w:w="21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
        </w:trPr>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ectPr>
          <w:pgSz w:w="11900" w:h="16838" w:orient="portrait"/>
          <w:cols w:equalWidth="0" w:num="1">
            <w:col w:w="10180"/>
          </w:cols>
          <w:pgMar w:left="320" w:top="425"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18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w w:val="95"/>
              </w:rPr>
              <w:t>Compensation Risk</w:t>
            </w:r>
          </w:p>
        </w:tc>
        <w:tc>
          <w:tcPr>
            <w:tcW w:w="5480" w:type="dxa"/>
            <w:vAlign w:val="bottom"/>
            <w:gridSpan w:val="20"/>
          </w:tcPr>
          <w:p>
            <w:pPr>
              <w:spacing w:after="0"/>
              <w:rPr>
                <w:sz w:val="14"/>
                <w:szCs w:val="14"/>
                <w:color w:val="auto"/>
              </w:rPr>
            </w:pP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21</w:t>
            </w:r>
          </w:p>
        </w:tc>
      </w:tr>
      <w:tr>
        <w:trPr>
          <w:trHeight w:val="284"/>
        </w:trPr>
        <w:tc>
          <w:tcPr>
            <w:tcW w:w="206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w w:val="96"/>
              </w:rPr>
              <w:t>Meetings of the Board of Directors</w:t>
            </w:r>
          </w:p>
        </w:tc>
        <w:tc>
          <w:tcPr>
            <w:tcW w:w="4600" w:type="dxa"/>
            <w:vAlign w:val="bottom"/>
            <w:gridSpan w:val="12"/>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21</w:t>
            </w:r>
          </w:p>
        </w:tc>
      </w:tr>
      <w:tr>
        <w:trPr>
          <w:trHeight w:val="284"/>
        </w:trPr>
        <w:tc>
          <w:tcPr>
            <w:tcW w:w="144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w w:val="96"/>
              </w:rPr>
              <w:t>Board Oversight of Risk</w:t>
            </w:r>
          </w:p>
        </w:tc>
        <w:tc>
          <w:tcPr>
            <w:tcW w:w="5220" w:type="dxa"/>
            <w:vAlign w:val="bottom"/>
            <w:gridSpan w:val="18"/>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21</w:t>
            </w:r>
          </w:p>
        </w:tc>
      </w:tr>
      <w:tr>
        <w:trPr>
          <w:trHeight w:val="284"/>
        </w:trPr>
        <w:tc>
          <w:tcPr>
            <w:tcW w:w="6660" w:type="dxa"/>
            <w:vAlign w:val="bottom"/>
            <w:gridSpan w:val="23"/>
          </w:tcPr>
          <w:p>
            <w:pPr>
              <w:spacing w:after="0"/>
              <w:rPr>
                <w:sz w:val="20"/>
                <w:szCs w:val="20"/>
                <w:color w:val="auto"/>
              </w:rPr>
            </w:pPr>
            <w:r>
              <w:rPr>
                <w:rFonts w:ascii="Arial" w:cs="Arial" w:eastAsia="Arial" w:hAnsi="Arial"/>
                <w:sz w:val="14"/>
                <w:szCs w:val="14"/>
                <w:color w:val="0000EE"/>
              </w:rPr>
              <w:t>Director Compensation</w:t>
            </w: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22</w:t>
            </w:r>
          </w:p>
        </w:tc>
      </w:tr>
      <w:tr>
        <w:trPr>
          <w:trHeight w:val="20"/>
        </w:trPr>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84"/>
        </w:trPr>
        <w:tc>
          <w:tcPr>
            <w:tcW w:w="6660" w:type="dxa"/>
            <w:vAlign w:val="bottom"/>
            <w:gridSpan w:val="23"/>
          </w:tcPr>
          <w:p>
            <w:pPr>
              <w:spacing w:after="0"/>
              <w:rPr>
                <w:sz w:val="20"/>
                <w:szCs w:val="20"/>
                <w:color w:val="auto"/>
              </w:rPr>
            </w:pPr>
            <w:r>
              <w:rPr>
                <w:rFonts w:ascii="Arial" w:cs="Arial" w:eastAsia="Arial" w:hAnsi="Arial"/>
                <w:sz w:val="14"/>
                <w:szCs w:val="14"/>
                <w:color w:val="0000EE"/>
              </w:rPr>
              <w:t>Non-Employee Director Compensation</w:t>
            </w: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23</w:t>
            </w:r>
          </w:p>
        </w:tc>
      </w:tr>
      <w:tr>
        <w:trPr>
          <w:trHeight w:val="20"/>
        </w:trPr>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84"/>
        </w:trPr>
        <w:tc>
          <w:tcPr>
            <w:tcW w:w="340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w w:val="96"/>
              </w:rPr>
              <w:t>Stockholder Communications with the Board of Directors</w:t>
            </w:r>
          </w:p>
        </w:tc>
        <w:tc>
          <w:tcPr>
            <w:tcW w:w="3260" w:type="dxa"/>
            <w:vAlign w:val="bottom"/>
            <w:gridSpan w:val="4"/>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23</w:t>
            </w:r>
          </w:p>
        </w:tc>
      </w:tr>
      <w:tr>
        <w:trPr>
          <w:trHeight w:val="284"/>
        </w:trPr>
        <w:tc>
          <w:tcPr>
            <w:tcW w:w="266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b w:val="1"/>
                <w:bCs w:val="1"/>
                <w:color w:val="0000EE"/>
                <w:w w:val="96"/>
              </w:rPr>
              <w:t>Information About our Executive Officers</w:t>
            </w:r>
          </w:p>
        </w:tc>
        <w:tc>
          <w:tcPr>
            <w:tcW w:w="4000" w:type="dxa"/>
            <w:vAlign w:val="bottom"/>
            <w:gridSpan w:val="6"/>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24</w:t>
            </w:r>
          </w:p>
        </w:tc>
      </w:tr>
      <w:tr>
        <w:trPr>
          <w:trHeight w:val="284"/>
        </w:trPr>
        <w:tc>
          <w:tcPr>
            <w:tcW w:w="162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b w:val="1"/>
                <w:bCs w:val="1"/>
                <w:color w:val="0000EE"/>
                <w:w w:val="96"/>
              </w:rPr>
              <w:t>Executive Compensation</w:t>
            </w:r>
          </w:p>
        </w:tc>
        <w:tc>
          <w:tcPr>
            <w:tcW w:w="5040" w:type="dxa"/>
            <w:vAlign w:val="bottom"/>
            <w:gridSpan w:val="15"/>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26</w:t>
            </w:r>
          </w:p>
        </w:tc>
      </w:tr>
      <w:tr>
        <w:trPr>
          <w:trHeight w:val="284"/>
        </w:trPr>
        <w:tc>
          <w:tcPr>
            <w:tcW w:w="238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w w:val="96"/>
              </w:rPr>
              <w:t>Compensation Discussion and Analysis</w:t>
            </w:r>
          </w:p>
        </w:tc>
        <w:tc>
          <w:tcPr>
            <w:tcW w:w="4280" w:type="dxa"/>
            <w:vAlign w:val="bottom"/>
            <w:gridSpan w:val="8"/>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26</w:t>
            </w:r>
          </w:p>
        </w:tc>
      </w:tr>
      <w:tr>
        <w:trPr>
          <w:trHeight w:val="284"/>
        </w:trPr>
        <w:tc>
          <w:tcPr>
            <w:tcW w:w="20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w w:val="95"/>
              </w:rPr>
              <w:t>Executive Compensation Tables</w:t>
            </w:r>
          </w:p>
        </w:tc>
        <w:tc>
          <w:tcPr>
            <w:tcW w:w="4580" w:type="dxa"/>
            <w:vAlign w:val="bottom"/>
            <w:gridSpan w:val="11"/>
          </w:tcPr>
          <w:p>
            <w:pPr>
              <w:spacing w:after="0"/>
              <w:rPr>
                <w:sz w:val="24"/>
                <w:szCs w:val="24"/>
                <w:color w:val="auto"/>
              </w:rPr>
            </w:pPr>
          </w:p>
        </w:tc>
        <w:tc>
          <w:tcPr>
            <w:tcW w:w="2500" w:type="dxa"/>
            <w:vAlign w:val="bottom"/>
          </w:tcPr>
          <w:p>
            <w:pPr>
              <w:ind w:left="2360"/>
              <w:spacing w:after="0"/>
              <w:rPr>
                <w:sz w:val="20"/>
                <w:szCs w:val="20"/>
                <w:color w:val="auto"/>
              </w:rPr>
            </w:pPr>
            <w:r>
              <w:rPr>
                <w:rFonts w:ascii="Arial" w:cs="Arial" w:eastAsia="Arial" w:hAnsi="Arial"/>
                <w:sz w:val="14"/>
                <w:szCs w:val="14"/>
                <w:b w:val="1"/>
                <w:bCs w:val="1"/>
                <w:color w:val="2393FF"/>
                <w:w w:val="85"/>
              </w:rPr>
              <w:t> </w:t>
            </w:r>
          </w:p>
        </w:tc>
      </w:tr>
      <w:tr>
        <w:trPr>
          <w:trHeight w:val="284"/>
        </w:trPr>
        <w:tc>
          <w:tcPr>
            <w:tcW w:w="1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w w:val="95"/>
              </w:rPr>
              <w:t>Summary Compensation Table</w:t>
            </w:r>
          </w:p>
        </w:tc>
        <w:tc>
          <w:tcPr>
            <w:tcW w:w="4660" w:type="dxa"/>
            <w:vAlign w:val="bottom"/>
            <w:gridSpan w:val="13"/>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38</w:t>
            </w:r>
          </w:p>
        </w:tc>
      </w:tr>
      <w:tr>
        <w:trPr>
          <w:trHeight w:val="284"/>
        </w:trPr>
        <w:tc>
          <w:tcPr>
            <w:tcW w:w="140" w:type="dxa"/>
            <w:vAlign w:val="bottom"/>
          </w:tcPr>
          <w:p>
            <w:pPr>
              <w:spacing w:after="0"/>
              <w:rPr>
                <w:sz w:val="24"/>
                <w:szCs w:val="24"/>
                <w:color w:val="auto"/>
              </w:rPr>
            </w:pPr>
          </w:p>
        </w:tc>
        <w:tc>
          <w:tcPr>
            <w:tcW w:w="6520" w:type="dxa"/>
            <w:vAlign w:val="bottom"/>
            <w:gridSpan w:val="22"/>
          </w:tcPr>
          <w:p>
            <w:pPr>
              <w:spacing w:after="0"/>
              <w:rPr>
                <w:sz w:val="20"/>
                <w:szCs w:val="20"/>
                <w:color w:val="auto"/>
              </w:rPr>
            </w:pPr>
            <w:r>
              <w:rPr>
                <w:rFonts w:ascii="Arial" w:cs="Arial" w:eastAsia="Arial" w:hAnsi="Arial"/>
                <w:sz w:val="14"/>
                <w:szCs w:val="14"/>
                <w:color w:val="0000EE"/>
              </w:rPr>
              <w:t>Grants of Plan-Based Awards</w:t>
            </w: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39</w:t>
            </w: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84"/>
        </w:trPr>
        <w:tc>
          <w:tcPr>
            <w:tcW w:w="140" w:type="dxa"/>
            <w:vAlign w:val="bottom"/>
          </w:tcPr>
          <w:p>
            <w:pPr>
              <w:spacing w:after="0"/>
              <w:rPr>
                <w:sz w:val="24"/>
                <w:szCs w:val="24"/>
                <w:color w:val="auto"/>
              </w:rPr>
            </w:pPr>
          </w:p>
        </w:tc>
        <w:tc>
          <w:tcPr>
            <w:tcW w:w="6520" w:type="dxa"/>
            <w:vAlign w:val="bottom"/>
            <w:gridSpan w:val="22"/>
          </w:tcPr>
          <w:p>
            <w:pPr>
              <w:spacing w:after="0"/>
              <w:rPr>
                <w:sz w:val="20"/>
                <w:szCs w:val="20"/>
                <w:color w:val="auto"/>
              </w:rPr>
            </w:pPr>
            <w:r>
              <w:rPr>
                <w:rFonts w:ascii="Arial" w:cs="Arial" w:eastAsia="Arial" w:hAnsi="Arial"/>
                <w:sz w:val="14"/>
                <w:szCs w:val="14"/>
                <w:color w:val="0000EE"/>
              </w:rPr>
              <w:t>Outstanding Equity Awards at Fiscal Year-End</w:t>
            </w: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40</w:t>
            </w:r>
          </w:p>
        </w:tc>
      </w:tr>
      <w:tr>
        <w:trPr>
          <w:trHeight w:val="284"/>
        </w:trPr>
        <w:tc>
          <w:tcPr>
            <w:tcW w:w="14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4"/>
                <w:szCs w:val="14"/>
                <w:color w:val="0000EE"/>
                <w:w w:val="95"/>
              </w:rPr>
              <w:t>Option Exercises and Stock Vested Table</w:t>
            </w:r>
          </w:p>
        </w:tc>
        <w:tc>
          <w:tcPr>
            <w:tcW w:w="280" w:type="dxa"/>
            <w:vAlign w:val="bottom"/>
            <w:tcBorders>
              <w:top w:val="single" w:sz="8" w:color="0000EE"/>
            </w:tcBorders>
            <w:gridSpan w:val="2"/>
          </w:tcPr>
          <w:p>
            <w:pPr>
              <w:spacing w:after="0"/>
              <w:rPr>
                <w:sz w:val="24"/>
                <w:szCs w:val="24"/>
                <w:color w:val="auto"/>
              </w:rPr>
            </w:pPr>
          </w:p>
        </w:tc>
        <w:tc>
          <w:tcPr>
            <w:tcW w:w="3760" w:type="dxa"/>
            <w:vAlign w:val="bottom"/>
            <w:gridSpan w:val="5"/>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41</w:t>
            </w:r>
          </w:p>
        </w:tc>
      </w:tr>
      <w:tr>
        <w:trPr>
          <w:trHeight w:val="284"/>
        </w:trPr>
        <w:tc>
          <w:tcPr>
            <w:tcW w:w="140" w:type="dxa"/>
            <w:vAlign w:val="bottom"/>
          </w:tcPr>
          <w:p>
            <w:pPr>
              <w:spacing w:after="0"/>
              <w:rPr>
                <w:sz w:val="24"/>
                <w:szCs w:val="24"/>
                <w:color w:val="auto"/>
              </w:rPr>
            </w:pPr>
          </w:p>
        </w:tc>
        <w:tc>
          <w:tcPr>
            <w:tcW w:w="6520" w:type="dxa"/>
            <w:vAlign w:val="bottom"/>
            <w:gridSpan w:val="22"/>
          </w:tcPr>
          <w:p>
            <w:pPr>
              <w:spacing w:after="0"/>
              <w:rPr>
                <w:sz w:val="20"/>
                <w:szCs w:val="20"/>
                <w:color w:val="auto"/>
              </w:rPr>
            </w:pPr>
            <w:r>
              <w:rPr>
                <w:rFonts w:ascii="Arial" w:cs="Arial" w:eastAsia="Arial" w:hAnsi="Arial"/>
                <w:sz w:val="14"/>
                <w:szCs w:val="14"/>
                <w:color w:val="0000EE"/>
              </w:rPr>
              <w:t>Potential Payments upon Termination or Change in Control</w:t>
            </w:r>
          </w:p>
        </w:tc>
        <w:tc>
          <w:tcPr>
            <w:tcW w:w="2500" w:type="dxa"/>
            <w:vAlign w:val="bottom"/>
          </w:tcPr>
          <w:p>
            <w:pPr>
              <w:ind w:left="2340"/>
              <w:spacing w:after="0"/>
              <w:rPr>
                <w:sz w:val="20"/>
                <w:szCs w:val="20"/>
                <w:color w:val="auto"/>
              </w:rPr>
            </w:pPr>
            <w:r>
              <w:rPr>
                <w:rFonts w:ascii="Arial" w:cs="Arial" w:eastAsia="Arial" w:hAnsi="Arial"/>
                <w:sz w:val="14"/>
                <w:szCs w:val="14"/>
                <w:color w:val="auto"/>
                <w:w w:val="89"/>
              </w:rPr>
              <w:t>42</w:t>
            </w: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84"/>
        </w:trPr>
        <w:tc>
          <w:tcPr>
            <w:tcW w:w="160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b w:val="1"/>
                <w:bCs w:val="1"/>
                <w:color w:val="0000EE"/>
                <w:w w:val="95"/>
              </w:rPr>
              <w:t>Pay Versus Performance</w:t>
            </w:r>
          </w:p>
        </w:tc>
        <w:tc>
          <w:tcPr>
            <w:tcW w:w="5060" w:type="dxa"/>
            <w:vAlign w:val="bottom"/>
            <w:gridSpan w:val="16"/>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45</w:t>
            </w:r>
          </w:p>
        </w:tc>
      </w:tr>
      <w:tr>
        <w:trPr>
          <w:trHeight w:val="284"/>
        </w:trPr>
        <w:tc>
          <w:tcPr>
            <w:tcW w:w="430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b w:val="1"/>
                <w:bCs w:val="1"/>
                <w:color w:val="0000EE"/>
                <w:w w:val="96"/>
              </w:rPr>
              <w:t>Security Ownership of Certain Beneficial Owners and Management</w:t>
            </w:r>
          </w:p>
        </w:tc>
        <w:tc>
          <w:tcPr>
            <w:tcW w:w="2360" w:type="dxa"/>
            <w:vAlign w:val="bottom"/>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50</w:t>
            </w:r>
          </w:p>
        </w:tc>
      </w:tr>
      <w:tr>
        <w:trPr>
          <w:trHeight w:val="284"/>
        </w:trPr>
        <w:tc>
          <w:tcPr>
            <w:tcW w:w="6660" w:type="dxa"/>
            <w:vAlign w:val="bottom"/>
            <w:gridSpan w:val="23"/>
          </w:tcPr>
          <w:p>
            <w:pPr>
              <w:spacing w:after="0"/>
              <w:rPr>
                <w:sz w:val="20"/>
                <w:szCs w:val="20"/>
                <w:color w:val="auto"/>
              </w:rPr>
            </w:pPr>
            <w:r>
              <w:rPr>
                <w:rFonts w:ascii="Arial" w:cs="Arial" w:eastAsia="Arial" w:hAnsi="Arial"/>
                <w:sz w:val="14"/>
                <w:szCs w:val="14"/>
                <w:b w:val="1"/>
                <w:bCs w:val="1"/>
                <w:color w:val="0000EE"/>
              </w:rPr>
              <w:t>Certain Relationships and Related Party Transactions</w:t>
            </w: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53</w:t>
            </w:r>
          </w:p>
        </w:tc>
      </w:tr>
      <w:tr>
        <w:trPr>
          <w:trHeight w:val="284"/>
        </w:trPr>
        <w:tc>
          <w:tcPr>
            <w:tcW w:w="3440" w:type="dxa"/>
            <w:vAlign w:val="bottom"/>
            <w:tcBorders>
              <w:top w:val="single" w:sz="8" w:color="0000EE"/>
            </w:tcBorders>
            <w:gridSpan w:val="20"/>
          </w:tcPr>
          <w:p>
            <w:pPr>
              <w:spacing w:after="0"/>
              <w:rPr>
                <w:sz w:val="20"/>
                <w:szCs w:val="20"/>
                <w:color w:val="auto"/>
              </w:rPr>
            </w:pPr>
            <w:r>
              <w:rPr>
                <w:rFonts w:ascii="Arial" w:cs="Arial" w:eastAsia="Arial" w:hAnsi="Arial"/>
                <w:sz w:val="14"/>
                <w:szCs w:val="14"/>
                <w:b w:val="1"/>
                <w:bCs w:val="1"/>
                <w:color w:val="0000EE"/>
              </w:rPr>
              <w:t>Audit Committee Report</w:t>
            </w:r>
          </w:p>
        </w:tc>
        <w:tc>
          <w:tcPr>
            <w:tcW w:w="3220" w:type="dxa"/>
            <w:vAlign w:val="bottom"/>
            <w:gridSpan w:val="3"/>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54</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84"/>
        </w:trPr>
        <w:tc>
          <w:tcPr>
            <w:tcW w:w="2140" w:type="dxa"/>
            <w:vAlign w:val="bottom"/>
            <w:tcBorders>
              <w:bottom w:val="single" w:sz="8" w:color="0000EE"/>
            </w:tcBorders>
            <w:gridSpan w:val="13"/>
          </w:tcPr>
          <w:p>
            <w:pPr>
              <w:spacing w:after="0"/>
              <w:rPr>
                <w:sz w:val="20"/>
                <w:szCs w:val="20"/>
                <w:color w:val="auto"/>
              </w:rPr>
            </w:pPr>
            <w:r>
              <w:rPr>
                <w:rFonts w:ascii="Arial" w:cs="Arial" w:eastAsia="Arial" w:hAnsi="Arial"/>
                <w:sz w:val="14"/>
                <w:szCs w:val="14"/>
                <w:b w:val="1"/>
                <w:bCs w:val="1"/>
                <w:color w:val="0000EE"/>
                <w:w w:val="96"/>
              </w:rPr>
              <w:t>Delinquent Section 16(a) Reports</w:t>
            </w:r>
          </w:p>
        </w:tc>
        <w:tc>
          <w:tcPr>
            <w:tcW w:w="4520" w:type="dxa"/>
            <w:vAlign w:val="bottom"/>
            <w:gridSpan w:val="10"/>
          </w:tcPr>
          <w:p>
            <w:pPr>
              <w:spacing w:after="0"/>
              <w:rPr>
                <w:sz w:val="24"/>
                <w:szCs w:val="24"/>
                <w:color w:val="auto"/>
              </w:rPr>
            </w:pP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55</w:t>
            </w:r>
          </w:p>
        </w:tc>
      </w:tr>
      <w:tr>
        <w:trPr>
          <w:trHeight w:val="284"/>
        </w:trPr>
        <w:tc>
          <w:tcPr>
            <w:tcW w:w="6660" w:type="dxa"/>
            <w:vAlign w:val="bottom"/>
            <w:gridSpan w:val="23"/>
          </w:tcPr>
          <w:p>
            <w:pPr>
              <w:spacing w:after="0"/>
              <w:rPr>
                <w:sz w:val="20"/>
                <w:szCs w:val="20"/>
                <w:color w:val="auto"/>
              </w:rPr>
            </w:pPr>
            <w:r>
              <w:rPr>
                <w:rFonts w:ascii="Arial" w:cs="Arial" w:eastAsia="Arial" w:hAnsi="Arial"/>
                <w:sz w:val="14"/>
                <w:szCs w:val="14"/>
                <w:b w:val="1"/>
                <w:bCs w:val="1"/>
                <w:color w:val="0000EE"/>
              </w:rPr>
              <w:t>Other Matters</w:t>
            </w:r>
          </w:p>
        </w:tc>
        <w:tc>
          <w:tcPr>
            <w:tcW w:w="2500" w:type="dxa"/>
            <w:vAlign w:val="bottom"/>
          </w:tcPr>
          <w:p>
            <w:pPr>
              <w:ind w:left="2340"/>
              <w:spacing w:after="0"/>
              <w:rPr>
                <w:sz w:val="20"/>
                <w:szCs w:val="20"/>
                <w:color w:val="auto"/>
              </w:rPr>
            </w:pPr>
            <w:r>
              <w:rPr>
                <w:rFonts w:ascii="Arial" w:cs="Arial" w:eastAsia="Arial" w:hAnsi="Arial"/>
                <w:sz w:val="14"/>
                <w:szCs w:val="14"/>
                <w:b w:val="1"/>
                <w:bCs w:val="1"/>
                <w:color w:val="2393FF"/>
                <w:w w:val="89"/>
              </w:rPr>
              <w:t>56</w:t>
            </w:r>
          </w:p>
        </w:tc>
      </w:tr>
      <w:tr>
        <w:trPr>
          <w:trHeight w:val="20"/>
        </w:trPr>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ectPr>
          <w:pgSz w:w="11900" w:h="16838" w:orient="portrait"/>
          <w:cols w:equalWidth="0" w:num="1">
            <w:col w:w="10180"/>
          </w:cols>
          <w:pgMar w:left="320" w:top="425"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FLYWIRE CORPORATION</w:t>
      </w:r>
    </w:p>
    <w:p>
      <w:pPr>
        <w:jc w:val="right"/>
        <w:spacing w:after="0" w:line="187" w:lineRule="auto"/>
        <w:rPr>
          <w:sz w:val="20"/>
          <w:szCs w:val="20"/>
          <w:color w:val="auto"/>
        </w:rPr>
      </w:pPr>
      <w:r>
        <w:rPr>
          <w:rFonts w:ascii="Arial" w:cs="Arial" w:eastAsia="Arial" w:hAnsi="Arial"/>
          <w:sz w:val="14"/>
          <w:szCs w:val="14"/>
          <w:b w:val="1"/>
          <w:bCs w:val="1"/>
          <w:color w:val="auto"/>
        </w:rPr>
        <w:t>141 Tremont St., 10</w:t>
      </w:r>
      <w:r>
        <w:rPr>
          <w:rFonts w:ascii="Arial" w:cs="Arial" w:eastAsia="Arial" w:hAnsi="Arial"/>
          <w:sz w:val="20"/>
          <w:szCs w:val="20"/>
          <w:b w:val="1"/>
          <w:bCs w:val="1"/>
          <w:color w:val="auto"/>
          <w:vertAlign w:val="superscript"/>
        </w:rPr>
        <w:t>th</w:t>
      </w:r>
      <w:r>
        <w:rPr>
          <w:rFonts w:ascii="Arial" w:cs="Arial" w:eastAsia="Arial" w:hAnsi="Arial"/>
          <w:sz w:val="14"/>
          <w:szCs w:val="14"/>
          <w:b w:val="1"/>
          <w:bCs w:val="1"/>
          <w:color w:val="auto"/>
        </w:rPr>
        <w:t xml:space="preserve"> Floor</w:t>
      </w:r>
    </w:p>
    <w:p>
      <w:pPr>
        <w:jc w:val="right"/>
        <w:spacing w:after="0"/>
        <w:rPr>
          <w:sz w:val="20"/>
          <w:szCs w:val="20"/>
          <w:color w:val="auto"/>
        </w:rPr>
      </w:pPr>
      <w:r>
        <w:rPr>
          <w:rFonts w:ascii="Arial" w:cs="Arial" w:eastAsia="Arial" w:hAnsi="Arial"/>
          <w:sz w:val="15"/>
          <w:szCs w:val="15"/>
          <w:b w:val="1"/>
          <w:bCs w:val="1"/>
          <w:color w:val="auto"/>
        </w:rPr>
        <w:t>Boston, Massachusetts 02111</w:t>
      </w:r>
    </w:p>
    <w:p>
      <w:pPr>
        <w:spacing w:after="0" w:line="25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PROXY STATEMENT</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auto"/>
        </w:rPr>
        <w:t>For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199390</wp:posOffset>
            </wp:positionV>
            <wp:extent cx="583819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20" w:right="20"/>
        <w:spacing w:after="0" w:line="238" w:lineRule="auto"/>
        <w:rPr>
          <w:sz w:val="20"/>
          <w:szCs w:val="20"/>
          <w:color w:val="auto"/>
        </w:rPr>
      </w:pPr>
      <w:r>
        <w:rPr>
          <w:rFonts w:ascii="Arial" w:cs="Arial" w:eastAsia="Arial" w:hAnsi="Arial"/>
          <w:sz w:val="14"/>
          <w:szCs w:val="14"/>
          <w:color w:val="auto"/>
        </w:rPr>
        <w:t>This proxy statement is furnished in connection with the solicitation of proxies by our Board of Directors for use at the 2026 Annual Meeting of Stockholders (the Annual Meeting) to be held at 9:30 a.m. EDT on Tuesday, June 2, 2026, and any postponements or adjournments thereof. The Annual Meeting will be held virtually via a live audio webcast on the internet at www.proxydocs.com/FLYW. There will not be a physical meeting location available for in-person participation. We believe holding our Annual Meeting online will facilitate greater stockholder attendance while still providing comparable rights and opportunities to participate, including the ability to ask questions, as a stockholder would have if he, she or they were attending our Annual Meeting in person. Beginning on or about April 23, 2026, we mailed to our stockholders of record a Notice of Internet Availability of Proxy Materials (Notice) containing instructions on how to access our proxy materials. As used in this proxy statement, the terms “Flywire,” the “Company,” “we,” “us,” and “our” mean Flywire Corporation unless the context indicates otherwise. Unless otherwise noted or unless the context provides otherwise, all references in this proxy statement to our “common stock” refers to our voting common stock.</w:t>
      </w:r>
    </w:p>
    <w:p>
      <w:pPr>
        <w:spacing w:after="0" w:line="102"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1 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right="800"/>
        <w:spacing w:after="0" w:line="289" w:lineRule="auto"/>
        <w:rPr>
          <w:sz w:val="20"/>
          <w:szCs w:val="20"/>
          <w:color w:val="auto"/>
        </w:rPr>
      </w:pPr>
      <w:r>
        <w:rPr>
          <w:rFonts w:ascii="Arial" w:cs="Arial" w:eastAsia="Arial" w:hAnsi="Arial"/>
          <w:sz w:val="42"/>
          <w:szCs w:val="42"/>
          <w:b w:val="1"/>
          <w:bCs w:val="1"/>
          <w:color w:val="2393FF"/>
        </w:rPr>
        <w:t>Questions and Answers about Procedural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-10160</wp:posOffset>
            </wp:positionV>
            <wp:extent cx="583819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ANNUAL MEETING</w:t>
      </w:r>
    </w:p>
    <w:p>
      <w:pPr>
        <w:spacing w:after="0" w:line="181" w:lineRule="exact"/>
        <w:rPr>
          <w:sz w:val="20"/>
          <w:szCs w:val="20"/>
          <w:color w:val="auto"/>
        </w:rPr>
      </w:pPr>
    </w:p>
    <w:p>
      <w:pPr>
        <w:ind w:left="1380" w:hanging="353"/>
        <w:spacing w:after="0"/>
        <w:tabs>
          <w:tab w:leader="none" w:pos="1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WHY AM I RECEIVING THESE PROXY MATERIALS?</w:t>
      </w:r>
    </w:p>
    <w:p>
      <w:pPr>
        <w:spacing w:after="0" w:line="177" w:lineRule="exact"/>
        <w:rPr>
          <w:sz w:val="20"/>
          <w:szCs w:val="20"/>
          <w:color w:val="auto"/>
        </w:rPr>
      </w:pPr>
    </w:p>
    <w:p>
      <w:pPr>
        <w:ind w:left="1380" w:right="20" w:hanging="353"/>
        <w:spacing w:after="0"/>
        <w:tabs>
          <w:tab w:leader="none" w:pos="138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Our Board of Directors is providing these proxy materials to you in connection with the solicitation of proxies for use at the Annual Meeting to be held on Tuesday, June 2, 2026 at 9:30 a.m. EDT, and at any adjournment or postponement thereof, for the purpose of considering and acting upon the matters set forth herein. The Notice, this proxy statement and accompanying form of proxy card are being made available to you on or about April 23, 2026. This proxy statement includes information that we are required to provide to you under Securities and Exchange Commission (SEC) rules and that is designed to assist you in voting your shares.</w:t>
      </w:r>
    </w:p>
    <w:p>
      <w:pPr>
        <w:spacing w:after="0" w:line="164" w:lineRule="exact"/>
        <w:rPr>
          <w:sz w:val="20"/>
          <w:szCs w:val="20"/>
          <w:color w:val="auto"/>
        </w:rPr>
      </w:pPr>
    </w:p>
    <w:p>
      <w:pPr>
        <w:ind w:left="1380" w:hanging="353"/>
        <w:spacing w:after="0"/>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WHAT IS INCLUDED IN THE PROXY MATERIALS?</w:t>
      </w:r>
    </w:p>
    <w:p>
      <w:pPr>
        <w:spacing w:after="0" w:line="175" w:lineRule="exact"/>
        <w:rPr>
          <w:sz w:val="20"/>
          <w:szCs w:val="20"/>
          <w:color w:val="auto"/>
        </w:rPr>
      </w:pPr>
    </w:p>
    <w:p>
      <w:pPr>
        <w:ind w:left="1020"/>
        <w:spacing w:after="0"/>
        <w:tabs>
          <w:tab w:leader="none" w:pos="1360" w:val="left"/>
        </w:tabs>
        <w:rPr>
          <w:sz w:val="20"/>
          <w:szCs w:val="20"/>
          <w:color w:val="auto"/>
        </w:rPr>
      </w:pPr>
      <w:r>
        <w:rPr>
          <w:rFonts w:ascii="Arial" w:cs="Arial" w:eastAsia="Arial" w:hAnsi="Arial"/>
          <w:sz w:val="14"/>
          <w:szCs w:val="14"/>
          <w:b w:val="1"/>
          <w:bCs w:val="1"/>
          <w:color w:val="auto"/>
        </w:rPr>
        <w:t>A</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The proxy materials include:</w:t>
      </w:r>
    </w:p>
    <w:p>
      <w:pPr>
        <w:spacing w:after="0" w:line="179" w:lineRule="exact"/>
        <w:rPr>
          <w:sz w:val="20"/>
          <w:szCs w:val="20"/>
          <w:color w:val="auto"/>
        </w:rPr>
      </w:pPr>
    </w:p>
    <w:p>
      <w:pPr>
        <w:ind w:left="2020" w:hanging="261"/>
        <w:spacing w:after="0"/>
        <w:tabs>
          <w:tab w:leader="none" w:pos="2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This proxy statement for the Annual Meeting;</w:t>
      </w:r>
    </w:p>
    <w:p>
      <w:pPr>
        <w:spacing w:after="0" w:line="177" w:lineRule="exact"/>
        <w:rPr>
          <w:rFonts w:ascii="Arial" w:cs="Arial" w:eastAsia="Arial" w:hAnsi="Arial"/>
          <w:sz w:val="14"/>
          <w:szCs w:val="14"/>
          <w:color w:val="auto"/>
        </w:rPr>
      </w:pPr>
    </w:p>
    <w:p>
      <w:pPr>
        <w:ind w:left="2020" w:hanging="261"/>
        <w:spacing w:after="0"/>
        <w:tabs>
          <w:tab w:leader="none" w:pos="2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annual report on Form 10-K for the year ended December 31, 2025 (the 2025 Annual Report); and</w:t>
      </w:r>
    </w:p>
    <w:p>
      <w:pPr>
        <w:spacing w:after="0" w:line="177" w:lineRule="exact"/>
        <w:rPr>
          <w:rFonts w:ascii="Arial" w:cs="Arial" w:eastAsia="Arial" w:hAnsi="Arial"/>
          <w:sz w:val="14"/>
          <w:szCs w:val="14"/>
          <w:color w:val="auto"/>
        </w:rPr>
      </w:pPr>
    </w:p>
    <w:p>
      <w:pPr>
        <w:ind w:left="2020" w:hanging="261"/>
        <w:spacing w:after="0"/>
        <w:tabs>
          <w:tab w:leader="none" w:pos="2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proxy card or a voting instruction form for the Annual Meeting, if you have requested that the proxy materials be mailed to you.</w:t>
      </w:r>
    </w:p>
    <w:p>
      <w:pPr>
        <w:spacing w:after="0" w:line="177" w:lineRule="exact"/>
        <w:rPr>
          <w:rFonts w:ascii="Arial" w:cs="Arial" w:eastAsia="Arial" w:hAnsi="Arial"/>
          <w:sz w:val="14"/>
          <w:szCs w:val="14"/>
          <w:color w:val="auto"/>
        </w:rPr>
      </w:pPr>
    </w:p>
    <w:p>
      <w:pPr>
        <w:ind w:left="1380" w:hanging="353"/>
        <w:spacing w:after="0"/>
        <w:tabs>
          <w:tab w:leader="none" w:pos="1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HOW CAN I GET ELECTRONIC ACCESS TO THE PROXY MATERIALS?</w:t>
      </w:r>
    </w:p>
    <w:p>
      <w:pPr>
        <w:spacing w:after="0" w:line="177" w:lineRule="exact"/>
        <w:rPr>
          <w:sz w:val="20"/>
          <w:szCs w:val="20"/>
          <w:color w:val="auto"/>
        </w:rPr>
      </w:pPr>
    </w:p>
    <w:p>
      <w:pPr>
        <w:ind w:left="1380" w:right="420" w:hanging="353"/>
        <w:spacing w:after="0" w:line="258" w:lineRule="auto"/>
        <w:tabs>
          <w:tab w:leader="none" w:pos="138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The proxy materials are available at www.proxyvote.com and at https://ir.flywire.com. Our website address is included for reference only. The information contained on our website is not incorporated by reference into this proxy statement.</w:t>
      </w:r>
    </w:p>
    <w:p>
      <w:pPr>
        <w:spacing w:after="0" w:line="115" w:lineRule="exact"/>
        <w:rPr>
          <w:rFonts w:ascii="Arial" w:cs="Arial" w:eastAsia="Arial" w:hAnsi="Arial"/>
          <w:sz w:val="14"/>
          <w:szCs w:val="14"/>
          <w:b w:val="1"/>
          <w:bCs w:val="1"/>
          <w:color w:val="auto"/>
        </w:rPr>
      </w:pPr>
    </w:p>
    <w:p>
      <w:pPr>
        <w:ind w:left="1400"/>
        <w:spacing w:after="0"/>
        <w:rPr>
          <w:rFonts w:ascii="Arial" w:cs="Arial" w:eastAsia="Arial" w:hAnsi="Arial"/>
          <w:sz w:val="14"/>
          <w:szCs w:val="14"/>
          <w:b w:val="1"/>
          <w:bCs w:val="1"/>
          <w:color w:val="auto"/>
        </w:rPr>
      </w:pPr>
      <w:r>
        <w:rPr>
          <w:rFonts w:ascii="Arial" w:cs="Arial" w:eastAsia="Arial" w:hAnsi="Arial"/>
          <w:sz w:val="14"/>
          <w:szCs w:val="14"/>
          <w:color w:val="auto"/>
        </w:rPr>
        <w:t>You can find directions on how to instruct us to send future proxy materials to you by email at www.proxyvote.com. Choosing to receive future proxy materials by email will save us the cost of printing and mailing documents to you and will reduce the impact of our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64" w:lineRule="exact"/>
        <w:rPr>
          <w:sz w:val="20"/>
          <w:szCs w:val="20"/>
          <w:color w:val="auto"/>
        </w:rPr>
      </w:pPr>
    </w:p>
    <w:p>
      <w:pPr>
        <w:ind w:left="1380" w:hanging="353"/>
        <w:spacing w:after="0"/>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WHAT INFORMATION IS CONTAINED IN THIS PROXY STATEMENT?</w:t>
      </w:r>
    </w:p>
    <w:p>
      <w:pPr>
        <w:spacing w:after="0" w:line="175" w:lineRule="exact"/>
        <w:rPr>
          <w:sz w:val="20"/>
          <w:szCs w:val="20"/>
          <w:color w:val="auto"/>
        </w:rPr>
      </w:pPr>
    </w:p>
    <w:p>
      <w:pPr>
        <w:ind w:left="1380" w:right="100" w:hanging="360"/>
        <w:spacing w:after="0" w:line="258" w:lineRule="auto"/>
        <w:tabs>
          <w:tab w:leader="none" w:pos="1360" w:val="left"/>
        </w:tabs>
        <w:rPr>
          <w:sz w:val="20"/>
          <w:szCs w:val="20"/>
          <w:color w:val="auto"/>
        </w:rPr>
      </w:pPr>
      <w:r>
        <w:rPr>
          <w:rFonts w:ascii="Arial" w:cs="Arial" w:eastAsia="Arial" w:hAnsi="Arial"/>
          <w:sz w:val="14"/>
          <w:szCs w:val="14"/>
          <w:b w:val="1"/>
          <w:bCs w:val="1"/>
          <w:color w:val="auto"/>
        </w:rPr>
        <w:t>A</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152" w:lineRule="exact"/>
        <w:rPr>
          <w:sz w:val="20"/>
          <w:szCs w:val="20"/>
          <w:color w:val="auto"/>
        </w:rPr>
      </w:pPr>
    </w:p>
    <w:p>
      <w:pPr>
        <w:ind w:left="1380" w:hanging="353"/>
        <w:spacing w:after="0"/>
        <w:tabs>
          <w:tab w:leader="none" w:pos="1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WHERE IS THE ANNUAL MEETING?</w:t>
      </w:r>
    </w:p>
    <w:p>
      <w:pPr>
        <w:spacing w:after="0" w:line="177" w:lineRule="exact"/>
        <w:rPr>
          <w:sz w:val="20"/>
          <w:szCs w:val="20"/>
          <w:color w:val="auto"/>
        </w:rPr>
      </w:pPr>
    </w:p>
    <w:p>
      <w:pPr>
        <w:ind w:left="1380" w:hanging="353"/>
        <w:spacing w:after="0"/>
        <w:tabs>
          <w:tab w:leader="none" w:pos="1380" w:val="left"/>
        </w:tabs>
        <w:numPr>
          <w:ilvl w:val="0"/>
          <w:numId w:val="15"/>
        </w:numPr>
        <w:rPr>
          <w:rFonts w:ascii="Arial" w:cs="Arial" w:eastAsia="Arial" w:hAnsi="Arial"/>
          <w:sz w:val="14"/>
          <w:szCs w:val="14"/>
          <w:b w:val="1"/>
          <w:bCs w:val="1"/>
          <w:color w:val="auto"/>
        </w:rPr>
      </w:pPr>
      <w:r>
        <w:rPr>
          <w:rFonts w:ascii="Arial" w:cs="Arial" w:eastAsia="Arial" w:hAnsi="Arial"/>
          <w:sz w:val="14"/>
          <w:szCs w:val="14"/>
          <w:color w:val="auto"/>
        </w:rPr>
        <w:t>The Annual Meeting will be held virtually via live audio webcast on the internet at www.proxydocs.com/FLYW.</w:t>
      </w:r>
    </w:p>
    <w:p>
      <w:pPr>
        <w:spacing w:after="0" w:line="177" w:lineRule="exact"/>
        <w:rPr>
          <w:sz w:val="20"/>
          <w:szCs w:val="20"/>
          <w:color w:val="auto"/>
        </w:rPr>
      </w:pPr>
    </w:p>
    <w:p>
      <w:pPr>
        <w:ind w:left="1380" w:hanging="353"/>
        <w:spacing w:after="0"/>
        <w:tabs>
          <w:tab w:leader="none" w:pos="1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CAN I ATTEND THE ANNUAL MEETING?</w:t>
      </w:r>
    </w:p>
    <w:p>
      <w:pPr>
        <w:spacing w:after="0" w:line="177" w:lineRule="exact"/>
        <w:rPr>
          <w:sz w:val="20"/>
          <w:szCs w:val="20"/>
          <w:color w:val="auto"/>
        </w:rPr>
      </w:pPr>
    </w:p>
    <w:p>
      <w:pPr>
        <w:ind w:left="1380" w:right="120" w:hanging="353"/>
        <w:spacing w:after="0" w:line="258" w:lineRule="auto"/>
        <w:tabs>
          <w:tab w:leader="none" w:pos="138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You are invited to attend the Annual Meeting if you were a stockholder of record or a beneficial owner as of Wednesday, April 8, 2026 (the Record Date). The Annual Meeting will begin promptly at 9:30 a.m. EDT on Tuesday, June 2, 2026.</w:t>
      </w:r>
    </w:p>
    <w:p>
      <w:pPr>
        <w:spacing w:after="0" w:line="89"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2 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00"/>
          </w:cols>
          <w:pgMar w:left="320" w:top="425" w:right="1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STOCK OWNERSHIP</w:t>
      </w:r>
    </w:p>
    <w:p>
      <w:pPr>
        <w:spacing w:after="0" w:line="181" w:lineRule="exact"/>
        <w:rPr>
          <w:sz w:val="20"/>
          <w:szCs w:val="20"/>
          <w:color w:val="auto"/>
        </w:rPr>
      </w:pPr>
    </w:p>
    <w:p>
      <w:pPr>
        <w:ind w:left="1380" w:hanging="353"/>
        <w:spacing w:after="0"/>
        <w:tabs>
          <w:tab w:leader="none" w:pos="1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WHAT IS THE DIFFERENCE BETWEEN HOLDING SHARES AS A STOCKHOLDER OF RECORD AND AS A BENEFICIAL OWNER?</w:t>
      </w:r>
    </w:p>
    <w:p>
      <w:pPr>
        <w:spacing w:after="0" w:line="177" w:lineRule="exact"/>
        <w:rPr>
          <w:sz w:val="20"/>
          <w:szCs w:val="20"/>
          <w:color w:val="auto"/>
        </w:rPr>
      </w:pPr>
    </w:p>
    <w:p>
      <w:pPr>
        <w:ind w:left="1380" w:right="100" w:hanging="353"/>
        <w:spacing w:after="0" w:line="307" w:lineRule="auto"/>
        <w:tabs>
          <w:tab w:leader="none" w:pos="1380" w:val="left"/>
        </w:tabs>
        <w:numPr>
          <w:ilvl w:val="0"/>
          <w:numId w:val="19"/>
        </w:numPr>
        <w:rPr>
          <w:rFonts w:ascii="Arial" w:cs="Arial" w:eastAsia="Arial" w:hAnsi="Arial"/>
          <w:sz w:val="12"/>
          <w:szCs w:val="12"/>
          <w:b w:val="1"/>
          <w:bCs w:val="1"/>
          <w:color w:val="auto"/>
        </w:rPr>
      </w:pPr>
      <w:r>
        <w:rPr>
          <w:rFonts w:ascii="Arial" w:cs="Arial" w:eastAsia="Arial" w:hAnsi="Arial"/>
          <w:sz w:val="12"/>
          <w:szCs w:val="12"/>
          <w:i w:val="1"/>
          <w:iCs w:val="1"/>
          <w:color w:val="auto"/>
        </w:rPr>
        <w:t>Stockholders of record</w:t>
      </w:r>
      <w:r>
        <w:rPr>
          <w:rFonts w:ascii="Arial" w:cs="Arial" w:eastAsia="Arial" w:hAnsi="Arial"/>
          <w:sz w:val="12"/>
          <w:szCs w:val="12"/>
          <w:color w:val="auto"/>
        </w:rPr>
        <w:t>—If your shares are registered directly in your name with our transfer agent, Computershare Inc. (Computershare), you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with respect to those shares, the “stockholder of record,” and the Notice was provided to you directly by us. As the stockholder of record, you have the right to grant your voting proxy directly to the individuals listed on the proxy card or to vote at the Annual Meeting.</w:t>
      </w:r>
    </w:p>
    <w:p>
      <w:pPr>
        <w:spacing w:after="0" w:line="90" w:lineRule="exact"/>
        <w:rPr>
          <w:rFonts w:ascii="Arial" w:cs="Arial" w:eastAsia="Arial" w:hAnsi="Arial"/>
          <w:sz w:val="12"/>
          <w:szCs w:val="12"/>
          <w:b w:val="1"/>
          <w:bCs w:val="1"/>
          <w:color w:val="auto"/>
        </w:rPr>
      </w:pPr>
    </w:p>
    <w:p>
      <w:pPr>
        <w:jc w:val="both"/>
        <w:ind w:left="1400" w:right="60"/>
        <w:spacing w:after="0" w:line="242" w:lineRule="auto"/>
        <w:rPr>
          <w:rFonts w:ascii="Arial" w:cs="Arial" w:eastAsia="Arial" w:hAnsi="Arial"/>
          <w:sz w:val="12"/>
          <w:szCs w:val="12"/>
          <w:b w:val="1"/>
          <w:bCs w:val="1"/>
          <w:color w:val="auto"/>
        </w:rPr>
      </w:pPr>
      <w:r>
        <w:rPr>
          <w:rFonts w:ascii="Arial" w:cs="Arial" w:eastAsia="Arial" w:hAnsi="Arial"/>
          <w:sz w:val="14"/>
          <w:szCs w:val="14"/>
          <w:i w:val="1"/>
          <w:iCs w:val="1"/>
          <w:color w:val="auto"/>
        </w:rPr>
        <w:t>Beneficial owners</w:t>
      </w:r>
      <w:r>
        <w:rPr>
          <w:rFonts w:ascii="Arial" w:cs="Arial" w:eastAsia="Arial" w:hAnsi="Arial"/>
          <w:sz w:val="14"/>
          <w:szCs w:val="14"/>
          <w:color w:val="auto"/>
        </w:rPr>
        <w:t>—Many Flywire stockholders hold their shares through a broker, bank, trustee or other nominee, rather than directly in their own</w:t>
      </w:r>
      <w:r>
        <w:rPr>
          <w:rFonts w:ascii="Arial" w:cs="Arial" w:eastAsia="Arial" w:hAnsi="Arial"/>
          <w:sz w:val="14"/>
          <w:szCs w:val="14"/>
          <w:i w:val="1"/>
          <w:iCs w:val="1"/>
          <w:color w:val="auto"/>
        </w:rPr>
        <w:t xml:space="preserve"> </w:t>
      </w:r>
      <w:r>
        <w:rPr>
          <w:rFonts w:ascii="Arial" w:cs="Arial" w:eastAsia="Arial" w:hAnsi="Arial"/>
          <w:sz w:val="14"/>
          <w:szCs w:val="14"/>
          <w:color w:val="auto"/>
        </w:rPr>
        <w:t>name. If your shares are held in a brokerage account or by a bank or another nominee (commonly referred to as being held in “street name”), you are considered the “beneficial owner” of such shares. The Notice was forwarded to you by your broker, trustee or nominee who is considered, with respect to those shares, the stockholder of record.</w:t>
      </w:r>
    </w:p>
    <w:p>
      <w:pPr>
        <w:spacing w:after="0" w:line="128" w:lineRule="exact"/>
        <w:rPr>
          <w:rFonts w:ascii="Arial" w:cs="Arial" w:eastAsia="Arial" w:hAnsi="Arial"/>
          <w:sz w:val="12"/>
          <w:szCs w:val="12"/>
          <w:b w:val="1"/>
          <w:bCs w:val="1"/>
          <w:color w:val="auto"/>
        </w:rPr>
      </w:pPr>
    </w:p>
    <w:p>
      <w:pPr>
        <w:ind w:left="1400" w:right="60"/>
        <w:spacing w:after="0" w:line="242" w:lineRule="auto"/>
        <w:rPr>
          <w:rFonts w:ascii="Arial" w:cs="Arial" w:eastAsia="Arial" w:hAnsi="Arial"/>
          <w:sz w:val="12"/>
          <w:szCs w:val="12"/>
          <w:b w:val="1"/>
          <w:bCs w:val="1"/>
          <w:color w:val="auto"/>
        </w:rPr>
      </w:pPr>
      <w:r>
        <w:rPr>
          <w:rFonts w:ascii="Arial" w:cs="Arial" w:eastAsia="Arial" w:hAnsi="Arial"/>
          <w:sz w:val="14"/>
          <w:szCs w:val="14"/>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at the Annual Meeting unless you follow your broker’s procedures for obtaining a legal proxy. If you request a printed copy of the proxy materials by mail, your broker or nominee will provide a voting instruction card for you to use.</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QUORUM AND VOTING</w:t>
      </w:r>
    </w:p>
    <w:p>
      <w:pPr>
        <w:spacing w:after="0" w:line="181" w:lineRule="exact"/>
        <w:rPr>
          <w:sz w:val="20"/>
          <w:szCs w:val="20"/>
          <w:color w:val="auto"/>
        </w:rPr>
      </w:pPr>
    </w:p>
    <w:p>
      <w:pPr>
        <w:ind w:left="1380" w:hanging="353"/>
        <w:spacing w:after="0"/>
        <w:tabs>
          <w:tab w:leader="none" w:pos="1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HOW MANY SHARES MUST BE PRESENT OR REPRESENTED TO CONDUCT BUSINESS AT THE ANNUAL MEETING?</w:t>
      </w:r>
    </w:p>
    <w:p>
      <w:pPr>
        <w:spacing w:after="0" w:line="177" w:lineRule="exact"/>
        <w:rPr>
          <w:sz w:val="20"/>
          <w:szCs w:val="20"/>
          <w:color w:val="auto"/>
        </w:rPr>
      </w:pPr>
    </w:p>
    <w:p>
      <w:pPr>
        <w:ind w:left="1380" w:right="20" w:hanging="353"/>
        <w:spacing w:after="0" w:line="307" w:lineRule="auto"/>
        <w:tabs>
          <w:tab w:leader="none" w:pos="1380" w:val="left"/>
        </w:tabs>
        <w:numPr>
          <w:ilvl w:val="0"/>
          <w:numId w:val="21"/>
        </w:numPr>
        <w:rPr>
          <w:rFonts w:ascii="Arial" w:cs="Arial" w:eastAsia="Arial" w:hAnsi="Arial"/>
          <w:sz w:val="12"/>
          <w:szCs w:val="12"/>
          <w:b w:val="1"/>
          <w:bCs w:val="1"/>
          <w:color w:val="auto"/>
        </w:rPr>
      </w:pPr>
      <w:r>
        <w:rPr>
          <w:rFonts w:ascii="Arial" w:cs="Arial" w:eastAsia="Arial" w:hAnsi="Arial"/>
          <w:sz w:val="12"/>
          <w:szCs w:val="12"/>
          <w:color w:val="auto"/>
        </w:rPr>
        <w:t>A quorum is the minimum number of shares required to be present at the Annual Meeting for the meeting to be properly held under our Bylaws and the General Corporation Law of the State of Delaware. The presence, in person or represented by proxy, of the holders of a majority of the voting power of the shares of stock issued and outstanding and entitled to vote at the meeting will constitute a quorum at the meeting.</w:t>
      </w:r>
    </w:p>
    <w:p>
      <w:pPr>
        <w:spacing w:after="0" w:line="90" w:lineRule="exact"/>
        <w:rPr>
          <w:rFonts w:ascii="Arial" w:cs="Arial" w:eastAsia="Arial" w:hAnsi="Arial"/>
          <w:sz w:val="12"/>
          <w:szCs w:val="12"/>
          <w:b w:val="1"/>
          <w:bCs w:val="1"/>
          <w:color w:val="auto"/>
        </w:rPr>
      </w:pPr>
    </w:p>
    <w:p>
      <w:pPr>
        <w:ind w:left="1400"/>
        <w:spacing w:after="0"/>
        <w:rPr>
          <w:rFonts w:ascii="Arial" w:cs="Arial" w:eastAsia="Arial" w:hAnsi="Arial"/>
          <w:sz w:val="12"/>
          <w:szCs w:val="12"/>
          <w:b w:val="1"/>
          <w:bCs w:val="1"/>
          <w:color w:val="auto"/>
        </w:rPr>
      </w:pPr>
      <w:r>
        <w:rPr>
          <w:rFonts w:ascii="Arial" w:cs="Arial" w:eastAsia="Arial" w:hAnsi="Arial"/>
          <w:sz w:val="12"/>
          <w:szCs w:val="12"/>
          <w:color w:val="auto"/>
        </w:rPr>
        <w:t>A proxy submitted by a stockholder may indicate that the shares represented by the proxy are not being voted with respect to a particular matter.</w:t>
      </w:r>
    </w:p>
    <w:p>
      <w:pPr>
        <w:spacing w:after="0" w:line="166" w:lineRule="exact"/>
        <w:rPr>
          <w:rFonts w:ascii="Arial" w:cs="Arial" w:eastAsia="Arial" w:hAnsi="Arial"/>
          <w:sz w:val="12"/>
          <w:szCs w:val="12"/>
          <w:b w:val="1"/>
          <w:bCs w:val="1"/>
          <w:color w:val="auto"/>
        </w:rPr>
      </w:pPr>
    </w:p>
    <w:p>
      <w:pPr>
        <w:ind w:left="1400" w:right="120"/>
        <w:spacing w:after="0" w:line="258" w:lineRule="auto"/>
        <w:rPr>
          <w:rFonts w:ascii="Arial" w:cs="Arial" w:eastAsia="Arial" w:hAnsi="Arial"/>
          <w:sz w:val="12"/>
          <w:szCs w:val="12"/>
          <w:b w:val="1"/>
          <w:bCs w:val="1"/>
          <w:color w:val="auto"/>
        </w:rPr>
      </w:pPr>
      <w:r>
        <w:rPr>
          <w:rFonts w:ascii="Arial" w:cs="Arial" w:eastAsia="Arial" w:hAnsi="Arial"/>
          <w:sz w:val="14"/>
          <w:szCs w:val="14"/>
          <w:color w:val="auto"/>
        </w:rPr>
        <w:t>Under the General Corporation Law of the State of Delaware, abstentions and broker “non-votes” are counted as present and entitled to vote and are, therefore, included for purposes of determining whether a quorum is present at the Annual Meeting.</w:t>
      </w:r>
    </w:p>
    <w:p>
      <w:pPr>
        <w:spacing w:after="0" w:line="127" w:lineRule="exact"/>
        <w:rPr>
          <w:rFonts w:ascii="Arial" w:cs="Arial" w:eastAsia="Arial" w:hAnsi="Arial"/>
          <w:sz w:val="12"/>
          <w:szCs w:val="12"/>
          <w:b w:val="1"/>
          <w:bCs w:val="1"/>
          <w:color w:val="auto"/>
        </w:rPr>
      </w:pPr>
    </w:p>
    <w:p>
      <w:pPr>
        <w:ind w:left="1400" w:right="40"/>
        <w:spacing w:after="0" w:line="258" w:lineRule="auto"/>
        <w:rPr>
          <w:rFonts w:ascii="Arial" w:cs="Arial" w:eastAsia="Arial" w:hAnsi="Arial"/>
          <w:sz w:val="12"/>
          <w:szCs w:val="12"/>
          <w:b w:val="1"/>
          <w:bCs w:val="1"/>
          <w:color w:val="auto"/>
        </w:rPr>
      </w:pPr>
      <w:r>
        <w:rPr>
          <w:rFonts w:ascii="Arial" w:cs="Arial" w:eastAsia="Arial" w:hAnsi="Arial"/>
          <w:sz w:val="14"/>
          <w:szCs w:val="14"/>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50" w:lineRule="exact"/>
        <w:rPr>
          <w:sz w:val="20"/>
          <w:szCs w:val="20"/>
          <w:color w:val="auto"/>
        </w:rPr>
      </w:pPr>
    </w:p>
    <w:p>
      <w:pPr>
        <w:ind w:left="1380" w:hanging="353"/>
        <w:spacing w:after="0"/>
        <w:tabs>
          <w:tab w:leader="none" w:pos="1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WHO IS ENTITLED TO VOTE AT THE ANNUAL MEETING?</w:t>
      </w:r>
    </w:p>
    <w:p>
      <w:pPr>
        <w:spacing w:after="0" w:line="177" w:lineRule="exact"/>
        <w:rPr>
          <w:sz w:val="20"/>
          <w:szCs w:val="20"/>
          <w:color w:val="auto"/>
        </w:rPr>
      </w:pPr>
    </w:p>
    <w:p>
      <w:pPr>
        <w:ind w:left="1380" w:right="80" w:hanging="353"/>
        <w:spacing w:after="0" w:line="242" w:lineRule="auto"/>
        <w:tabs>
          <w:tab w:leader="none" w:pos="1380" w:val="left"/>
        </w:tabs>
        <w:numPr>
          <w:ilvl w:val="0"/>
          <w:numId w:val="23"/>
        </w:numPr>
        <w:rPr>
          <w:rFonts w:ascii="Arial" w:cs="Arial" w:eastAsia="Arial" w:hAnsi="Arial"/>
          <w:sz w:val="14"/>
          <w:szCs w:val="14"/>
          <w:b w:val="1"/>
          <w:bCs w:val="1"/>
          <w:color w:val="auto"/>
        </w:rPr>
      </w:pPr>
      <w:r>
        <w:rPr>
          <w:rFonts w:ascii="Arial" w:cs="Arial" w:eastAsia="Arial" w:hAnsi="Arial"/>
          <w:sz w:val="14"/>
          <w:szCs w:val="14"/>
          <w:color w:val="auto"/>
        </w:rPr>
        <w:t>Holders of record of our common stock at the close of business on the Record Date are entitled to receive notice of and to vote their shares at the Annual Meeting. As of the Record Date, we had 121,465,195 shares of voting common stock outstanding. In deciding all matters at the Annual Meeting, each holder of shares of our voting common stock will be entitled to one vote for each share of voting common stock held as of the close of business on the Record Date. We do not have cumulative voting rights for the election of directors.</w:t>
      </w:r>
    </w:p>
    <w:p>
      <w:pPr>
        <w:spacing w:after="0" w:line="162" w:lineRule="exact"/>
        <w:rPr>
          <w:sz w:val="20"/>
          <w:szCs w:val="20"/>
          <w:color w:val="auto"/>
        </w:rPr>
      </w:pPr>
    </w:p>
    <w:p>
      <w:pPr>
        <w:ind w:left="1380" w:hanging="353"/>
        <w:spacing w:after="0"/>
        <w:tabs>
          <w:tab w:leader="none" w:pos="1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HOW CAN I VOTE MY SHARES AT THE ANNUAL MEETING?</w:t>
      </w:r>
    </w:p>
    <w:p>
      <w:pPr>
        <w:spacing w:after="0" w:line="177" w:lineRule="exact"/>
        <w:rPr>
          <w:sz w:val="20"/>
          <w:szCs w:val="20"/>
          <w:color w:val="auto"/>
        </w:rPr>
      </w:pPr>
    </w:p>
    <w:p>
      <w:pPr>
        <w:ind w:left="1380" w:hanging="353"/>
        <w:spacing w:after="0" w:line="296" w:lineRule="auto"/>
        <w:tabs>
          <w:tab w:leader="none" w:pos="1380" w:val="left"/>
        </w:tabs>
        <w:numPr>
          <w:ilvl w:val="0"/>
          <w:numId w:val="25"/>
        </w:numPr>
        <w:rPr>
          <w:rFonts w:ascii="Arial" w:cs="Arial" w:eastAsia="Arial" w:hAnsi="Arial"/>
          <w:sz w:val="12"/>
          <w:szCs w:val="12"/>
          <w:b w:val="1"/>
          <w:bCs w:val="1"/>
          <w:color w:val="auto"/>
        </w:rPr>
      </w:pPr>
      <w:r>
        <w:rPr>
          <w:rFonts w:ascii="Arial" w:cs="Arial" w:eastAsia="Arial" w:hAnsi="Arial"/>
          <w:sz w:val="12"/>
          <w:szCs w:val="12"/>
          <w:color w:val="auto"/>
        </w:rPr>
        <w:t>Shares held in your name as the stockholder of record may be voted at the Annual Meeting. Shares held beneficially in street name may be voted in person at the Annual Meeting only if you obtain a legal proxy from the broker, trustee or other nominee that holds your shares giving you the right to vote the shares. Even if you plan to attend the Annual Meeting, we recommend that you also submit your proxy card, if you have requested one, or follow the voting directions described below, so that your vote will be counted if you later decide not to attend the Annual Meeting.</w:t>
      </w:r>
    </w:p>
    <w:p>
      <w:pPr>
        <w:spacing w:after="0" w:line="70"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3 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80"/>
          </w:cols>
          <w:pgMar w:left="320" w:top="425"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380" w:hanging="353"/>
        <w:spacing w:after="0"/>
        <w:tabs>
          <w:tab w:leader="none" w:pos="1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HOW CAN I VOTE MY SHARES WITHOUT ATTENDING THE ANNUAL MEETING?</w:t>
      </w:r>
    </w:p>
    <w:p>
      <w:pPr>
        <w:spacing w:after="0" w:line="177" w:lineRule="exact"/>
        <w:rPr>
          <w:sz w:val="20"/>
          <w:szCs w:val="20"/>
          <w:color w:val="auto"/>
        </w:rPr>
      </w:pPr>
    </w:p>
    <w:p>
      <w:pPr>
        <w:ind w:left="1380" w:hanging="353"/>
        <w:spacing w:after="0"/>
        <w:tabs>
          <w:tab w:leader="none" w:pos="1380" w:val="left"/>
        </w:tabs>
        <w:numPr>
          <w:ilvl w:val="0"/>
          <w:numId w:val="27"/>
        </w:numPr>
        <w:rPr>
          <w:rFonts w:ascii="Arial" w:cs="Arial" w:eastAsia="Arial" w:hAnsi="Arial"/>
          <w:sz w:val="12"/>
          <w:szCs w:val="12"/>
          <w:b w:val="1"/>
          <w:bCs w:val="1"/>
          <w:color w:val="auto"/>
        </w:rPr>
      </w:pPr>
      <w:r>
        <w:rPr>
          <w:rFonts w:ascii="Arial" w:cs="Arial" w:eastAsia="Arial" w:hAnsi="Arial"/>
          <w:sz w:val="12"/>
          <w:szCs w:val="12"/>
          <w:i w:val="1"/>
          <w:iCs w:val="1"/>
          <w:color w:val="auto"/>
        </w:rPr>
        <w:t>Stockholder of record</w:t>
      </w:r>
      <w:r>
        <w:rPr>
          <w:rFonts w:ascii="Arial" w:cs="Arial" w:eastAsia="Arial" w:hAnsi="Arial"/>
          <w:sz w:val="12"/>
          <w:szCs w:val="12"/>
          <w:color w:val="auto"/>
        </w:rPr>
        <w:t>—If you are a stockholder of record, there are three ways to vote without attending the Annual Meeting:</w:t>
      </w:r>
    </w:p>
    <w:p>
      <w:pPr>
        <w:sectPr>
          <w:pgSz w:w="11900" w:h="16838" w:orient="portrait"/>
          <w:cols w:equalWidth="0" w:num="1">
            <w:col w:w="10220"/>
          </w:cols>
          <w:pgMar w:left="320" w:top="425" w:right="1359" w:bottom="1440" w:gutter="0" w:footer="0" w:header="0"/>
        </w:sectPr>
      </w:pPr>
    </w:p>
    <w:p>
      <w:pPr>
        <w:spacing w:after="0" w:line="225" w:lineRule="exact"/>
        <w:rPr>
          <w:sz w:val="20"/>
          <w:szCs w:val="20"/>
          <w:color w:val="auto"/>
        </w:rPr>
      </w:pPr>
    </w:p>
    <w:p>
      <w:pPr>
        <w:ind w:left="1820"/>
        <w:spacing w:after="0"/>
        <w:rPr>
          <w:sz w:val="20"/>
          <w:szCs w:val="20"/>
          <w:color w:val="auto"/>
        </w:rPr>
      </w:pPr>
      <w:r>
        <w:rPr>
          <w:rFonts w:ascii="Arial" w:cs="Arial" w:eastAsia="Arial" w:hAnsi="Arial"/>
          <w:sz w:val="12"/>
          <w:szCs w:val="12"/>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-81915</wp:posOffset>
            </wp:positionV>
            <wp:extent cx="314960" cy="314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4960" cy="314960"/>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-81915</wp:posOffset>
            </wp:positionV>
            <wp:extent cx="314960" cy="314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4960" cy="314960"/>
                    </a:xfrm>
                    <a:prstGeom prst="rect">
                      <a:avLst/>
                    </a:prstGeom>
                    <a:noFill/>
                  </pic:spPr>
                </pic:pic>
              </a:graphicData>
            </a:graphic>
          </wp:anchor>
        </w:drawing>
      </w:r>
    </w:p>
    <w:p>
      <w:pPr>
        <w:spacing w:after="0" w:line="112" w:lineRule="exact"/>
        <w:rPr>
          <w:sz w:val="20"/>
          <w:szCs w:val="20"/>
          <w:color w:val="auto"/>
        </w:rPr>
      </w:pPr>
    </w:p>
    <w:p>
      <w:pPr>
        <w:ind w:left="1820" w:right="240"/>
        <w:spacing w:after="0" w:line="244" w:lineRule="auto"/>
        <w:rPr>
          <w:sz w:val="20"/>
          <w:szCs w:val="20"/>
          <w:color w:val="auto"/>
        </w:rPr>
      </w:pPr>
      <w:r>
        <w:rPr>
          <w:rFonts w:ascii="Arial" w:cs="Arial" w:eastAsia="Arial" w:hAnsi="Arial"/>
          <w:sz w:val="12"/>
          <w:szCs w:val="12"/>
          <w:color w:val="auto"/>
        </w:rPr>
        <w:t>You may vote by proxy via the internet by following the instructions provided in the Notice or, if you requested printed copies of the proxy materials by mail, by following the instructions provided in the proxy card.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By Telephone</w:t>
      </w:r>
    </w:p>
    <w:p>
      <w:pPr>
        <w:spacing w:after="0" w:line="9" w:lineRule="exact"/>
        <w:rPr>
          <w:sz w:val="20"/>
          <w:szCs w:val="20"/>
          <w:color w:val="auto"/>
        </w:rPr>
      </w:pPr>
    </w:p>
    <w:p>
      <w:pPr>
        <w:ind w:right="80"/>
        <w:spacing w:after="0" w:line="238" w:lineRule="auto"/>
        <w:rPr>
          <w:sz w:val="20"/>
          <w:szCs w:val="20"/>
          <w:color w:val="auto"/>
        </w:rPr>
      </w:pPr>
      <w:r>
        <w:rPr>
          <w:rFonts w:ascii="Arial" w:cs="Arial" w:eastAsia="Arial" w:hAnsi="Arial"/>
          <w:sz w:val="12"/>
          <w:szCs w:val="12"/>
          <w:color w:val="auto"/>
        </w:rPr>
        <w:t>You may vote by proxy by telephone by following the instructions provided in the Notice or, if you requested printed copies of the proxy materials by mail, by calling the toll-free number found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48260</wp:posOffset>
            </wp:positionV>
            <wp:extent cx="583819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-81915</wp:posOffset>
            </wp:positionV>
            <wp:extent cx="314960" cy="314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4960" cy="314960"/>
                    </a:xfrm>
                    <a:prstGeom prst="rect">
                      <a:avLst/>
                    </a:prstGeom>
                    <a:noFill/>
                  </pic:spPr>
                </pic:pic>
              </a:graphicData>
            </a:graphic>
          </wp:anchor>
        </w:drawing>
      </w:r>
    </w:p>
    <w:p>
      <w:pPr>
        <w:spacing w:after="0" w:line="239" w:lineRule="auto"/>
        <w:rPr>
          <w:sz w:val="20"/>
          <w:szCs w:val="20"/>
          <w:color w:val="auto"/>
        </w:rPr>
      </w:pPr>
      <w:r>
        <w:rPr>
          <w:rFonts w:ascii="Arial" w:cs="Arial" w:eastAsia="Arial" w:hAnsi="Arial"/>
          <w:sz w:val="12"/>
          <w:szCs w:val="12"/>
          <w:color w:val="auto"/>
        </w:rPr>
        <w:t>If you request printed copies of the proxy materials by mail, you will receive a proxy card and you may vote by proxy by filling out the proxy card and returning it in the envelope provided.</w:t>
      </w:r>
    </w:p>
    <w:p>
      <w:pPr>
        <w:spacing w:after="0" w:line="337" w:lineRule="exact"/>
        <w:rPr>
          <w:sz w:val="20"/>
          <w:szCs w:val="20"/>
          <w:color w:val="auto"/>
        </w:rPr>
      </w:pPr>
    </w:p>
    <w:p>
      <w:pPr>
        <w:sectPr>
          <w:pgSz w:w="11900" w:h="16838" w:orient="portrait"/>
          <w:cols w:equalWidth="0" w:num="3">
            <w:col w:w="4320" w:space="720"/>
            <w:col w:w="2260" w:space="720"/>
            <w:col w:w="2200"/>
          </w:cols>
          <w:pgMar w:left="320" w:top="425" w:right="1359" w:bottom="1440" w:gutter="0" w:footer="0" w:header="0"/>
          <w:type w:val="continuous"/>
        </w:sectPr>
      </w:pPr>
    </w:p>
    <w:p>
      <w:pPr>
        <w:spacing w:after="0" w:line="20" w:lineRule="exact"/>
        <w:rPr>
          <w:sz w:val="20"/>
          <w:szCs w:val="20"/>
          <w:color w:val="auto"/>
        </w:rPr>
      </w:pPr>
    </w:p>
    <w:p>
      <w:pPr>
        <w:ind w:left="1400" w:right="400"/>
        <w:spacing w:after="0" w:line="258" w:lineRule="auto"/>
        <w:rPr>
          <w:sz w:val="20"/>
          <w:szCs w:val="20"/>
          <w:color w:val="auto"/>
        </w:rPr>
      </w:pPr>
      <w:r>
        <w:rPr>
          <w:rFonts w:ascii="Arial" w:cs="Arial" w:eastAsia="Arial" w:hAnsi="Arial"/>
          <w:sz w:val="14"/>
          <w:szCs w:val="14"/>
          <w:i w:val="1"/>
          <w:iCs w:val="1"/>
          <w:color w:val="auto"/>
        </w:rPr>
        <w:t>Beneficial owners</w:t>
      </w:r>
      <w:r>
        <w:rPr>
          <w:rFonts w:ascii="Arial" w:cs="Arial" w:eastAsia="Arial" w:hAnsi="Arial"/>
          <w:sz w:val="14"/>
          <w:szCs w:val="14"/>
          <w:color w:val="auto"/>
        </w:rPr>
        <w:t>—If you are a beneficial owner holding shares through a bank, broker or other nominee, please refer to your Notice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 forwarded by your bank or broker to see which voting options are available to you.</w:t>
      </w:r>
    </w:p>
    <w:p>
      <w:pPr>
        <w:spacing w:after="0" w:line="150" w:lineRule="exact"/>
        <w:rPr>
          <w:sz w:val="20"/>
          <w:szCs w:val="20"/>
          <w:color w:val="auto"/>
        </w:rPr>
      </w:pPr>
    </w:p>
    <w:p>
      <w:pPr>
        <w:ind w:left="1380" w:hanging="353"/>
        <w:spacing w:after="0"/>
        <w:tabs>
          <w:tab w:leader="none" w:pos="1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WHAT HAPPENS IF I DO NOT GIVE SPECIFIC VOTING INSTRUCTIONS?</w:t>
      </w:r>
    </w:p>
    <w:p>
      <w:pPr>
        <w:spacing w:after="0" w:line="177" w:lineRule="exact"/>
        <w:rPr>
          <w:sz w:val="20"/>
          <w:szCs w:val="20"/>
          <w:color w:val="auto"/>
        </w:rPr>
      </w:pPr>
    </w:p>
    <w:p>
      <w:pPr>
        <w:ind w:left="1380" w:hanging="353"/>
        <w:spacing w:after="0"/>
        <w:tabs>
          <w:tab w:leader="none" w:pos="1380" w:val="left"/>
        </w:tabs>
        <w:numPr>
          <w:ilvl w:val="0"/>
          <w:numId w:val="29"/>
        </w:numPr>
        <w:rPr>
          <w:rFonts w:ascii="Arial" w:cs="Arial" w:eastAsia="Arial" w:hAnsi="Arial"/>
          <w:sz w:val="14"/>
          <w:szCs w:val="14"/>
          <w:b w:val="1"/>
          <w:bCs w:val="1"/>
          <w:color w:val="auto"/>
        </w:rPr>
      </w:pPr>
      <w:r>
        <w:rPr>
          <w:rFonts w:ascii="Arial" w:cs="Arial" w:eastAsia="Arial" w:hAnsi="Arial"/>
          <w:sz w:val="14"/>
          <w:szCs w:val="14"/>
          <w:i w:val="1"/>
          <w:iCs w:val="1"/>
          <w:color w:val="auto"/>
        </w:rPr>
        <w:t>Stockholder of record</w:t>
      </w:r>
      <w:r>
        <w:rPr>
          <w:rFonts w:ascii="Arial" w:cs="Arial" w:eastAsia="Arial" w:hAnsi="Arial"/>
          <w:sz w:val="14"/>
          <w:szCs w:val="14"/>
          <w:color w:val="auto"/>
        </w:rPr>
        <w:t>—If you are a stockholder of record and you:</w:t>
      </w:r>
    </w:p>
    <w:p>
      <w:pPr>
        <w:spacing w:after="0" w:line="177" w:lineRule="exact"/>
        <w:rPr>
          <w:rFonts w:ascii="Arial" w:cs="Arial" w:eastAsia="Arial" w:hAnsi="Arial"/>
          <w:sz w:val="14"/>
          <w:szCs w:val="14"/>
          <w:b w:val="1"/>
          <w:bCs w:val="1"/>
          <w:color w:val="auto"/>
        </w:rPr>
      </w:pPr>
    </w:p>
    <w:p>
      <w:pPr>
        <w:ind w:left="2020" w:hanging="261"/>
        <w:spacing w:after="0"/>
        <w:tabs>
          <w:tab w:leader="none" w:pos="20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Indicate when voting via the internet or by telephone that you wish to vote as recommended by our Board of Directors; or</w:t>
      </w:r>
    </w:p>
    <w:p>
      <w:pPr>
        <w:spacing w:after="0" w:line="177" w:lineRule="exact"/>
        <w:rPr>
          <w:rFonts w:ascii="Arial" w:cs="Arial" w:eastAsia="Arial" w:hAnsi="Arial"/>
          <w:sz w:val="14"/>
          <w:szCs w:val="14"/>
          <w:color w:val="auto"/>
        </w:rPr>
      </w:pPr>
    </w:p>
    <w:p>
      <w:pPr>
        <w:ind w:left="2020" w:right="60" w:hanging="261"/>
        <w:spacing w:after="0" w:line="246" w:lineRule="auto"/>
        <w:tabs>
          <w:tab w:leader="none" w:pos="2020" w:val="left"/>
        </w:tabs>
        <w:numPr>
          <w:ilvl w:val="1"/>
          <w:numId w:val="29"/>
        </w:numPr>
        <w:rPr>
          <w:rFonts w:ascii="Arial" w:cs="Arial" w:eastAsia="Arial" w:hAnsi="Arial"/>
          <w:sz w:val="14"/>
          <w:szCs w:val="14"/>
          <w:color w:val="auto"/>
        </w:rPr>
      </w:pPr>
      <w:r>
        <w:rPr>
          <w:rFonts w:ascii="Arial" w:cs="Arial" w:eastAsia="Arial" w:hAnsi="Arial"/>
          <w:sz w:val="14"/>
          <w:szCs w:val="14"/>
          <w:color w:val="auto"/>
        </w:rPr>
        <w:t>Sign and return a proxy card without giving specific voting instructions, then the persons named as proxy holders will vote your shares in the manner recommended by our Board of Directors on all matters presented in this proxy statement and as the proxy holders may determine in their discretion with respect to any other matters properly presented for a vote at the Annual Meeting.</w:t>
      </w:r>
    </w:p>
    <w:p>
      <w:pPr>
        <w:spacing w:after="0" w:line="125" w:lineRule="exact"/>
        <w:rPr>
          <w:sz w:val="20"/>
          <w:szCs w:val="20"/>
          <w:color w:val="auto"/>
        </w:rPr>
      </w:pPr>
    </w:p>
    <w:p>
      <w:pPr>
        <w:ind w:left="1400" w:right="100"/>
        <w:spacing w:after="0" w:line="239" w:lineRule="auto"/>
        <w:rPr>
          <w:sz w:val="20"/>
          <w:szCs w:val="20"/>
          <w:color w:val="auto"/>
        </w:rPr>
      </w:pPr>
      <w:r>
        <w:rPr>
          <w:rFonts w:ascii="Arial" w:cs="Arial" w:eastAsia="Arial" w:hAnsi="Arial"/>
          <w:sz w:val="14"/>
          <w:szCs w:val="14"/>
          <w:i w:val="1"/>
          <w:iCs w:val="1"/>
          <w:color w:val="auto"/>
        </w:rPr>
        <w:t>Beneficial owners</w:t>
      </w:r>
      <w:r>
        <w:rPr>
          <w:rFonts w:ascii="Arial" w:cs="Arial" w:eastAsia="Arial" w:hAnsi="Arial"/>
          <w:sz w:val="14"/>
          <w:szCs w:val="14"/>
          <w:color w:val="auto"/>
        </w:rPr>
        <w:t>—If you are a beneficial owner of shares held in street name and do not provide the organization that holds your shares with</w:t>
      </w:r>
      <w:r>
        <w:rPr>
          <w:rFonts w:ascii="Arial" w:cs="Arial" w:eastAsia="Arial" w:hAnsi="Arial"/>
          <w:sz w:val="14"/>
          <w:szCs w:val="14"/>
          <w:i w:val="1"/>
          <w:iCs w:val="1"/>
          <w:color w:val="auto"/>
        </w:rPr>
        <w:t xml:space="preserve"> </w:t>
      </w:r>
      <w:r>
        <w:rPr>
          <w:rFonts w:ascii="Arial" w:cs="Arial" w:eastAsia="Arial" w:hAnsi="Arial"/>
          <w:sz w:val="14"/>
          <w:szCs w:val="14"/>
          <w:color w:val="auto"/>
        </w:rPr>
        <w:t>specific voting instructions then, under applicable rules, the organization that holds your shares may generally vote on “routine” matters but cannot vote on “non-routine” matters. However, several large brokers have recently eliminated the practice of discretionary voting of uninstructed shares, including on matters generally identified as “routine”.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165" w:lineRule="exact"/>
        <w:rPr>
          <w:sz w:val="20"/>
          <w:szCs w:val="20"/>
          <w:color w:val="auto"/>
        </w:rPr>
      </w:pPr>
    </w:p>
    <w:p>
      <w:pPr>
        <w:ind w:left="1380" w:hanging="353"/>
        <w:spacing w:after="0"/>
        <w:tabs>
          <w:tab w:leader="none" w:pos="1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WHAT PROPOSALS WILL BE VOTED ON AT THE ANNUAL MEETING?</w:t>
      </w:r>
    </w:p>
    <w:p>
      <w:pPr>
        <w:spacing w:after="0" w:line="177" w:lineRule="exact"/>
        <w:rPr>
          <w:sz w:val="20"/>
          <w:szCs w:val="20"/>
          <w:color w:val="auto"/>
        </w:rPr>
      </w:pPr>
    </w:p>
    <w:p>
      <w:pPr>
        <w:ind w:left="1380" w:right="260" w:hanging="353"/>
        <w:spacing w:after="0" w:line="341" w:lineRule="auto"/>
        <w:tabs>
          <w:tab w:leader="none" w:pos="1380" w:val="left"/>
        </w:tabs>
        <w:numPr>
          <w:ilvl w:val="0"/>
          <w:numId w:val="31"/>
        </w:numPr>
        <w:rPr>
          <w:rFonts w:ascii="Arial" w:cs="Arial" w:eastAsia="Arial" w:hAnsi="Arial"/>
          <w:sz w:val="12"/>
          <w:szCs w:val="12"/>
          <w:b w:val="1"/>
          <w:bCs w:val="1"/>
          <w:color w:val="auto"/>
        </w:rPr>
      </w:pPr>
      <w:r>
        <w:rPr>
          <w:rFonts w:ascii="Arial" w:cs="Arial" w:eastAsia="Arial" w:hAnsi="Arial"/>
          <w:sz w:val="12"/>
          <w:szCs w:val="12"/>
          <w:color w:val="auto"/>
        </w:rPr>
        <w:t>The following chart sets forth the proposals scheduled for a vote at the Annual Meeting, our Board of Directors’ recommendation with respect to such proposals, the vote required for such proposals to be approved and whether broker discretionary voting is allowed on such proposal.</w:t>
      </w:r>
    </w:p>
    <w:p>
      <w:pPr>
        <w:sectPr>
          <w:pgSz w:w="11900" w:h="16838" w:orient="portrait"/>
          <w:cols w:equalWidth="0" w:num="1">
            <w:col w:w="10220"/>
          </w:cols>
          <w:pgMar w:left="320" w:top="425" w:right="1359" w:bottom="1440" w:gutter="0" w:footer="0" w:header="0"/>
          <w:type w:val="continuous"/>
        </w:sectPr>
      </w:pPr>
    </w:p>
    <w:p>
      <w:pPr>
        <w:spacing w:after="0" w:line="246" w:lineRule="exact"/>
        <w:rPr>
          <w:sz w:val="20"/>
          <w:szCs w:val="20"/>
          <w:color w:val="auto"/>
        </w:rPr>
      </w:pPr>
    </w:p>
    <w:p>
      <w:pPr>
        <w:ind w:left="1020"/>
        <w:spacing w:after="0"/>
        <w:rPr>
          <w:sz w:val="20"/>
          <w:szCs w:val="20"/>
          <w:color w:val="auto"/>
        </w:rPr>
      </w:pPr>
      <w:r>
        <w:rPr>
          <w:rFonts w:ascii="Arial" w:cs="Arial" w:eastAsia="Arial" w:hAnsi="Arial"/>
          <w:sz w:val="9"/>
          <w:szCs w:val="9"/>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51435</wp:posOffset>
            </wp:positionV>
            <wp:extent cx="608330" cy="293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330" cy="293370"/>
                    </a:xfrm>
                    <a:prstGeom prst="rect">
                      <a:avLst/>
                    </a:prstGeom>
                    <a:noFill/>
                  </pic:spPr>
                </pic:pic>
              </a:graphicData>
            </a:graphic>
          </wp:anchor>
        </w:drawing>
      </w:r>
    </w:p>
    <w:p>
      <w:pPr>
        <w:spacing w:after="0" w:line="92" w:lineRule="exact"/>
        <w:rPr>
          <w:sz w:val="20"/>
          <w:szCs w:val="20"/>
          <w:color w:val="auto"/>
        </w:rPr>
      </w:pPr>
    </w:p>
    <w:p>
      <w:pPr>
        <w:ind w:left="1440"/>
        <w:spacing w:after="0"/>
        <w:rPr>
          <w:sz w:val="20"/>
          <w:szCs w:val="20"/>
          <w:color w:val="auto"/>
        </w:rPr>
      </w:pPr>
      <w:r>
        <w:rPr>
          <w:rFonts w:ascii="Arial" w:cs="Arial" w:eastAsia="Arial" w:hAnsi="Arial"/>
          <w:sz w:val="27"/>
          <w:szCs w:val="27"/>
          <w:b w:val="1"/>
          <w:bCs w:val="1"/>
          <w:color w:val="2393FF"/>
        </w:rPr>
        <w:t>1</w:t>
      </w:r>
    </w:p>
    <w:p>
      <w:pPr>
        <w:spacing w:after="0" w:line="230" w:lineRule="exact"/>
        <w:rPr>
          <w:sz w:val="20"/>
          <w:szCs w:val="20"/>
          <w:color w:val="auto"/>
        </w:rPr>
      </w:pPr>
    </w:p>
    <w:p>
      <w:pPr>
        <w:ind w:left="1440"/>
        <w:spacing w:after="0"/>
        <w:rPr>
          <w:sz w:val="20"/>
          <w:szCs w:val="20"/>
          <w:color w:val="auto"/>
        </w:rPr>
      </w:pPr>
      <w:r>
        <w:rPr>
          <w:rFonts w:ascii="Arial" w:cs="Arial" w:eastAsia="Arial" w:hAnsi="Arial"/>
          <w:sz w:val="27"/>
          <w:szCs w:val="27"/>
          <w:b w:val="1"/>
          <w:bCs w:val="1"/>
          <w:color w:val="2393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126365</wp:posOffset>
            </wp:positionV>
            <wp:extent cx="608330" cy="293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8330" cy="293370"/>
                    </a:xfrm>
                    <a:prstGeom prst="rect">
                      <a:avLst/>
                    </a:prstGeom>
                    <a:noFill/>
                  </pic:spPr>
                </pic:pic>
              </a:graphicData>
            </a:graphic>
          </wp:anchor>
        </w:drawing>
      </w:r>
    </w:p>
    <w:p>
      <w:pPr>
        <w:spacing w:after="0" w:line="210" w:lineRule="exact"/>
        <w:rPr>
          <w:sz w:val="20"/>
          <w:szCs w:val="20"/>
          <w:color w:val="auto"/>
        </w:rPr>
      </w:pPr>
    </w:p>
    <w:p>
      <w:pPr>
        <w:ind w:left="1440"/>
        <w:spacing w:after="0"/>
        <w:rPr>
          <w:sz w:val="20"/>
          <w:szCs w:val="20"/>
          <w:color w:val="auto"/>
        </w:rPr>
      </w:pPr>
      <w:r>
        <w:rPr>
          <w:rFonts w:ascii="Arial" w:cs="Arial" w:eastAsia="Arial" w:hAnsi="Arial"/>
          <w:sz w:val="27"/>
          <w:szCs w:val="27"/>
          <w:b w:val="1"/>
          <w:bCs w:val="1"/>
          <w:color w:val="2393FF"/>
        </w:rPr>
        <w:t>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1280" w:type="dxa"/>
            <w:vAlign w:val="bottom"/>
          </w:tcPr>
          <w:p>
            <w:pPr>
              <w:jc w:val="center"/>
              <w:ind w:right="38"/>
              <w:spacing w:after="0"/>
              <w:rPr>
                <w:sz w:val="20"/>
                <w:szCs w:val="20"/>
                <w:color w:val="auto"/>
              </w:rPr>
            </w:pPr>
            <w:r>
              <w:rPr>
                <w:rFonts w:ascii="Arial" w:cs="Arial" w:eastAsia="Arial" w:hAnsi="Arial"/>
                <w:sz w:val="11"/>
                <w:szCs w:val="11"/>
                <w:b w:val="1"/>
                <w:bCs w:val="1"/>
                <w:color w:val="auto"/>
                <w:w w:val="94"/>
              </w:rPr>
              <w:t>BOARD</w:t>
            </w:r>
          </w:p>
        </w:tc>
        <w:tc>
          <w:tcPr>
            <w:tcW w:w="122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95"/>
              </w:rPr>
              <w:t>BROKER DISCRETIONARY</w:t>
            </w:r>
          </w:p>
        </w:tc>
        <w:tc>
          <w:tcPr>
            <w:tcW w:w="0" w:type="dxa"/>
            <w:vAlign w:val="bottom"/>
          </w:tcPr>
          <w:p>
            <w:pPr>
              <w:spacing w:after="0"/>
              <w:rPr>
                <w:sz w:val="1"/>
                <w:szCs w:val="1"/>
                <w:color w:val="auto"/>
              </w:rPr>
            </w:pPr>
          </w:p>
        </w:tc>
      </w:tr>
      <w:tr>
        <w:trPr>
          <w:trHeight w:val="154"/>
        </w:trPr>
        <w:tc>
          <w:tcPr>
            <w:tcW w:w="4040" w:type="dxa"/>
            <w:vAlign w:val="bottom"/>
          </w:tcPr>
          <w:p>
            <w:pPr>
              <w:spacing w:after="0"/>
              <w:rPr>
                <w:sz w:val="13"/>
                <w:szCs w:val="13"/>
                <w:color w:val="auto"/>
              </w:rPr>
            </w:pPr>
          </w:p>
        </w:tc>
        <w:tc>
          <w:tcPr>
            <w:tcW w:w="1280" w:type="dxa"/>
            <w:vAlign w:val="bottom"/>
          </w:tcPr>
          <w:p>
            <w:pPr>
              <w:jc w:val="center"/>
              <w:ind w:right="38"/>
              <w:spacing w:after="0"/>
              <w:rPr>
                <w:sz w:val="20"/>
                <w:szCs w:val="20"/>
                <w:color w:val="auto"/>
              </w:rPr>
            </w:pPr>
            <w:r>
              <w:rPr>
                <w:rFonts w:ascii="Arial" w:cs="Arial" w:eastAsia="Arial" w:hAnsi="Arial"/>
                <w:sz w:val="11"/>
                <w:szCs w:val="11"/>
                <w:b w:val="1"/>
                <w:bCs w:val="1"/>
                <w:color w:val="auto"/>
                <w:w w:val="94"/>
              </w:rPr>
              <w:t>RECOMMENDATION</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4"/>
              </w:rPr>
              <w:t>VOTE REQUIRED</w:t>
            </w:r>
          </w:p>
        </w:tc>
        <w:tc>
          <w:tcPr>
            <w:tcW w:w="1700" w:type="dxa"/>
            <w:vAlign w:val="bottom"/>
          </w:tcPr>
          <w:p>
            <w:pPr>
              <w:jc w:val="center"/>
              <w:spacing w:after="0"/>
              <w:rPr>
                <w:sz w:val="20"/>
                <w:szCs w:val="20"/>
                <w:color w:val="auto"/>
              </w:rPr>
            </w:pPr>
            <w:r>
              <w:rPr>
                <w:rFonts w:ascii="Arial" w:cs="Arial" w:eastAsia="Arial" w:hAnsi="Arial"/>
                <w:sz w:val="11"/>
                <w:szCs w:val="11"/>
                <w:b w:val="1"/>
                <w:bCs w:val="1"/>
                <w:color w:val="auto"/>
                <w:w w:val="95"/>
              </w:rPr>
              <w:t>VOTING ALLOWED</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E8F4FF"/>
          </w:tcPr>
          <w:p>
            <w:pPr>
              <w:ind w:left="280"/>
              <w:spacing w:after="0"/>
              <w:rPr>
                <w:sz w:val="20"/>
                <w:szCs w:val="20"/>
                <w:color w:val="auto"/>
              </w:rPr>
            </w:pPr>
            <w:r>
              <w:rPr>
                <w:rFonts w:ascii="Arial" w:cs="Arial" w:eastAsia="Arial" w:hAnsi="Arial"/>
                <w:sz w:val="14"/>
                <w:szCs w:val="14"/>
                <w:color w:val="auto"/>
              </w:rPr>
              <w:t>Elect three directors to serve as Class II directors until the</w:t>
            </w:r>
          </w:p>
        </w:tc>
        <w:tc>
          <w:tcPr>
            <w:tcW w:w="1280" w:type="dxa"/>
            <w:vAlign w:val="bottom"/>
            <w:vMerge w:val="restart"/>
            <w:shd w:val="clear" w:color="auto" w:fill="E8F4FF"/>
          </w:tcPr>
          <w:p>
            <w:pPr>
              <w:jc w:val="center"/>
              <w:ind w:right="18"/>
              <w:spacing w:after="0"/>
              <w:rPr>
                <w:sz w:val="20"/>
                <w:szCs w:val="20"/>
                <w:color w:val="auto"/>
              </w:rPr>
            </w:pPr>
            <w:r>
              <w:rPr>
                <w:rFonts w:ascii="Arial" w:cs="Arial" w:eastAsia="Arial" w:hAnsi="Arial"/>
                <w:sz w:val="14"/>
                <w:szCs w:val="14"/>
                <w:color w:val="auto"/>
                <w:w w:val="94"/>
              </w:rPr>
              <w:t>FOR</w:t>
            </w:r>
          </w:p>
        </w:tc>
        <w:tc>
          <w:tcPr>
            <w:tcW w:w="1220" w:type="dxa"/>
            <w:vAlign w:val="bottom"/>
            <w:vMerge w:val="restart"/>
            <w:shd w:val="clear" w:color="auto" w:fill="E8F4FF"/>
          </w:tcPr>
          <w:p>
            <w:pPr>
              <w:jc w:val="center"/>
              <w:spacing w:after="0"/>
              <w:rPr>
                <w:sz w:val="20"/>
                <w:szCs w:val="20"/>
                <w:color w:val="auto"/>
              </w:rPr>
            </w:pPr>
            <w:r>
              <w:rPr>
                <w:rFonts w:ascii="Arial" w:cs="Arial" w:eastAsia="Arial" w:hAnsi="Arial"/>
                <w:sz w:val="14"/>
                <w:szCs w:val="14"/>
                <w:color w:val="auto"/>
                <w:w w:val="96"/>
              </w:rPr>
              <w:t>Plurality</w:t>
            </w:r>
          </w:p>
        </w:tc>
        <w:tc>
          <w:tcPr>
            <w:tcW w:w="1700" w:type="dxa"/>
            <w:vAlign w:val="bottom"/>
            <w:vMerge w:val="restart"/>
            <w:shd w:val="clear" w:color="auto" w:fill="E8F4FF"/>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97"/>
        </w:trPr>
        <w:tc>
          <w:tcPr>
            <w:tcW w:w="4040" w:type="dxa"/>
            <w:vAlign w:val="bottom"/>
            <w:vMerge w:val="restart"/>
            <w:shd w:val="clear" w:color="auto" w:fill="E8F4FF"/>
          </w:tcPr>
          <w:p>
            <w:pPr>
              <w:ind w:left="280"/>
              <w:spacing w:after="0"/>
              <w:rPr>
                <w:sz w:val="20"/>
                <w:szCs w:val="20"/>
                <w:color w:val="auto"/>
              </w:rPr>
            </w:pPr>
            <w:r>
              <w:rPr>
                <w:rFonts w:ascii="Arial" w:cs="Arial" w:eastAsia="Arial" w:hAnsi="Arial"/>
                <w:sz w:val="14"/>
                <w:szCs w:val="14"/>
                <w:color w:val="auto"/>
              </w:rPr>
              <w:t>2029 Annual Meeting of Stockholders</w:t>
            </w:r>
          </w:p>
        </w:tc>
        <w:tc>
          <w:tcPr>
            <w:tcW w:w="1280" w:type="dxa"/>
            <w:vAlign w:val="bottom"/>
            <w:vMerge w:val="continue"/>
            <w:shd w:val="clear" w:color="auto" w:fill="E8F4FF"/>
          </w:tcPr>
          <w:p>
            <w:pPr>
              <w:spacing w:after="0"/>
              <w:rPr>
                <w:sz w:val="8"/>
                <w:szCs w:val="8"/>
                <w:color w:val="auto"/>
              </w:rPr>
            </w:pPr>
          </w:p>
        </w:tc>
        <w:tc>
          <w:tcPr>
            <w:tcW w:w="1220" w:type="dxa"/>
            <w:vAlign w:val="bottom"/>
            <w:vMerge w:val="continue"/>
            <w:shd w:val="clear" w:color="auto" w:fill="E8F4FF"/>
          </w:tcPr>
          <w:p>
            <w:pPr>
              <w:spacing w:after="0"/>
              <w:rPr>
                <w:sz w:val="8"/>
                <w:szCs w:val="8"/>
                <w:color w:val="auto"/>
              </w:rPr>
            </w:pPr>
          </w:p>
        </w:tc>
        <w:tc>
          <w:tcPr>
            <w:tcW w:w="1700" w:type="dxa"/>
            <w:vAlign w:val="bottom"/>
            <w:vMerge w:val="continue"/>
            <w:shd w:val="clear" w:color="auto" w:fill="E8F4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040" w:type="dxa"/>
            <w:vAlign w:val="bottom"/>
            <w:vMerge w:val="continue"/>
            <w:shd w:val="clear" w:color="auto" w:fill="E8F4FF"/>
          </w:tcPr>
          <w:p>
            <w:pPr>
              <w:spacing w:after="0"/>
              <w:rPr>
                <w:sz w:val="6"/>
                <w:szCs w:val="6"/>
                <w:color w:val="auto"/>
              </w:rPr>
            </w:pPr>
          </w:p>
        </w:tc>
        <w:tc>
          <w:tcPr>
            <w:tcW w:w="1280" w:type="dxa"/>
            <w:vAlign w:val="bottom"/>
            <w:shd w:val="clear" w:color="auto" w:fill="E8F4FF"/>
          </w:tcPr>
          <w:p>
            <w:pPr>
              <w:spacing w:after="0"/>
              <w:rPr>
                <w:sz w:val="6"/>
                <w:szCs w:val="6"/>
                <w:color w:val="auto"/>
              </w:rPr>
            </w:pPr>
          </w:p>
        </w:tc>
        <w:tc>
          <w:tcPr>
            <w:tcW w:w="1220" w:type="dxa"/>
            <w:vAlign w:val="bottom"/>
            <w:shd w:val="clear" w:color="auto" w:fill="E8F4FF"/>
          </w:tcPr>
          <w:p>
            <w:pPr>
              <w:spacing w:after="0"/>
              <w:rPr>
                <w:sz w:val="6"/>
                <w:szCs w:val="6"/>
                <w:color w:val="auto"/>
              </w:rPr>
            </w:pPr>
          </w:p>
        </w:tc>
        <w:tc>
          <w:tcPr>
            <w:tcW w:w="1700" w:type="dxa"/>
            <w:vAlign w:val="bottom"/>
            <w:shd w:val="clear" w:color="auto" w:fill="E8F4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040" w:type="dxa"/>
            <w:vAlign w:val="bottom"/>
            <w:shd w:val="clear" w:color="auto" w:fill="E8F4FF"/>
          </w:tcPr>
          <w:p>
            <w:pPr>
              <w:spacing w:after="0"/>
              <w:rPr>
                <w:sz w:val="7"/>
                <w:szCs w:val="7"/>
                <w:color w:val="auto"/>
              </w:rPr>
            </w:pPr>
          </w:p>
        </w:tc>
        <w:tc>
          <w:tcPr>
            <w:tcW w:w="1280" w:type="dxa"/>
            <w:vAlign w:val="bottom"/>
            <w:shd w:val="clear" w:color="auto" w:fill="E8F4FF"/>
          </w:tcPr>
          <w:p>
            <w:pPr>
              <w:spacing w:after="0"/>
              <w:rPr>
                <w:sz w:val="7"/>
                <w:szCs w:val="7"/>
                <w:color w:val="auto"/>
              </w:rPr>
            </w:pPr>
          </w:p>
        </w:tc>
        <w:tc>
          <w:tcPr>
            <w:tcW w:w="1220" w:type="dxa"/>
            <w:vAlign w:val="bottom"/>
            <w:shd w:val="clear" w:color="auto" w:fill="E8F4FF"/>
          </w:tcPr>
          <w:p>
            <w:pPr>
              <w:spacing w:after="0"/>
              <w:rPr>
                <w:sz w:val="7"/>
                <w:szCs w:val="7"/>
                <w:color w:val="auto"/>
              </w:rPr>
            </w:pPr>
          </w:p>
        </w:tc>
        <w:tc>
          <w:tcPr>
            <w:tcW w:w="1700" w:type="dxa"/>
            <w:vAlign w:val="bottom"/>
            <w:shd w:val="clear" w:color="auto" w:fill="E8F4FF"/>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4040" w:type="dxa"/>
            <w:vAlign w:val="bottom"/>
          </w:tcPr>
          <w:p>
            <w:pPr>
              <w:ind w:left="280"/>
              <w:spacing w:after="0"/>
              <w:rPr>
                <w:sz w:val="20"/>
                <w:szCs w:val="20"/>
                <w:color w:val="auto"/>
              </w:rPr>
            </w:pPr>
            <w:r>
              <w:rPr>
                <w:rFonts w:ascii="Arial" w:cs="Arial" w:eastAsia="Arial" w:hAnsi="Arial"/>
                <w:sz w:val="14"/>
                <w:szCs w:val="14"/>
                <w:color w:val="auto"/>
              </w:rPr>
              <w:t>Ratify the appointment of PricewaterhouseCoopers LLP as</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80"/>
              <w:spacing w:after="0" w:line="158" w:lineRule="exact"/>
              <w:rPr>
                <w:sz w:val="20"/>
                <w:szCs w:val="20"/>
                <w:color w:val="auto"/>
              </w:rPr>
            </w:pPr>
            <w:r>
              <w:rPr>
                <w:rFonts w:ascii="Arial" w:cs="Arial" w:eastAsia="Arial" w:hAnsi="Arial"/>
                <w:sz w:val="14"/>
                <w:szCs w:val="14"/>
                <w:color w:val="auto"/>
              </w:rPr>
              <w:t>Flywire Corporation’s independent registered public</w:t>
            </w:r>
          </w:p>
        </w:tc>
        <w:tc>
          <w:tcPr>
            <w:tcW w:w="1280" w:type="dxa"/>
            <w:vAlign w:val="bottom"/>
          </w:tcPr>
          <w:p>
            <w:pPr>
              <w:jc w:val="center"/>
              <w:ind w:right="18"/>
              <w:spacing w:after="0" w:line="158" w:lineRule="exact"/>
              <w:rPr>
                <w:sz w:val="20"/>
                <w:szCs w:val="20"/>
                <w:color w:val="auto"/>
              </w:rPr>
            </w:pPr>
            <w:r>
              <w:rPr>
                <w:rFonts w:ascii="Arial" w:cs="Arial" w:eastAsia="Arial" w:hAnsi="Arial"/>
                <w:sz w:val="14"/>
                <w:szCs w:val="14"/>
                <w:color w:val="auto"/>
                <w:w w:val="94"/>
              </w:rPr>
              <w:t>FOR</w:t>
            </w:r>
          </w:p>
        </w:tc>
        <w:tc>
          <w:tcPr>
            <w:tcW w:w="1220" w:type="dxa"/>
            <w:vAlign w:val="bottom"/>
          </w:tcPr>
          <w:p>
            <w:pPr>
              <w:jc w:val="center"/>
              <w:spacing w:after="0" w:line="158" w:lineRule="exact"/>
              <w:rPr>
                <w:sz w:val="20"/>
                <w:szCs w:val="20"/>
                <w:color w:val="auto"/>
              </w:rPr>
            </w:pPr>
            <w:r>
              <w:rPr>
                <w:rFonts w:ascii="Arial" w:cs="Arial" w:eastAsia="Arial" w:hAnsi="Arial"/>
                <w:sz w:val="14"/>
                <w:szCs w:val="14"/>
                <w:color w:val="auto"/>
                <w:w w:val="96"/>
              </w:rPr>
              <w:t>Majority Voted</w:t>
            </w:r>
          </w:p>
        </w:tc>
        <w:tc>
          <w:tcPr>
            <w:tcW w:w="1700" w:type="dxa"/>
            <w:vAlign w:val="bottom"/>
          </w:tcPr>
          <w:p>
            <w:pPr>
              <w:jc w:val="center"/>
              <w:spacing w:after="0" w:line="158" w:lineRule="exact"/>
              <w:rPr>
                <w:sz w:val="20"/>
                <w:szCs w:val="20"/>
                <w:color w:val="auto"/>
              </w:rPr>
            </w:pPr>
            <w:r>
              <w:rPr>
                <w:rFonts w:ascii="Arial" w:cs="Arial" w:eastAsia="Arial" w:hAnsi="Arial"/>
                <w:sz w:val="14"/>
                <w:szCs w:val="14"/>
                <w:color w:val="auto"/>
                <w:w w:val="90"/>
              </w:rPr>
              <w:t>Yes</w:t>
            </w:r>
          </w:p>
        </w:tc>
        <w:tc>
          <w:tcPr>
            <w:tcW w:w="0" w:type="dxa"/>
            <w:vAlign w:val="bottom"/>
          </w:tcPr>
          <w:p>
            <w:pPr>
              <w:spacing w:after="0"/>
              <w:rPr>
                <w:sz w:val="1"/>
                <w:szCs w:val="1"/>
                <w:color w:val="auto"/>
              </w:rPr>
            </w:pPr>
          </w:p>
        </w:tc>
      </w:tr>
      <w:tr>
        <w:trPr>
          <w:trHeight w:val="176"/>
        </w:trPr>
        <w:tc>
          <w:tcPr>
            <w:tcW w:w="4040" w:type="dxa"/>
            <w:vAlign w:val="bottom"/>
          </w:tcPr>
          <w:p>
            <w:pPr>
              <w:ind w:left="280"/>
              <w:spacing w:after="0"/>
              <w:rPr>
                <w:sz w:val="20"/>
                <w:szCs w:val="20"/>
                <w:color w:val="auto"/>
              </w:rPr>
            </w:pPr>
            <w:r>
              <w:rPr>
                <w:rFonts w:ascii="Arial" w:cs="Arial" w:eastAsia="Arial" w:hAnsi="Arial"/>
                <w:sz w:val="14"/>
                <w:szCs w:val="14"/>
                <w:color w:val="auto"/>
              </w:rPr>
              <w:t>accounting firm for the year ending December 31, 2026</w:t>
            </w: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4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E8F4FF"/>
          </w:tcPr>
          <w:p>
            <w:pPr>
              <w:ind w:left="280"/>
              <w:spacing w:after="0"/>
              <w:rPr>
                <w:sz w:val="20"/>
                <w:szCs w:val="20"/>
                <w:color w:val="auto"/>
              </w:rPr>
            </w:pPr>
            <w:r>
              <w:rPr>
                <w:rFonts w:ascii="Arial" w:cs="Arial" w:eastAsia="Arial" w:hAnsi="Arial"/>
                <w:sz w:val="14"/>
                <w:szCs w:val="14"/>
                <w:color w:val="auto"/>
                <w:w w:val="98"/>
              </w:rPr>
              <w:t>Approve, on a non-binding, advisory basis, the compensation</w:t>
            </w:r>
          </w:p>
        </w:tc>
        <w:tc>
          <w:tcPr>
            <w:tcW w:w="1280" w:type="dxa"/>
            <w:vAlign w:val="bottom"/>
            <w:vMerge w:val="restart"/>
            <w:shd w:val="clear" w:color="auto" w:fill="E8F4FF"/>
          </w:tcPr>
          <w:p>
            <w:pPr>
              <w:jc w:val="center"/>
              <w:ind w:right="18"/>
              <w:spacing w:after="0"/>
              <w:rPr>
                <w:sz w:val="20"/>
                <w:szCs w:val="20"/>
                <w:color w:val="auto"/>
              </w:rPr>
            </w:pPr>
            <w:r>
              <w:rPr>
                <w:rFonts w:ascii="Arial" w:cs="Arial" w:eastAsia="Arial" w:hAnsi="Arial"/>
                <w:sz w:val="14"/>
                <w:szCs w:val="14"/>
                <w:color w:val="auto"/>
                <w:w w:val="94"/>
              </w:rPr>
              <w:t>FOR</w:t>
            </w:r>
          </w:p>
        </w:tc>
        <w:tc>
          <w:tcPr>
            <w:tcW w:w="1220" w:type="dxa"/>
            <w:vAlign w:val="bottom"/>
            <w:vMerge w:val="restart"/>
            <w:shd w:val="clear" w:color="auto" w:fill="E8F4FF"/>
          </w:tcPr>
          <w:p>
            <w:pPr>
              <w:jc w:val="center"/>
              <w:spacing w:after="0"/>
              <w:rPr>
                <w:sz w:val="20"/>
                <w:szCs w:val="20"/>
                <w:color w:val="auto"/>
              </w:rPr>
            </w:pPr>
            <w:r>
              <w:rPr>
                <w:rFonts w:ascii="Arial" w:cs="Arial" w:eastAsia="Arial" w:hAnsi="Arial"/>
                <w:sz w:val="14"/>
                <w:szCs w:val="14"/>
                <w:color w:val="auto"/>
                <w:w w:val="96"/>
              </w:rPr>
              <w:t>Majority Voted</w:t>
            </w:r>
          </w:p>
        </w:tc>
        <w:tc>
          <w:tcPr>
            <w:tcW w:w="1700" w:type="dxa"/>
            <w:vAlign w:val="bottom"/>
            <w:vMerge w:val="restart"/>
            <w:shd w:val="clear" w:color="auto" w:fill="E8F4FF"/>
          </w:tcPr>
          <w:p>
            <w:pPr>
              <w:jc w:val="center"/>
              <w:spacing w:after="0"/>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97"/>
        </w:trPr>
        <w:tc>
          <w:tcPr>
            <w:tcW w:w="4040" w:type="dxa"/>
            <w:vAlign w:val="bottom"/>
            <w:vMerge w:val="restart"/>
            <w:shd w:val="clear" w:color="auto" w:fill="E8F4FF"/>
          </w:tcPr>
          <w:p>
            <w:pPr>
              <w:ind w:left="280"/>
              <w:spacing w:after="0"/>
              <w:rPr>
                <w:sz w:val="20"/>
                <w:szCs w:val="20"/>
                <w:color w:val="auto"/>
              </w:rPr>
            </w:pPr>
            <w:r>
              <w:rPr>
                <w:rFonts w:ascii="Arial" w:cs="Arial" w:eastAsia="Arial" w:hAnsi="Arial"/>
                <w:sz w:val="14"/>
                <w:szCs w:val="14"/>
                <w:color w:val="auto"/>
              </w:rPr>
              <w:t>of Flywire Corporation’s named executive officers</w:t>
            </w:r>
          </w:p>
        </w:tc>
        <w:tc>
          <w:tcPr>
            <w:tcW w:w="1280" w:type="dxa"/>
            <w:vAlign w:val="bottom"/>
            <w:vMerge w:val="continue"/>
            <w:shd w:val="clear" w:color="auto" w:fill="E8F4FF"/>
          </w:tcPr>
          <w:p>
            <w:pPr>
              <w:spacing w:after="0"/>
              <w:rPr>
                <w:sz w:val="8"/>
                <w:szCs w:val="8"/>
                <w:color w:val="auto"/>
              </w:rPr>
            </w:pPr>
          </w:p>
        </w:tc>
        <w:tc>
          <w:tcPr>
            <w:tcW w:w="1220" w:type="dxa"/>
            <w:vAlign w:val="bottom"/>
            <w:vMerge w:val="continue"/>
            <w:shd w:val="clear" w:color="auto" w:fill="E8F4FF"/>
          </w:tcPr>
          <w:p>
            <w:pPr>
              <w:spacing w:after="0"/>
              <w:rPr>
                <w:sz w:val="8"/>
                <w:szCs w:val="8"/>
                <w:color w:val="auto"/>
              </w:rPr>
            </w:pPr>
          </w:p>
        </w:tc>
        <w:tc>
          <w:tcPr>
            <w:tcW w:w="1700" w:type="dxa"/>
            <w:vAlign w:val="bottom"/>
            <w:vMerge w:val="continue"/>
            <w:shd w:val="clear" w:color="auto" w:fill="E8F4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040" w:type="dxa"/>
            <w:vAlign w:val="bottom"/>
            <w:vMerge w:val="continue"/>
            <w:shd w:val="clear" w:color="auto" w:fill="E8F4FF"/>
          </w:tcPr>
          <w:p>
            <w:pPr>
              <w:spacing w:after="0"/>
              <w:rPr>
                <w:sz w:val="6"/>
                <w:szCs w:val="6"/>
                <w:color w:val="auto"/>
              </w:rPr>
            </w:pPr>
          </w:p>
        </w:tc>
        <w:tc>
          <w:tcPr>
            <w:tcW w:w="1280" w:type="dxa"/>
            <w:vAlign w:val="bottom"/>
            <w:shd w:val="clear" w:color="auto" w:fill="E8F4FF"/>
          </w:tcPr>
          <w:p>
            <w:pPr>
              <w:spacing w:after="0"/>
              <w:rPr>
                <w:sz w:val="6"/>
                <w:szCs w:val="6"/>
                <w:color w:val="auto"/>
              </w:rPr>
            </w:pPr>
          </w:p>
        </w:tc>
        <w:tc>
          <w:tcPr>
            <w:tcW w:w="1220" w:type="dxa"/>
            <w:vAlign w:val="bottom"/>
            <w:shd w:val="clear" w:color="auto" w:fill="E8F4FF"/>
          </w:tcPr>
          <w:p>
            <w:pPr>
              <w:spacing w:after="0"/>
              <w:rPr>
                <w:sz w:val="6"/>
                <w:szCs w:val="6"/>
                <w:color w:val="auto"/>
              </w:rPr>
            </w:pPr>
          </w:p>
        </w:tc>
        <w:tc>
          <w:tcPr>
            <w:tcW w:w="1700" w:type="dxa"/>
            <w:vAlign w:val="bottom"/>
            <w:shd w:val="clear" w:color="auto" w:fill="E8F4FF"/>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4040" w:type="dxa"/>
            <w:vAlign w:val="bottom"/>
            <w:shd w:val="clear" w:color="auto" w:fill="E8F4FF"/>
          </w:tcPr>
          <w:p>
            <w:pPr>
              <w:spacing w:after="0"/>
              <w:rPr>
                <w:sz w:val="7"/>
                <w:szCs w:val="7"/>
                <w:color w:val="auto"/>
              </w:rPr>
            </w:pPr>
          </w:p>
        </w:tc>
        <w:tc>
          <w:tcPr>
            <w:tcW w:w="1280" w:type="dxa"/>
            <w:vAlign w:val="bottom"/>
            <w:shd w:val="clear" w:color="auto" w:fill="E8F4FF"/>
          </w:tcPr>
          <w:p>
            <w:pPr>
              <w:spacing w:after="0"/>
              <w:rPr>
                <w:sz w:val="7"/>
                <w:szCs w:val="7"/>
                <w:color w:val="auto"/>
              </w:rPr>
            </w:pPr>
          </w:p>
        </w:tc>
        <w:tc>
          <w:tcPr>
            <w:tcW w:w="1220" w:type="dxa"/>
            <w:vAlign w:val="bottom"/>
            <w:shd w:val="clear" w:color="auto" w:fill="E8F4FF"/>
          </w:tcPr>
          <w:p>
            <w:pPr>
              <w:spacing w:after="0"/>
              <w:rPr>
                <w:sz w:val="7"/>
                <w:szCs w:val="7"/>
                <w:color w:val="auto"/>
              </w:rPr>
            </w:pPr>
          </w:p>
        </w:tc>
        <w:tc>
          <w:tcPr>
            <w:tcW w:w="1700" w:type="dxa"/>
            <w:vAlign w:val="bottom"/>
            <w:shd w:val="clear" w:color="auto" w:fill="E8F4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0</wp:posOffset>
            </wp:positionV>
            <wp:extent cx="583819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1620" w:space="360"/>
            <w:col w:w="8240"/>
          </w:cols>
          <w:pgMar w:left="320" w:top="425" w:right="1359" w:bottom="1440" w:gutter="0" w:footer="0" w:header="0"/>
          <w:type w:val="continuous"/>
        </w:sectPr>
      </w:pPr>
    </w:p>
    <w:p>
      <w:pPr>
        <w:jc w:val="both"/>
        <w:ind w:left="1400" w:right="160"/>
        <w:spacing w:after="0" w:line="242" w:lineRule="auto"/>
        <w:rPr>
          <w:sz w:val="20"/>
          <w:szCs w:val="20"/>
          <w:color w:val="auto"/>
        </w:rPr>
      </w:pPr>
      <w:r>
        <w:rPr>
          <w:rFonts w:ascii="Arial" w:cs="Arial" w:eastAsia="Arial" w:hAnsi="Arial"/>
          <w:sz w:val="14"/>
          <w:szCs w:val="14"/>
          <w:i w:val="1"/>
          <w:iCs w:val="1"/>
          <w:color w:val="auto"/>
        </w:rPr>
        <w:t>Plurality—Directors will be elected by a plurality of the votes cast at the meeting. Consequently, the director nominees receiving the most votes of the holders of our common stock will be elected as directors. Only votes cast FOR a nominee will be counted. A properly executed proxy marked “WITHHOLD” and “broker non-votes” with respect to the election of one or more directors will not be voted with respect to the director or directors indicated.</w:t>
      </w:r>
    </w:p>
    <w:p>
      <w:pPr>
        <w:spacing w:after="0" w:line="101"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4 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jc w:val="both"/>
        <w:ind w:left="1400"/>
        <w:spacing w:after="0" w:line="246" w:lineRule="auto"/>
        <w:rPr>
          <w:sz w:val="20"/>
          <w:szCs w:val="20"/>
          <w:color w:val="auto"/>
        </w:rPr>
      </w:pPr>
      <w:r>
        <w:rPr>
          <w:rFonts w:ascii="Arial" w:cs="Arial" w:eastAsia="Arial" w:hAnsi="Arial"/>
          <w:sz w:val="14"/>
          <w:szCs w:val="14"/>
          <w:i w:val="1"/>
          <w:iCs w:val="1"/>
          <w:color w:val="auto"/>
        </w:rPr>
        <w:t>Majority Voted—The proposal will be approved by the affirmative vote of the holders of a majority of the shares of common stock that are present in person or represented by proxy at the meeting and are voted FOR or AGAINST the matter. Abstentions and broker non-votes will not be counted as votes cast either FOR or AGAINST this proposal and will have no effect on the outcome of the proposal.</w:t>
      </w:r>
    </w:p>
    <w:p>
      <w:pPr>
        <w:spacing w:after="0" w:line="125" w:lineRule="exact"/>
        <w:rPr>
          <w:sz w:val="20"/>
          <w:szCs w:val="20"/>
          <w:color w:val="auto"/>
        </w:rPr>
      </w:pPr>
    </w:p>
    <w:p>
      <w:pPr>
        <w:ind w:left="1400" w:right="300"/>
        <w:spacing w:after="0" w:line="258" w:lineRule="auto"/>
        <w:rPr>
          <w:sz w:val="20"/>
          <w:szCs w:val="20"/>
          <w:color w:val="auto"/>
        </w:rPr>
      </w:pPr>
      <w:r>
        <w:rPr>
          <w:rFonts w:ascii="Arial" w:cs="Arial" w:eastAsia="Arial" w:hAnsi="Arial"/>
          <w:sz w:val="14"/>
          <w:szCs w:val="14"/>
          <w:i w:val="1"/>
          <w:iCs w:val="1"/>
          <w:color w:val="auto"/>
        </w:rPr>
        <w:t>Broker Discretionary Voting—occurs when a broker does not receive voting instructions from the beneficial owner and votes those shares in its discretion on any proposal on which it is permitted to vote.</w:t>
      </w:r>
    </w:p>
    <w:p>
      <w:pPr>
        <w:spacing w:after="0" w:line="116" w:lineRule="exact"/>
        <w:rPr>
          <w:sz w:val="20"/>
          <w:szCs w:val="20"/>
          <w:color w:val="auto"/>
        </w:rPr>
      </w:pPr>
    </w:p>
    <w:p>
      <w:pPr>
        <w:jc w:val="both"/>
        <w:ind w:left="1400" w:right="160"/>
        <w:spacing w:after="0" w:line="246" w:lineRule="auto"/>
        <w:rPr>
          <w:sz w:val="20"/>
          <w:szCs w:val="20"/>
          <w:color w:val="auto"/>
        </w:rPr>
      </w:pPr>
      <w:r>
        <w:rPr>
          <w:rFonts w:ascii="Arial" w:cs="Arial" w:eastAsia="Arial" w:hAnsi="Arial"/>
          <w:sz w:val="14"/>
          <w:szCs w:val="14"/>
          <w:color w:val="auto"/>
        </w:rPr>
        <w:t>Even though your votes on Proposal 3 are advisory and therefore will not be binding on us, our Board of Directors or its People &amp; Compensation Committee will review the voting results and take them into consideration when making future decisions regarding executive compensation of our named executive officers.</w:t>
      </w:r>
    </w:p>
    <w:p>
      <w:pPr>
        <w:spacing w:after="0" w:line="158" w:lineRule="exact"/>
        <w:rPr>
          <w:sz w:val="20"/>
          <w:szCs w:val="20"/>
          <w:color w:val="auto"/>
        </w:rPr>
      </w:pPr>
    </w:p>
    <w:p>
      <w:pPr>
        <w:ind w:left="1380" w:hanging="353"/>
        <w:spacing w:after="0"/>
        <w:tabs>
          <w:tab w:leader="none" w:pos="1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WHAT HAPPENS IF ADDITIONAL MATTERS ARE PRESENTED AT THE ANNUAL MEETING?</w:t>
      </w:r>
    </w:p>
    <w:p>
      <w:pPr>
        <w:spacing w:after="0" w:line="177" w:lineRule="exact"/>
        <w:rPr>
          <w:sz w:val="20"/>
          <w:szCs w:val="20"/>
          <w:color w:val="auto"/>
        </w:rPr>
      </w:pPr>
    </w:p>
    <w:p>
      <w:pPr>
        <w:ind w:left="1380" w:right="300" w:hanging="353"/>
        <w:spacing w:after="0" w:line="242" w:lineRule="auto"/>
        <w:tabs>
          <w:tab w:leader="none" w:pos="138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62" w:lineRule="exact"/>
        <w:rPr>
          <w:sz w:val="20"/>
          <w:szCs w:val="20"/>
          <w:color w:val="auto"/>
        </w:rPr>
      </w:pPr>
    </w:p>
    <w:p>
      <w:pPr>
        <w:ind w:left="1380" w:hanging="353"/>
        <w:spacing w:after="0"/>
        <w:tabs>
          <w:tab w:leader="none" w:pos="1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CAN I CHANGE OR REVOKE MY VOTE?</w:t>
      </w:r>
    </w:p>
    <w:p>
      <w:pPr>
        <w:spacing w:after="0" w:line="177" w:lineRule="exact"/>
        <w:rPr>
          <w:sz w:val="20"/>
          <w:szCs w:val="20"/>
          <w:color w:val="auto"/>
        </w:rPr>
      </w:pPr>
    </w:p>
    <w:p>
      <w:pPr>
        <w:ind w:left="1380" w:right="200" w:hanging="353"/>
        <w:spacing w:after="0" w:line="258" w:lineRule="auto"/>
        <w:tabs>
          <w:tab w:leader="none" w:pos="1380" w:val="left"/>
        </w:tabs>
        <w:numPr>
          <w:ilvl w:val="0"/>
          <w:numId w:val="35"/>
        </w:numPr>
        <w:rPr>
          <w:rFonts w:ascii="Arial" w:cs="Arial" w:eastAsia="Arial" w:hAnsi="Arial"/>
          <w:sz w:val="14"/>
          <w:szCs w:val="14"/>
          <w:b w:val="1"/>
          <w:bCs w:val="1"/>
          <w:color w:val="auto"/>
        </w:rPr>
      </w:pPr>
      <w:r>
        <w:rPr>
          <w:rFonts w:ascii="Arial" w:cs="Arial" w:eastAsia="Arial" w:hAnsi="Arial"/>
          <w:sz w:val="14"/>
          <w:szCs w:val="14"/>
          <w:color w:val="auto"/>
        </w:rPr>
        <w:t>Subject to any rules your broker, trustee or nominee may have, you may change your proxy instructions at any time before your proxy is voted at the Annual Meeting.</w:t>
      </w:r>
    </w:p>
    <w:p>
      <w:pPr>
        <w:spacing w:after="0" w:line="127" w:lineRule="exact"/>
        <w:rPr>
          <w:rFonts w:ascii="Arial" w:cs="Arial" w:eastAsia="Arial" w:hAnsi="Arial"/>
          <w:sz w:val="14"/>
          <w:szCs w:val="14"/>
          <w:b w:val="1"/>
          <w:bCs w:val="1"/>
          <w:color w:val="auto"/>
        </w:rPr>
      </w:pPr>
    </w:p>
    <w:p>
      <w:pPr>
        <w:ind w:left="1400" w:right="220"/>
        <w:spacing w:after="0"/>
        <w:rPr>
          <w:rFonts w:ascii="Arial" w:cs="Arial" w:eastAsia="Arial" w:hAnsi="Arial"/>
          <w:sz w:val="14"/>
          <w:szCs w:val="14"/>
          <w:b w:val="1"/>
          <w:bCs w:val="1"/>
          <w:color w:val="auto"/>
        </w:rPr>
      </w:pPr>
      <w:r>
        <w:rPr>
          <w:rFonts w:ascii="Arial" w:cs="Arial" w:eastAsia="Arial" w:hAnsi="Arial"/>
          <w:sz w:val="14"/>
          <w:szCs w:val="14"/>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attending the Annual Meeting and voting in person (although attendance at the Annual Meeting will not, by itself, revoke a proxy). A stockholder of record that has voted via the internet or by telephone may also change his or her vote by later making a timely and valid internet or telephone vote.</w:t>
      </w:r>
    </w:p>
    <w:p>
      <w:pPr>
        <w:spacing w:after="0" w:line="130" w:lineRule="exact"/>
        <w:rPr>
          <w:rFonts w:ascii="Arial" w:cs="Arial" w:eastAsia="Arial" w:hAnsi="Arial"/>
          <w:sz w:val="14"/>
          <w:szCs w:val="14"/>
          <w:b w:val="1"/>
          <w:bCs w:val="1"/>
          <w:color w:val="auto"/>
        </w:rPr>
      </w:pPr>
    </w:p>
    <w:p>
      <w:pPr>
        <w:ind w:left="1400" w:right="60"/>
        <w:spacing w:after="0" w:line="242" w:lineRule="auto"/>
        <w:rPr>
          <w:rFonts w:ascii="Arial" w:cs="Arial" w:eastAsia="Arial" w:hAnsi="Arial"/>
          <w:sz w:val="14"/>
          <w:szCs w:val="14"/>
          <w:b w:val="1"/>
          <w:bCs w:val="1"/>
          <w:color w:val="auto"/>
        </w:rPr>
      </w:pPr>
      <w:r>
        <w:rPr>
          <w:rFonts w:ascii="Arial" w:cs="Arial" w:eastAsia="Arial" w:hAnsi="Arial"/>
          <w:sz w:val="14"/>
          <w:szCs w:val="14"/>
          <w:color w:val="auto"/>
        </w:rPr>
        <w:t>If you are a beneficial owner of shares held in street name, you may change your vote (1) by submitting new voting instructions to your broker, trustee or other nominee, or (2) if you have obtained a legal proxy from the broker, trustee or other nominee that holds your shares giving you the right to vote the shares, by attending the Annual Meeting and voting in person (although attendance at the Annual Meeting will not, by itself, revoke a proxy).</w:t>
      </w:r>
    </w:p>
    <w:p>
      <w:pPr>
        <w:spacing w:after="0" w:line="128" w:lineRule="exact"/>
        <w:rPr>
          <w:rFonts w:ascii="Arial" w:cs="Arial" w:eastAsia="Arial" w:hAnsi="Arial"/>
          <w:sz w:val="14"/>
          <w:szCs w:val="14"/>
          <w:b w:val="1"/>
          <w:bCs w:val="1"/>
          <w:color w:val="auto"/>
        </w:rPr>
      </w:pPr>
    </w:p>
    <w:p>
      <w:pPr>
        <w:ind w:left="1400" w:right="40"/>
        <w:spacing w:after="0" w:line="246" w:lineRule="auto"/>
        <w:rPr>
          <w:rFonts w:ascii="Arial" w:cs="Arial" w:eastAsia="Arial" w:hAnsi="Arial"/>
          <w:sz w:val="14"/>
          <w:szCs w:val="14"/>
          <w:b w:val="1"/>
          <w:bCs w:val="1"/>
          <w:color w:val="auto"/>
        </w:rPr>
      </w:pPr>
      <w:r>
        <w:rPr>
          <w:rFonts w:ascii="Arial" w:cs="Arial" w:eastAsia="Arial" w:hAnsi="Arial"/>
          <w:sz w:val="14"/>
          <w:szCs w:val="14"/>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(see below for address), Attention: Corporate Secretary.</w:t>
      </w:r>
    </w:p>
    <w:p>
      <w:pPr>
        <w:spacing w:after="0" w:line="158" w:lineRule="exact"/>
        <w:rPr>
          <w:sz w:val="20"/>
          <w:szCs w:val="20"/>
          <w:color w:val="auto"/>
        </w:rPr>
      </w:pPr>
    </w:p>
    <w:p>
      <w:pPr>
        <w:ind w:left="1380" w:hanging="353"/>
        <w:spacing w:after="0"/>
        <w:tabs>
          <w:tab w:leader="none" w:pos="1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WHO WILL BEAR THE COST OF SOLICITING VOTES FOR THE ANNUAL MEETING?</w:t>
      </w:r>
    </w:p>
    <w:p>
      <w:pPr>
        <w:spacing w:after="0" w:line="177" w:lineRule="exact"/>
        <w:rPr>
          <w:sz w:val="20"/>
          <w:szCs w:val="20"/>
          <w:color w:val="auto"/>
        </w:rPr>
      </w:pPr>
    </w:p>
    <w:p>
      <w:pPr>
        <w:ind w:left="1380" w:right="80" w:hanging="353"/>
        <w:spacing w:after="0" w:line="285" w:lineRule="auto"/>
        <w:tabs>
          <w:tab w:leader="none" w:pos="1380" w:val="left"/>
        </w:tabs>
        <w:numPr>
          <w:ilvl w:val="0"/>
          <w:numId w:val="37"/>
        </w:numPr>
        <w:rPr>
          <w:rFonts w:ascii="Arial" w:cs="Arial" w:eastAsia="Arial" w:hAnsi="Arial"/>
          <w:sz w:val="12"/>
          <w:szCs w:val="12"/>
          <w:b w:val="1"/>
          <w:bCs w:val="1"/>
          <w:color w:val="auto"/>
        </w:rPr>
      </w:pPr>
      <w:r>
        <w:rPr>
          <w:rFonts w:ascii="Arial" w:cs="Arial" w:eastAsia="Arial" w:hAnsi="Arial"/>
          <w:sz w:val="12"/>
          <w:szCs w:val="12"/>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137" w:lineRule="exact"/>
        <w:rPr>
          <w:sz w:val="20"/>
          <w:szCs w:val="20"/>
          <w:color w:val="auto"/>
        </w:rPr>
      </w:pPr>
    </w:p>
    <w:p>
      <w:pPr>
        <w:ind w:left="1380" w:hanging="353"/>
        <w:spacing w:after="0"/>
        <w:tabs>
          <w:tab w:leader="none" w:pos="1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IS MY VOTE CONFIDENTIAL?</w:t>
      </w:r>
    </w:p>
    <w:p>
      <w:pPr>
        <w:spacing w:after="0" w:line="177" w:lineRule="exact"/>
        <w:rPr>
          <w:sz w:val="20"/>
          <w:szCs w:val="20"/>
          <w:color w:val="auto"/>
        </w:rPr>
      </w:pPr>
    </w:p>
    <w:p>
      <w:pPr>
        <w:ind w:left="1380" w:right="200" w:hanging="353"/>
        <w:spacing w:after="0" w:line="246" w:lineRule="auto"/>
        <w:tabs>
          <w:tab w:leader="none" w:pos="1380" w:val="left"/>
        </w:tabs>
        <w:numPr>
          <w:ilvl w:val="0"/>
          <w:numId w:val="39"/>
        </w:numPr>
        <w:rPr>
          <w:rFonts w:ascii="Arial" w:cs="Arial" w:eastAsia="Arial" w:hAnsi="Arial"/>
          <w:sz w:val="14"/>
          <w:szCs w:val="14"/>
          <w:b w:val="1"/>
          <w:bCs w:val="1"/>
          <w:color w:val="auto"/>
        </w:rPr>
      </w:pPr>
      <w:r>
        <w:rPr>
          <w:rFonts w:ascii="Arial" w:cs="Arial" w:eastAsia="Arial" w:hAnsi="Arial"/>
          <w:sz w:val="14"/>
          <w:szCs w:val="14"/>
          <w:color w:val="auto"/>
        </w:rPr>
        <w:t>Proxy instructions, ballots, and voting tabulations that identify individual stockholders are handled in a manner that protects your voting privacy. Your vote will not be disclosed either within Flywire or to third parties, except as necessary to meet applicable legal requirements, to allow for the tabulation of votes and certification of the vote, or to facilitate a successful proxy solicitation.</w:t>
      </w:r>
    </w:p>
    <w:p>
      <w:pPr>
        <w:spacing w:after="0" w:line="98"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5 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380" w:hanging="353"/>
        <w:spacing w:after="0"/>
        <w:tabs>
          <w:tab w:leader="none" w:pos="13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WHERE CAN I FIND THE VOTING RESULTS OF THE ANNUAL MEETING?</w:t>
      </w:r>
    </w:p>
    <w:p>
      <w:pPr>
        <w:spacing w:after="0" w:line="177" w:lineRule="exact"/>
        <w:rPr>
          <w:sz w:val="20"/>
          <w:szCs w:val="20"/>
          <w:color w:val="auto"/>
        </w:rPr>
      </w:pPr>
    </w:p>
    <w:p>
      <w:pPr>
        <w:ind w:left="1380" w:right="340" w:hanging="353"/>
        <w:spacing w:after="0" w:line="258" w:lineRule="auto"/>
        <w:tabs>
          <w:tab w:leader="none" w:pos="1380"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We intend to announce preliminary voting results at the Annual Meeting and will publish final results in a current report on Form 8-K within four business days after the Annual Meeting.</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STOCKHOLDER PROPOSALS AND DIRECTOR NOMINATIONS</w:t>
      </w:r>
    </w:p>
    <w:p>
      <w:pPr>
        <w:spacing w:after="0" w:line="177" w:lineRule="exact"/>
        <w:rPr>
          <w:sz w:val="20"/>
          <w:szCs w:val="20"/>
          <w:color w:val="auto"/>
        </w:rPr>
      </w:pPr>
    </w:p>
    <w:p>
      <w:pPr>
        <w:ind w:left="1380" w:hanging="353"/>
        <w:spacing w:after="0" w:line="258" w:lineRule="auto"/>
        <w:tabs>
          <w:tab w:leader="none" w:pos="13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WHAT IS THE DEADLINE TO PROPOSE ACTIONS FOR CONSIDERATION AT NEXT YEAR’S ANNUAL MEETING OF STOCKHOLDERS OR TO NOMINATE INDIVIDUALS TO SERVE AS DIRECTORS?</w:t>
      </w:r>
    </w:p>
    <w:p>
      <w:pPr>
        <w:spacing w:after="0" w:line="150" w:lineRule="exact"/>
        <w:rPr>
          <w:sz w:val="20"/>
          <w:szCs w:val="20"/>
          <w:color w:val="auto"/>
        </w:rPr>
      </w:pPr>
    </w:p>
    <w:p>
      <w:pPr>
        <w:ind w:left="1380" w:hanging="353"/>
        <w:spacing w:after="0"/>
        <w:tabs>
          <w:tab w:leader="none" w:pos="1380" w:val="left"/>
        </w:tabs>
        <w:numPr>
          <w:ilvl w:val="0"/>
          <w:numId w:val="43"/>
        </w:numPr>
        <w:rPr>
          <w:rFonts w:ascii="Arial" w:cs="Arial" w:eastAsia="Arial" w:hAnsi="Arial"/>
          <w:sz w:val="14"/>
          <w:szCs w:val="14"/>
          <w:b w:val="1"/>
          <w:bCs w:val="1"/>
          <w:color w:val="auto"/>
        </w:rPr>
      </w:pPr>
      <w:r>
        <w:rPr>
          <w:rFonts w:ascii="Arial" w:cs="Arial" w:eastAsia="Arial" w:hAnsi="Arial"/>
          <w:sz w:val="14"/>
          <w:szCs w:val="14"/>
          <w:color w:val="auto"/>
        </w:rPr>
        <w:t>You may submit proposals, including director nominations, for consideration at future stockholder meetings.</w:t>
      </w:r>
    </w:p>
    <w:p>
      <w:pPr>
        <w:spacing w:after="0" w:line="143" w:lineRule="exact"/>
        <w:rPr>
          <w:rFonts w:ascii="Arial" w:cs="Arial" w:eastAsia="Arial" w:hAnsi="Arial"/>
          <w:sz w:val="14"/>
          <w:szCs w:val="14"/>
          <w:b w:val="1"/>
          <w:bCs w:val="1"/>
          <w:color w:val="auto"/>
        </w:rPr>
      </w:pPr>
    </w:p>
    <w:p>
      <w:pPr>
        <w:ind w:left="1400" w:right="260"/>
        <w:spacing w:after="0"/>
        <w:rPr>
          <w:rFonts w:ascii="Arial" w:cs="Arial" w:eastAsia="Arial" w:hAnsi="Arial"/>
          <w:sz w:val="14"/>
          <w:szCs w:val="14"/>
          <w:b w:val="1"/>
          <w:bCs w:val="1"/>
          <w:color w:val="auto"/>
        </w:rPr>
      </w:pPr>
      <w:r>
        <w:rPr>
          <w:rFonts w:ascii="Arial" w:cs="Arial" w:eastAsia="Arial" w:hAnsi="Arial"/>
          <w:sz w:val="14"/>
          <w:szCs w:val="14"/>
          <w:i w:val="1"/>
          <w:iCs w:val="1"/>
          <w:color w:val="auto"/>
        </w:rPr>
        <w:t>Requirements for stockholder proposals to be considered for inclusion in our proxy materials</w:t>
      </w:r>
      <w:r>
        <w:rPr>
          <w:rFonts w:ascii="Arial" w:cs="Arial" w:eastAsia="Arial" w:hAnsi="Arial"/>
          <w:sz w:val="14"/>
          <w:szCs w:val="14"/>
          <w:color w:val="auto"/>
        </w:rPr>
        <w:t>—Stockholders may present proper proposals for</w:t>
      </w:r>
      <w:r>
        <w:rPr>
          <w:rFonts w:ascii="Arial" w:cs="Arial" w:eastAsia="Arial" w:hAnsi="Arial"/>
          <w:sz w:val="14"/>
          <w:szCs w:val="14"/>
          <w:i w:val="1"/>
          <w:iCs w:val="1"/>
          <w:color w:val="auto"/>
        </w:rPr>
        <w:t xml:space="preserve"> </w:t>
      </w:r>
      <w:r>
        <w:rPr>
          <w:rFonts w:ascii="Arial" w:cs="Arial" w:eastAsia="Arial" w:hAnsi="Arial"/>
          <w:sz w:val="14"/>
          <w:szCs w:val="14"/>
          <w:color w:val="auto"/>
        </w:rPr>
        <w:t>inclusion in our proxy statement and for consideration at our next annual meeting of stockholders by submitting their proposals in writing to our Corporate Secretary in a timely manner. In order to be included in the proxy statement for the 2027 annual meeting of stockholders, stockholder proposals must be received by our Corporate Secretary no later than December 24, 2026, and must otherwise comply with the requirements of Rule 14a-8 of the Securities Exchange Act of 1934, as amended (the Exchange Act).</w:t>
      </w:r>
    </w:p>
    <w:p>
      <w:pPr>
        <w:spacing w:after="0" w:line="141" w:lineRule="exact"/>
        <w:rPr>
          <w:rFonts w:ascii="Arial" w:cs="Arial" w:eastAsia="Arial" w:hAnsi="Arial"/>
          <w:sz w:val="14"/>
          <w:szCs w:val="14"/>
          <w:b w:val="1"/>
          <w:bCs w:val="1"/>
          <w:color w:val="auto"/>
        </w:rPr>
      </w:pPr>
    </w:p>
    <w:p>
      <w:pPr>
        <w:ind w:left="1400"/>
        <w:spacing w:after="0" w:line="287" w:lineRule="auto"/>
        <w:rPr>
          <w:rFonts w:ascii="Arial" w:cs="Arial" w:eastAsia="Arial" w:hAnsi="Arial"/>
          <w:sz w:val="14"/>
          <w:szCs w:val="14"/>
          <w:b w:val="1"/>
          <w:bCs w:val="1"/>
          <w:color w:val="auto"/>
        </w:rPr>
      </w:pPr>
      <w:r>
        <w:rPr>
          <w:rFonts w:ascii="Arial" w:cs="Arial" w:eastAsia="Arial" w:hAnsi="Arial"/>
          <w:sz w:val="12"/>
          <w:szCs w:val="12"/>
          <w:i w:val="1"/>
          <w:iCs w:val="1"/>
          <w:color w:val="auto"/>
        </w:rPr>
        <w:t>Requirements for stockholder proposals to be brought before an annual meeting</w:t>
      </w:r>
      <w:r>
        <w:rPr>
          <w:rFonts w:ascii="Arial" w:cs="Arial" w:eastAsia="Arial" w:hAnsi="Arial"/>
          <w:sz w:val="12"/>
          <w:szCs w:val="12"/>
          <w:color w:val="auto"/>
        </w:rPr>
        <w:t>—In addition, our bylaws establish an advance notice procedure for</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102" w:lineRule="exact"/>
        <w:rPr>
          <w:rFonts w:ascii="Arial" w:cs="Arial" w:eastAsia="Arial" w:hAnsi="Arial"/>
          <w:sz w:val="14"/>
          <w:szCs w:val="14"/>
          <w:b w:val="1"/>
          <w:bCs w:val="1"/>
          <w:color w:val="auto"/>
        </w:rPr>
      </w:pPr>
    </w:p>
    <w:p>
      <w:pPr>
        <w:ind w:left="1400" w:right="20"/>
        <w:spacing w:after="0" w:line="242" w:lineRule="auto"/>
        <w:rPr>
          <w:rFonts w:ascii="Arial" w:cs="Arial" w:eastAsia="Arial" w:hAnsi="Arial"/>
          <w:sz w:val="14"/>
          <w:szCs w:val="14"/>
          <w:b w:val="1"/>
          <w:bCs w:val="1"/>
          <w:color w:val="auto"/>
        </w:rPr>
      </w:pPr>
      <w:r>
        <w:rPr>
          <w:rFonts w:ascii="Arial" w:cs="Arial" w:eastAsia="Arial" w:hAnsi="Arial"/>
          <w:sz w:val="14"/>
          <w:szCs w:val="14"/>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128" w:lineRule="exact"/>
        <w:rPr>
          <w:rFonts w:ascii="Arial" w:cs="Arial" w:eastAsia="Arial" w:hAnsi="Arial"/>
          <w:sz w:val="14"/>
          <w:szCs w:val="14"/>
          <w:b w:val="1"/>
          <w:bCs w:val="1"/>
          <w:color w:val="auto"/>
        </w:rPr>
      </w:pPr>
    </w:p>
    <w:p>
      <w:pPr>
        <w:ind w:left="1400" w:right="120"/>
        <w:spacing w:after="0" w:line="239" w:lineRule="auto"/>
        <w:rPr>
          <w:rFonts w:ascii="Arial" w:cs="Arial" w:eastAsia="Arial" w:hAnsi="Arial"/>
          <w:sz w:val="14"/>
          <w:szCs w:val="14"/>
          <w:b w:val="1"/>
          <w:bCs w:val="1"/>
          <w:color w:val="auto"/>
        </w:rPr>
      </w:pPr>
      <w:r>
        <w:rPr>
          <w:rFonts w:ascii="Arial" w:cs="Arial" w:eastAsia="Arial" w:hAnsi="Arial"/>
          <w:sz w:val="14"/>
          <w:szCs w:val="14"/>
          <w:color w:val="auto"/>
        </w:rPr>
        <w:t>The “Notice Deadline” is defined as that date which is not less than 90 days nor more than 120 days prior to the one year anniversary of the previous year’s annual meeting of stockholders. As a result, the Notice Deadline for the 2027 annual meeting of stockholders is between February 2, 2027 and March 4, 2027. 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 no later than April 3, 2027. If a stockholder who has notified us of his or her intention to present a proposal at an annual meeting does not appear to present his or her proposal at such meeting, we need not present the proposal for vote at such meeting.</w:t>
      </w:r>
    </w:p>
    <w:p>
      <w:pPr>
        <w:spacing w:after="0" w:line="139" w:lineRule="exact"/>
        <w:rPr>
          <w:rFonts w:ascii="Arial" w:cs="Arial" w:eastAsia="Arial" w:hAnsi="Arial"/>
          <w:sz w:val="14"/>
          <w:szCs w:val="14"/>
          <w:b w:val="1"/>
          <w:bCs w:val="1"/>
          <w:color w:val="auto"/>
        </w:rPr>
      </w:pPr>
    </w:p>
    <w:p>
      <w:pPr>
        <w:ind w:left="1400" w:right="260"/>
        <w:spacing w:after="0" w:line="246" w:lineRule="auto"/>
        <w:rPr>
          <w:rFonts w:ascii="Arial" w:cs="Arial" w:eastAsia="Arial" w:hAnsi="Arial"/>
          <w:sz w:val="14"/>
          <w:szCs w:val="14"/>
          <w:b w:val="1"/>
          <w:bCs w:val="1"/>
          <w:color w:val="auto"/>
        </w:rPr>
      </w:pPr>
      <w:r>
        <w:rPr>
          <w:rFonts w:ascii="Arial" w:cs="Arial" w:eastAsia="Arial" w:hAnsi="Arial"/>
          <w:sz w:val="14"/>
          <w:szCs w:val="14"/>
          <w:i w:val="1"/>
          <w:iCs w:val="1"/>
          <w:color w:val="auto"/>
        </w:rPr>
        <w:t>Recommendation of director candidates</w:t>
      </w:r>
      <w:r>
        <w:rPr>
          <w:rFonts w:ascii="Arial" w:cs="Arial" w:eastAsia="Arial" w:hAnsi="Arial"/>
          <w:sz w:val="14"/>
          <w:szCs w:val="14"/>
          <w:color w:val="auto"/>
        </w:rPr>
        <w:t>—You may recommend candidates to our Board of Directors for consideration by our Nominating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Corporate Governance Committee by following the procedures set forth below in “</w:t>
      </w:r>
      <w:r>
        <w:rPr>
          <w:rFonts w:ascii="Arial" w:cs="Arial" w:eastAsia="Arial" w:hAnsi="Arial"/>
          <w:sz w:val="14"/>
          <w:szCs w:val="14"/>
          <w:i w:val="1"/>
          <w:iCs w:val="1"/>
          <w:color w:val="auto"/>
        </w:rPr>
        <w:t>Corporate Governance - Board Committees - Nominating and</w:t>
      </w:r>
      <w:r>
        <w:rPr>
          <w:rFonts w:ascii="Arial" w:cs="Arial" w:eastAsia="Arial" w:hAnsi="Arial"/>
          <w:sz w:val="14"/>
          <w:szCs w:val="14"/>
          <w:color w:val="auto"/>
        </w:rPr>
        <w:t xml:space="preserve"> </w:t>
      </w:r>
      <w:r>
        <w:rPr>
          <w:rFonts w:ascii="Arial" w:cs="Arial" w:eastAsia="Arial" w:hAnsi="Arial"/>
          <w:sz w:val="14"/>
          <w:szCs w:val="14"/>
          <w:i w:val="1"/>
          <w:iCs w:val="1"/>
          <w:color w:val="auto"/>
        </w:rPr>
        <w:t>Corporate Governance Committee.</w:t>
      </w:r>
      <w:r>
        <w:rPr>
          <w:rFonts w:ascii="Arial" w:cs="Arial" w:eastAsia="Arial" w:hAnsi="Arial"/>
          <w:sz w:val="14"/>
          <w:szCs w:val="14"/>
          <w:color w:val="auto"/>
        </w:rPr>
        <w:t>”</w:t>
      </w:r>
    </w:p>
    <w:p>
      <w:pPr>
        <w:spacing w:after="0" w:line="158" w:lineRule="exact"/>
        <w:rPr>
          <w:sz w:val="20"/>
          <w:szCs w:val="20"/>
          <w:color w:val="auto"/>
        </w:rPr>
      </w:pPr>
    </w:p>
    <w:p>
      <w:pPr>
        <w:ind w:left="1380" w:hanging="353"/>
        <w:spacing w:after="0"/>
        <w:tabs>
          <w:tab w:leader="none" w:pos="13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HOW MAY I OBTAIN A COPY OF THE BYLAW PROVISIONS REGARDING STOCKHOLDER PROPOSALS AND DIRECTOR NOMINATIONS?</w:t>
      </w:r>
    </w:p>
    <w:p>
      <w:pPr>
        <w:spacing w:after="0" w:line="200" w:lineRule="exact"/>
        <w:rPr>
          <w:sz w:val="20"/>
          <w:szCs w:val="20"/>
          <w:color w:val="auto"/>
        </w:rPr>
      </w:pPr>
    </w:p>
    <w:p>
      <w:pPr>
        <w:ind w:left="1380" w:right="80" w:hanging="353"/>
        <w:spacing w:after="0"/>
        <w:tabs>
          <w:tab w:leader="none" w:pos="1380" w:val="left"/>
        </w:tabs>
        <w:numPr>
          <w:ilvl w:val="0"/>
          <w:numId w:val="45"/>
        </w:numPr>
        <w:rPr>
          <w:rFonts w:ascii="Arial" w:cs="Arial" w:eastAsia="Arial" w:hAnsi="Arial"/>
          <w:sz w:val="14"/>
          <w:szCs w:val="14"/>
          <w:b w:val="1"/>
          <w:bCs w:val="1"/>
          <w:color w:val="auto"/>
        </w:rPr>
      </w:pPr>
      <w:r>
        <w:rPr>
          <w:rFonts w:ascii="Arial" w:cs="Arial" w:eastAsia="Arial" w:hAnsi="Arial"/>
          <w:sz w:val="14"/>
          <w:szCs w:val="14"/>
          <w:color w:val="auto"/>
        </w:rPr>
        <w:t>A copy of the full text of the bylaw provisions discussed above may be obtained from our website at www.flywire.com or by writing to our Corporate Secretary. In addition, this and other information about Flywire may be obtained at the website maintained by the SEC that contains reports, proxy and information statements, and other information regarding registrants that file electronically with the SEC. The address of the SEC’s website is www.sec.gov. All notices of proposals by stockholders, whether or not included in our proxy materials, should be sent to our principal executive offices (see below for address), Attention: Corporate Secretary.</w:t>
      </w:r>
    </w:p>
    <w:p>
      <w:pPr>
        <w:spacing w:after="0" w:line="103"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6 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ADDITIONAL INFORMATION ABOUT THE PROXY MATERIALS</w:t>
      </w:r>
    </w:p>
    <w:p>
      <w:pPr>
        <w:spacing w:after="0" w:line="177" w:lineRule="exact"/>
        <w:rPr>
          <w:sz w:val="20"/>
          <w:szCs w:val="20"/>
          <w:color w:val="auto"/>
        </w:rPr>
      </w:pPr>
    </w:p>
    <w:p>
      <w:pPr>
        <w:ind w:left="1380" w:right="100" w:hanging="353"/>
        <w:spacing w:after="0" w:line="258" w:lineRule="auto"/>
        <w:tabs>
          <w:tab w:leader="none" w:pos="13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WHY DID I RECEIVE A NOTICE REGARDING THE AVAILABILITY OF PROXY MATERIALS ON THE INTERNET INSTEAD OF A FULL SET OF PROXY MATERIALS?</w:t>
      </w:r>
    </w:p>
    <w:p>
      <w:pPr>
        <w:spacing w:after="0" w:line="150" w:lineRule="exact"/>
        <w:rPr>
          <w:sz w:val="20"/>
          <w:szCs w:val="20"/>
          <w:color w:val="auto"/>
        </w:rPr>
      </w:pPr>
    </w:p>
    <w:p>
      <w:pPr>
        <w:ind w:left="1380" w:hanging="353"/>
        <w:spacing w:after="0" w:line="287" w:lineRule="auto"/>
        <w:tabs>
          <w:tab w:leader="none" w:pos="1380" w:val="left"/>
        </w:tabs>
        <w:numPr>
          <w:ilvl w:val="0"/>
          <w:numId w:val="47"/>
        </w:numPr>
        <w:rPr>
          <w:rFonts w:ascii="Arial" w:cs="Arial" w:eastAsia="Arial" w:hAnsi="Arial"/>
          <w:sz w:val="12"/>
          <w:szCs w:val="12"/>
          <w:b w:val="1"/>
          <w:bCs w:val="1"/>
          <w:color w:val="auto"/>
        </w:rPr>
      </w:pPr>
      <w:r>
        <w:rPr>
          <w:rFonts w:ascii="Arial" w:cs="Arial" w:eastAsia="Arial" w:hAnsi="Arial"/>
          <w:sz w:val="12"/>
          <w:szCs w:val="12"/>
          <w:color w:val="auto"/>
        </w:rPr>
        <w:t>In accordance with SEC rules, we have elected to furnish our proxy materials, including this proxy statement and the 2025 Annual Report, to our stockholders primarily via the internet. Beginning on or about April 23, 2026, we mailed to our stockholders a “Notice of Internet Availability of Proxy Materials” that contains notice of the Annual Meeting and instructions on how to access our proxy materials on the internet, how to vote at the Annual Meeting, and how to request printed copies of the proxy materials. Stockholders may request to receive all future proxy materials in printed form by mail or electronically by e-mail by following the instructions contained at www.proxyvote.com. We encourage stockholders to take advantage of the availability of the proxy materials on the internet to help reduce the environmental impact of our annual meetings.</w:t>
      </w:r>
    </w:p>
    <w:p>
      <w:pPr>
        <w:spacing w:after="0" w:line="137" w:lineRule="exact"/>
        <w:rPr>
          <w:sz w:val="20"/>
          <w:szCs w:val="20"/>
          <w:color w:val="auto"/>
        </w:rPr>
      </w:pPr>
    </w:p>
    <w:p>
      <w:pPr>
        <w:ind w:left="1380" w:right="200" w:hanging="353"/>
        <w:spacing w:after="0" w:line="258" w:lineRule="auto"/>
        <w:tabs>
          <w:tab w:leader="none" w:pos="1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WHAT DOES IT MEAN IF MULTIPLE MEMBERS OF MY HOUSEHOLD ARE STOCKHOLDERS BUT WE ONLY RECEIVED ONE NOTICE OR FULL SET OF PROXY MATERIALS IN THE MAIL?</w:t>
      </w:r>
    </w:p>
    <w:p>
      <w:pPr>
        <w:spacing w:after="0" w:line="150" w:lineRule="exact"/>
        <w:rPr>
          <w:sz w:val="20"/>
          <w:szCs w:val="20"/>
          <w:color w:val="auto"/>
        </w:rPr>
      </w:pPr>
    </w:p>
    <w:p>
      <w:pPr>
        <w:ind w:left="1380" w:right="20" w:hanging="353"/>
        <w:spacing w:after="0" w:line="284" w:lineRule="auto"/>
        <w:tabs>
          <w:tab w:leader="none" w:pos="1380" w:val="left"/>
        </w:tabs>
        <w:numPr>
          <w:ilvl w:val="0"/>
          <w:numId w:val="49"/>
        </w:numPr>
        <w:rPr>
          <w:rFonts w:ascii="Arial" w:cs="Arial" w:eastAsia="Arial" w:hAnsi="Arial"/>
          <w:sz w:val="12"/>
          <w:szCs w:val="12"/>
          <w:b w:val="1"/>
          <w:bCs w:val="1"/>
          <w:color w:val="auto"/>
        </w:rPr>
      </w:pPr>
      <w:r>
        <w:rPr>
          <w:rFonts w:ascii="Arial" w:cs="Arial" w:eastAsia="Arial" w:hAnsi="Arial"/>
          <w:sz w:val="12"/>
          <w:szCs w:val="12"/>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request, we will deliver promptly a separate copy of the Notice and, if applicable, the proxy materials to any stockholder at a shared address to which we delivered a single copy of any of these documents. To receive a separate copy of the Notice and, if applicable, the proxy materials, stockholders should send their requests to our principal executive offices (see below for address), Attention: Corporate Secretary. Stockholders who hold shares in street name (as described below) may contact their brokerage firm, bank, broker-dealer, or other similar organization to request information about householding.</w:t>
      </w:r>
    </w:p>
    <w:p>
      <w:pPr>
        <w:spacing w:after="0" w:line="299" w:lineRule="exact"/>
        <w:rPr>
          <w:sz w:val="20"/>
          <w:szCs w:val="20"/>
          <w:color w:val="auto"/>
        </w:rPr>
      </w:pPr>
    </w:p>
    <w:p>
      <w:pPr>
        <w:ind w:left="1380" w:hanging="353"/>
        <w:spacing w:after="0"/>
        <w:tabs>
          <w:tab w:leader="none" w:pos="1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WHAT IS THE MAILING ADDRESS FOR FLYWIRE’S PRINCIPAL EXECUTIVE OFFICES?</w:t>
      </w:r>
    </w:p>
    <w:p>
      <w:pPr>
        <w:spacing w:after="0" w:line="177" w:lineRule="exact"/>
        <w:rPr>
          <w:sz w:val="20"/>
          <w:szCs w:val="20"/>
          <w:color w:val="auto"/>
        </w:rPr>
      </w:pPr>
    </w:p>
    <w:p>
      <w:pPr>
        <w:ind w:left="1380" w:hanging="353"/>
        <w:spacing w:after="0"/>
        <w:tabs>
          <w:tab w:leader="none" w:pos="1380" w:val="left"/>
        </w:tabs>
        <w:numPr>
          <w:ilvl w:val="0"/>
          <w:numId w:val="51"/>
        </w:numPr>
        <w:rPr>
          <w:rFonts w:ascii="Arial" w:cs="Arial" w:eastAsia="Arial" w:hAnsi="Arial"/>
          <w:sz w:val="14"/>
          <w:szCs w:val="14"/>
          <w:b w:val="1"/>
          <w:bCs w:val="1"/>
          <w:color w:val="auto"/>
        </w:rPr>
      </w:pPr>
      <w:r>
        <w:rPr>
          <w:rFonts w:ascii="Arial" w:cs="Arial" w:eastAsia="Arial" w:hAnsi="Arial"/>
          <w:sz w:val="14"/>
          <w:szCs w:val="14"/>
          <w:color w:val="auto"/>
        </w:rPr>
        <w:t>Our principal executive offices are located at 141 Tremont St., 10th Floor, Boston, MA 02111. The telephone number at that location is (617)</w:t>
      </w:r>
    </w:p>
    <w:p>
      <w:pPr>
        <w:spacing w:after="0" w:line="8" w:lineRule="exact"/>
        <w:rPr>
          <w:rFonts w:ascii="Arial" w:cs="Arial" w:eastAsia="Arial" w:hAnsi="Arial"/>
          <w:sz w:val="14"/>
          <w:szCs w:val="14"/>
          <w:b w:val="1"/>
          <w:bCs w:val="1"/>
          <w:color w:val="auto"/>
        </w:rPr>
      </w:pPr>
    </w:p>
    <w:p>
      <w:pPr>
        <w:ind w:left="1380"/>
        <w:spacing w:after="0"/>
        <w:rPr>
          <w:rFonts w:ascii="Arial" w:cs="Arial" w:eastAsia="Arial" w:hAnsi="Arial"/>
          <w:sz w:val="14"/>
          <w:szCs w:val="14"/>
          <w:b w:val="1"/>
          <w:bCs w:val="1"/>
          <w:color w:val="auto"/>
        </w:rPr>
      </w:pPr>
      <w:r>
        <w:rPr>
          <w:rFonts w:ascii="Arial" w:cs="Arial" w:eastAsia="Arial" w:hAnsi="Arial"/>
          <w:sz w:val="14"/>
          <w:szCs w:val="14"/>
          <w:color w:val="auto"/>
        </w:rPr>
        <w:t>329-4524.</w:t>
      </w:r>
    </w:p>
    <w:p>
      <w:pPr>
        <w:spacing w:after="0" w:line="131" w:lineRule="exact"/>
        <w:rPr>
          <w:rFonts w:ascii="Arial" w:cs="Arial" w:eastAsia="Arial" w:hAnsi="Arial"/>
          <w:sz w:val="14"/>
          <w:szCs w:val="14"/>
          <w:b w:val="1"/>
          <w:bCs w:val="1"/>
          <w:color w:val="auto"/>
        </w:rPr>
      </w:pPr>
    </w:p>
    <w:p>
      <w:pPr>
        <w:ind w:left="1400" w:right="60"/>
        <w:spacing w:after="0" w:line="246" w:lineRule="auto"/>
        <w:rPr>
          <w:rFonts w:ascii="Arial" w:cs="Arial" w:eastAsia="Arial" w:hAnsi="Arial"/>
          <w:sz w:val="14"/>
          <w:szCs w:val="14"/>
          <w:b w:val="1"/>
          <w:bCs w:val="1"/>
          <w:color w:val="auto"/>
        </w:rPr>
      </w:pPr>
      <w:r>
        <w:rPr>
          <w:rFonts w:ascii="Arial" w:cs="Arial" w:eastAsia="Arial" w:hAnsi="Arial"/>
          <w:sz w:val="14"/>
          <w:szCs w:val="14"/>
          <w:color w:val="auto"/>
        </w:rPr>
        <w:t>Any written requests for additional information, copies of the proxy materials and 2025 Annual Report, notices of stockholder proposals, recommendations for candidates to our Board of Directors, communications to our Board of Directors or any other communications should be sent to the address above.</w:t>
      </w:r>
    </w:p>
    <w:p>
      <w:pPr>
        <w:spacing w:after="0" w:line="190" w:lineRule="exact"/>
        <w:rPr>
          <w:sz w:val="20"/>
          <w:szCs w:val="20"/>
          <w:color w:val="auto"/>
        </w:rPr>
      </w:pPr>
    </w:p>
    <w:p>
      <w:pPr>
        <w:jc w:val="center"/>
        <w:ind w:right="-1059"/>
        <w:spacing w:after="0"/>
        <w:rPr>
          <w:sz w:val="20"/>
          <w:szCs w:val="20"/>
          <w:color w:val="auto"/>
        </w:rPr>
      </w:pPr>
      <w:r>
        <w:rPr>
          <w:rFonts w:ascii="Arial" w:cs="Arial" w:eastAsia="Arial" w:hAnsi="Arial"/>
          <w:sz w:val="14"/>
          <w:szCs w:val="14"/>
          <w:b w:val="1"/>
          <w:bCs w:val="1"/>
          <w:color w:val="auto"/>
        </w:rPr>
        <w:t>IMPORTANT NOTICE REGARDING THE AVAILABILITY OF PROXY MATERIALS FOR THE</w:t>
      </w:r>
    </w:p>
    <w:p>
      <w:pPr>
        <w:spacing w:after="0" w:line="11" w:lineRule="exact"/>
        <w:rPr>
          <w:sz w:val="20"/>
          <w:szCs w:val="20"/>
          <w:color w:val="auto"/>
        </w:rPr>
      </w:pPr>
    </w:p>
    <w:p>
      <w:pPr>
        <w:jc w:val="center"/>
        <w:ind w:right="-1059"/>
        <w:spacing w:after="0"/>
        <w:rPr>
          <w:sz w:val="20"/>
          <w:szCs w:val="20"/>
          <w:color w:val="auto"/>
        </w:rPr>
      </w:pPr>
      <w:r>
        <w:rPr>
          <w:rFonts w:ascii="Arial" w:cs="Arial" w:eastAsia="Arial" w:hAnsi="Arial"/>
          <w:sz w:val="14"/>
          <w:szCs w:val="14"/>
          <w:b w:val="1"/>
          <w:bCs w:val="1"/>
          <w:color w:val="auto"/>
        </w:rPr>
        <w:t>STOCKHOLDER MEETING TO BE HELD ON JUNE 2, 2026.</w:t>
      </w:r>
    </w:p>
    <w:p>
      <w:pPr>
        <w:spacing w:after="0" w:line="163" w:lineRule="exact"/>
        <w:rPr>
          <w:sz w:val="20"/>
          <w:szCs w:val="20"/>
          <w:color w:val="auto"/>
        </w:rPr>
      </w:pPr>
    </w:p>
    <w:p>
      <w:pPr>
        <w:jc w:val="center"/>
        <w:ind w:right="-1059"/>
        <w:spacing w:after="0"/>
        <w:rPr>
          <w:sz w:val="20"/>
          <w:szCs w:val="20"/>
          <w:color w:val="auto"/>
        </w:rPr>
      </w:pPr>
      <w:r>
        <w:rPr>
          <w:rFonts w:ascii="Arial" w:cs="Arial" w:eastAsia="Arial" w:hAnsi="Arial"/>
          <w:sz w:val="14"/>
          <w:szCs w:val="14"/>
          <w:b w:val="1"/>
          <w:bCs w:val="1"/>
          <w:color w:val="auto"/>
        </w:rPr>
        <w:t>The proxy statement and the 2025 Annual Report are available on-line at www.proxyvote.com.</w:t>
      </w:r>
    </w:p>
    <w:p>
      <w:pPr>
        <w:spacing w:after="0" w:line="118"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7 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80"/>
          </w:cols>
          <w:pgMar w:left="320" w:top="425" w:right="1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2393FF"/>
        </w:rPr>
        <w:t>PROPOSAL ONE</w:t>
      </w:r>
    </w:p>
    <w:p>
      <w:pPr>
        <w:spacing w:after="0" w:line="58"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99060</wp:posOffset>
            </wp:positionV>
            <wp:extent cx="583819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9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GENERAL</w:t>
      </w:r>
    </w:p>
    <w:p>
      <w:pPr>
        <w:spacing w:after="0" w:line="143" w:lineRule="exact"/>
        <w:rPr>
          <w:sz w:val="20"/>
          <w:szCs w:val="20"/>
          <w:color w:val="auto"/>
        </w:rPr>
      </w:pPr>
    </w:p>
    <w:p>
      <w:pPr>
        <w:jc w:val="both"/>
        <w:ind w:left="1020" w:right="60"/>
        <w:spacing w:after="0"/>
        <w:rPr>
          <w:sz w:val="20"/>
          <w:szCs w:val="20"/>
          <w:color w:val="auto"/>
        </w:rPr>
      </w:pPr>
      <w:r>
        <w:rPr>
          <w:rFonts w:ascii="Arial" w:cs="Arial" w:eastAsia="Arial" w:hAnsi="Arial"/>
          <w:sz w:val="14"/>
          <w:szCs w:val="14"/>
          <w:color w:val="auto"/>
        </w:rPr>
        <w:t>Our Board of Directors may establish the authorized number of directors from time to time by resolution. Our Board of Directors is currently comprised of nine members who are divided into three classes with staggered three-year terms. A director serves in office until his or her respective successor is duly elected and qualified or until his or her earlier death, resignation or removal. This classification of the Board of Directors into three classes with staggered three-year terms may have the effect of delaying or preventing changes in our control or management. Your proxy cannot be voted for a greater number of persons than the number of nominees named in this proxy statement.</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NOMINEES FOR ELECTION AS CLASS II DIRECTORS AT THE ANNUAL MEETING</w:t>
      </w:r>
    </w:p>
    <w:p>
      <w:pPr>
        <w:spacing w:after="0" w:line="155" w:lineRule="exact"/>
        <w:rPr>
          <w:sz w:val="20"/>
          <w:szCs w:val="20"/>
          <w:color w:val="auto"/>
        </w:rPr>
      </w:pPr>
    </w:p>
    <w:p>
      <w:pPr>
        <w:ind w:left="1020" w:right="20"/>
        <w:spacing w:after="0" w:line="296" w:lineRule="auto"/>
        <w:rPr>
          <w:sz w:val="20"/>
          <w:szCs w:val="20"/>
          <w:color w:val="auto"/>
        </w:rPr>
      </w:pPr>
      <w:r>
        <w:rPr>
          <w:rFonts w:ascii="Arial" w:cs="Arial" w:eastAsia="Arial" w:hAnsi="Arial"/>
          <w:sz w:val="12"/>
          <w:szCs w:val="12"/>
          <w:color w:val="auto"/>
        </w:rPr>
        <w:t>This year’s nominees for election to the Board of Directors as our Class II directors to serve for a term of three years expiring at the 2029 annual meeting of stockholders, or until their successors have been duly elected and qualified or until their earlier death, resignation or removal, are provided below. All of the nominees listed below are currently directors of the Company. The age of each director as of the Record Date is set forth below. Each of the nominees has agreed to serve as a director if elected, and we have no reason to believe that any nominee will be unable to serve if elected.</w:t>
      </w:r>
    </w:p>
    <w:p>
      <w:pPr>
        <w:spacing w:after="0" w:line="148" w:lineRule="exact"/>
        <w:rPr>
          <w:sz w:val="20"/>
          <w:szCs w:val="20"/>
          <w:color w:val="auto"/>
        </w:rPr>
      </w:pPr>
    </w:p>
    <w:tbl>
      <w:tblPr>
        <w:tblLayout w:type="fixed"/>
        <w:tblInd w:w="1020" w:type="dxa"/>
        <w:tblCellMar>
          <w:top w:w="0" w:type="dxa"/>
          <w:left w:w="0" w:type="dxa"/>
          <w:bottom w:w="0" w:type="dxa"/>
          <w:right w:w="0" w:type="dxa"/>
        </w:tblCellMar>
      </w:tblPr>
      <w:tr>
        <w:trPr>
          <w:trHeight w:val="143"/>
        </w:trPr>
        <w:tc>
          <w:tcPr>
            <w:tcW w:w="56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600" w:type="dxa"/>
            <w:vAlign w:val="bottom"/>
          </w:tcPr>
          <w:p>
            <w:pPr>
              <w:jc w:val="center"/>
              <w:ind w:right="602"/>
              <w:spacing w:after="0"/>
              <w:rPr>
                <w:sz w:val="20"/>
                <w:szCs w:val="20"/>
                <w:color w:val="auto"/>
              </w:rPr>
            </w:pPr>
            <w:r>
              <w:rPr>
                <w:rFonts w:ascii="Arial" w:cs="Arial" w:eastAsia="Arial" w:hAnsi="Arial"/>
                <w:sz w:val="11"/>
                <w:szCs w:val="11"/>
                <w:b w:val="1"/>
                <w:bCs w:val="1"/>
                <w:color w:val="auto"/>
                <w:w w:val="92"/>
              </w:rPr>
              <w:t>AGE</w:t>
            </w:r>
          </w:p>
        </w:tc>
        <w:tc>
          <w:tcPr>
            <w:tcW w:w="1920" w:type="dxa"/>
            <w:vAlign w:val="bottom"/>
          </w:tcPr>
          <w:p>
            <w:pPr>
              <w:jc w:val="center"/>
              <w:ind w:left="922"/>
              <w:spacing w:after="0"/>
              <w:rPr>
                <w:sz w:val="20"/>
                <w:szCs w:val="20"/>
                <w:color w:val="auto"/>
              </w:rPr>
            </w:pPr>
            <w:r>
              <w:rPr>
                <w:rFonts w:ascii="Arial" w:cs="Arial" w:eastAsia="Arial" w:hAnsi="Arial"/>
                <w:sz w:val="11"/>
                <w:szCs w:val="11"/>
                <w:b w:val="1"/>
                <w:bCs w:val="1"/>
                <w:color w:val="auto"/>
                <w:w w:val="95"/>
              </w:rPr>
              <w:t>DIRECTOR SINCE</w:t>
            </w:r>
          </w:p>
        </w:tc>
      </w:tr>
      <w:tr>
        <w:trPr>
          <w:trHeight w:val="30"/>
        </w:trPr>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2"/>
        </w:trPr>
        <w:tc>
          <w:tcPr>
            <w:tcW w:w="5680" w:type="dxa"/>
            <w:vAlign w:val="bottom"/>
            <w:shd w:val="clear" w:color="auto" w:fill="E8F4FF"/>
          </w:tcPr>
          <w:p>
            <w:pPr>
              <w:spacing w:after="0"/>
              <w:rPr>
                <w:sz w:val="20"/>
                <w:szCs w:val="20"/>
                <w:color w:val="auto"/>
              </w:rPr>
            </w:pPr>
            <w:r>
              <w:rPr>
                <w:rFonts w:ascii="Arial" w:cs="Arial" w:eastAsia="Arial" w:hAnsi="Arial"/>
                <w:sz w:val="12"/>
                <w:szCs w:val="12"/>
                <w:b w:val="1"/>
                <w:bCs w:val="1"/>
                <w:color w:val="2393FF"/>
              </w:rPr>
              <w:t>Alex Finkelstein</w:t>
            </w:r>
          </w:p>
        </w:tc>
        <w:tc>
          <w:tcPr>
            <w:tcW w:w="1600" w:type="dxa"/>
            <w:vAlign w:val="bottom"/>
            <w:shd w:val="clear" w:color="auto" w:fill="E8F4FF"/>
          </w:tcPr>
          <w:p>
            <w:pPr>
              <w:jc w:val="center"/>
              <w:ind w:right="602"/>
              <w:spacing w:after="0"/>
              <w:rPr>
                <w:sz w:val="20"/>
                <w:szCs w:val="20"/>
                <w:color w:val="auto"/>
              </w:rPr>
            </w:pPr>
            <w:r>
              <w:rPr>
                <w:rFonts w:ascii="Arial" w:cs="Arial" w:eastAsia="Arial" w:hAnsi="Arial"/>
                <w:sz w:val="12"/>
                <w:szCs w:val="12"/>
                <w:color w:val="auto"/>
              </w:rPr>
              <w:t>50</w:t>
            </w:r>
          </w:p>
        </w:tc>
        <w:tc>
          <w:tcPr>
            <w:tcW w:w="1920" w:type="dxa"/>
            <w:vAlign w:val="bottom"/>
            <w:shd w:val="clear" w:color="auto" w:fill="E8F4FF"/>
          </w:tcPr>
          <w:p>
            <w:pPr>
              <w:jc w:val="center"/>
              <w:ind w:left="922"/>
              <w:spacing w:after="0"/>
              <w:rPr>
                <w:sz w:val="20"/>
                <w:szCs w:val="20"/>
                <w:color w:val="auto"/>
              </w:rPr>
            </w:pPr>
            <w:r>
              <w:rPr>
                <w:rFonts w:ascii="Arial" w:cs="Arial" w:eastAsia="Arial" w:hAnsi="Arial"/>
                <w:sz w:val="12"/>
                <w:szCs w:val="12"/>
                <w:color w:val="auto"/>
                <w:w w:val="97"/>
              </w:rPr>
              <w:t>2011</w:t>
            </w:r>
          </w:p>
        </w:tc>
      </w:tr>
      <w:tr>
        <w:trPr>
          <w:trHeight w:val="69"/>
        </w:trPr>
        <w:tc>
          <w:tcPr>
            <w:tcW w:w="5680" w:type="dxa"/>
            <w:vAlign w:val="bottom"/>
            <w:shd w:val="clear" w:color="auto" w:fill="E8F4FF"/>
          </w:tcPr>
          <w:p>
            <w:pPr>
              <w:spacing w:after="0"/>
              <w:rPr>
                <w:sz w:val="5"/>
                <w:szCs w:val="5"/>
                <w:color w:val="auto"/>
              </w:rPr>
            </w:pPr>
          </w:p>
        </w:tc>
        <w:tc>
          <w:tcPr>
            <w:tcW w:w="1600" w:type="dxa"/>
            <w:vAlign w:val="bottom"/>
            <w:shd w:val="clear" w:color="auto" w:fill="E8F4FF"/>
          </w:tcPr>
          <w:p>
            <w:pPr>
              <w:spacing w:after="0"/>
              <w:rPr>
                <w:sz w:val="5"/>
                <w:szCs w:val="5"/>
                <w:color w:val="auto"/>
              </w:rPr>
            </w:pPr>
          </w:p>
        </w:tc>
        <w:tc>
          <w:tcPr>
            <w:tcW w:w="1920" w:type="dxa"/>
            <w:vAlign w:val="bottom"/>
            <w:shd w:val="clear" w:color="auto" w:fill="E8F4FF"/>
          </w:tcPr>
          <w:p>
            <w:pPr>
              <w:spacing w:after="0"/>
              <w:rPr>
                <w:sz w:val="5"/>
                <w:szCs w:val="5"/>
                <w:color w:val="auto"/>
              </w:rPr>
            </w:pPr>
          </w:p>
        </w:tc>
      </w:tr>
      <w:tr>
        <w:trPr>
          <w:trHeight w:val="202"/>
        </w:trPr>
        <w:tc>
          <w:tcPr>
            <w:tcW w:w="5680" w:type="dxa"/>
            <w:vAlign w:val="bottom"/>
          </w:tcPr>
          <w:p>
            <w:pPr>
              <w:spacing w:after="0"/>
              <w:rPr>
                <w:sz w:val="20"/>
                <w:szCs w:val="20"/>
                <w:color w:val="auto"/>
              </w:rPr>
            </w:pPr>
            <w:r>
              <w:rPr>
                <w:rFonts w:ascii="Arial" w:cs="Arial" w:eastAsia="Arial" w:hAnsi="Arial"/>
                <w:sz w:val="12"/>
                <w:szCs w:val="12"/>
                <w:b w:val="1"/>
                <w:bCs w:val="1"/>
                <w:color w:val="2393FF"/>
              </w:rPr>
              <w:t>Matthew Harris</w:t>
            </w:r>
          </w:p>
        </w:tc>
        <w:tc>
          <w:tcPr>
            <w:tcW w:w="1600" w:type="dxa"/>
            <w:vAlign w:val="bottom"/>
          </w:tcPr>
          <w:p>
            <w:pPr>
              <w:jc w:val="center"/>
              <w:ind w:right="602"/>
              <w:spacing w:after="0"/>
              <w:rPr>
                <w:sz w:val="20"/>
                <w:szCs w:val="20"/>
                <w:color w:val="auto"/>
              </w:rPr>
            </w:pPr>
            <w:r>
              <w:rPr>
                <w:rFonts w:ascii="Arial" w:cs="Arial" w:eastAsia="Arial" w:hAnsi="Arial"/>
                <w:sz w:val="12"/>
                <w:szCs w:val="12"/>
                <w:color w:val="auto"/>
              </w:rPr>
              <w:t>53</w:t>
            </w:r>
          </w:p>
        </w:tc>
        <w:tc>
          <w:tcPr>
            <w:tcW w:w="1920" w:type="dxa"/>
            <w:vAlign w:val="bottom"/>
          </w:tcPr>
          <w:p>
            <w:pPr>
              <w:jc w:val="center"/>
              <w:ind w:left="922"/>
              <w:spacing w:after="0"/>
              <w:rPr>
                <w:sz w:val="20"/>
                <w:szCs w:val="20"/>
                <w:color w:val="auto"/>
              </w:rPr>
            </w:pPr>
            <w:r>
              <w:rPr>
                <w:rFonts w:ascii="Arial" w:cs="Arial" w:eastAsia="Arial" w:hAnsi="Arial"/>
                <w:sz w:val="12"/>
                <w:szCs w:val="12"/>
                <w:color w:val="auto"/>
                <w:w w:val="97"/>
              </w:rPr>
              <w:t>2015</w:t>
            </w:r>
          </w:p>
        </w:tc>
      </w:tr>
      <w:tr>
        <w:trPr>
          <w:trHeight w:val="69"/>
        </w:trPr>
        <w:tc>
          <w:tcPr>
            <w:tcW w:w="56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920" w:type="dxa"/>
            <w:vAlign w:val="bottom"/>
          </w:tcPr>
          <w:p>
            <w:pPr>
              <w:spacing w:after="0"/>
              <w:rPr>
                <w:sz w:val="5"/>
                <w:szCs w:val="5"/>
                <w:color w:val="auto"/>
              </w:rPr>
            </w:pPr>
          </w:p>
        </w:tc>
      </w:tr>
      <w:tr>
        <w:trPr>
          <w:trHeight w:val="202"/>
        </w:trPr>
        <w:tc>
          <w:tcPr>
            <w:tcW w:w="5680" w:type="dxa"/>
            <w:vAlign w:val="bottom"/>
            <w:shd w:val="clear" w:color="auto" w:fill="E8F4FF"/>
          </w:tcPr>
          <w:p>
            <w:pPr>
              <w:spacing w:after="0"/>
              <w:rPr>
                <w:sz w:val="20"/>
                <w:szCs w:val="20"/>
                <w:color w:val="auto"/>
              </w:rPr>
            </w:pPr>
            <w:r>
              <w:rPr>
                <w:rFonts w:ascii="Arial" w:cs="Arial" w:eastAsia="Arial" w:hAnsi="Arial"/>
                <w:sz w:val="12"/>
                <w:szCs w:val="12"/>
                <w:b w:val="1"/>
                <w:bCs w:val="1"/>
                <w:color w:val="2393FF"/>
              </w:rPr>
              <w:t>Gretchen Howard</w:t>
            </w:r>
          </w:p>
        </w:tc>
        <w:tc>
          <w:tcPr>
            <w:tcW w:w="1600" w:type="dxa"/>
            <w:vAlign w:val="bottom"/>
            <w:shd w:val="clear" w:color="auto" w:fill="E8F4FF"/>
          </w:tcPr>
          <w:p>
            <w:pPr>
              <w:jc w:val="center"/>
              <w:ind w:right="602"/>
              <w:spacing w:after="0"/>
              <w:rPr>
                <w:sz w:val="20"/>
                <w:szCs w:val="20"/>
                <w:color w:val="auto"/>
              </w:rPr>
            </w:pPr>
            <w:r>
              <w:rPr>
                <w:rFonts w:ascii="Arial" w:cs="Arial" w:eastAsia="Arial" w:hAnsi="Arial"/>
                <w:sz w:val="12"/>
                <w:szCs w:val="12"/>
                <w:color w:val="auto"/>
              </w:rPr>
              <w:t>52</w:t>
            </w:r>
          </w:p>
        </w:tc>
        <w:tc>
          <w:tcPr>
            <w:tcW w:w="1920" w:type="dxa"/>
            <w:vAlign w:val="bottom"/>
            <w:shd w:val="clear" w:color="auto" w:fill="E8F4FF"/>
          </w:tcPr>
          <w:p>
            <w:pPr>
              <w:jc w:val="center"/>
              <w:ind w:left="922"/>
              <w:spacing w:after="0"/>
              <w:rPr>
                <w:sz w:val="20"/>
                <w:szCs w:val="20"/>
                <w:color w:val="auto"/>
              </w:rPr>
            </w:pPr>
            <w:r>
              <w:rPr>
                <w:rFonts w:ascii="Arial" w:cs="Arial" w:eastAsia="Arial" w:hAnsi="Arial"/>
                <w:sz w:val="12"/>
                <w:szCs w:val="12"/>
                <w:color w:val="auto"/>
                <w:w w:val="97"/>
              </w:rPr>
              <w:t>2023</w:t>
            </w:r>
          </w:p>
        </w:tc>
      </w:tr>
      <w:tr>
        <w:trPr>
          <w:trHeight w:val="69"/>
        </w:trPr>
        <w:tc>
          <w:tcPr>
            <w:tcW w:w="5680" w:type="dxa"/>
            <w:vAlign w:val="bottom"/>
            <w:tcBorders>
              <w:bottom w:val="single" w:sz="8" w:color="2393FF"/>
            </w:tcBorders>
            <w:shd w:val="clear" w:color="auto" w:fill="E8F4FF"/>
          </w:tcPr>
          <w:p>
            <w:pPr>
              <w:spacing w:after="0"/>
              <w:rPr>
                <w:sz w:val="5"/>
                <w:szCs w:val="5"/>
                <w:color w:val="auto"/>
              </w:rPr>
            </w:pPr>
          </w:p>
        </w:tc>
        <w:tc>
          <w:tcPr>
            <w:tcW w:w="1600" w:type="dxa"/>
            <w:vAlign w:val="bottom"/>
            <w:tcBorders>
              <w:bottom w:val="single" w:sz="8" w:color="2393FF"/>
            </w:tcBorders>
            <w:shd w:val="clear" w:color="auto" w:fill="E8F4FF"/>
          </w:tcPr>
          <w:p>
            <w:pPr>
              <w:spacing w:after="0"/>
              <w:rPr>
                <w:sz w:val="5"/>
                <w:szCs w:val="5"/>
                <w:color w:val="auto"/>
              </w:rPr>
            </w:pPr>
          </w:p>
        </w:tc>
        <w:tc>
          <w:tcPr>
            <w:tcW w:w="1920" w:type="dxa"/>
            <w:vAlign w:val="bottom"/>
            <w:tcBorders>
              <w:bottom w:val="single" w:sz="8" w:color="2393FF"/>
            </w:tcBorders>
            <w:shd w:val="clear" w:color="auto" w:fill="E8F4FF"/>
          </w:tcPr>
          <w:p>
            <w:pPr>
              <w:spacing w:after="0"/>
              <w:rPr>
                <w:sz w:val="5"/>
                <w:szCs w:val="5"/>
                <w:color w:val="auto"/>
              </w:rPr>
            </w:pPr>
          </w:p>
        </w:tc>
      </w:tr>
    </w:tbl>
    <w:p>
      <w:pPr>
        <w:spacing w:after="0" w:line="136" w:lineRule="exact"/>
        <w:rPr>
          <w:sz w:val="20"/>
          <w:szCs w:val="20"/>
          <w:color w:val="auto"/>
        </w:rPr>
      </w:pPr>
    </w:p>
    <w:p>
      <w:pPr>
        <w:ind w:left="1020" w:right="40"/>
        <w:spacing w:after="0" w:line="242" w:lineRule="auto"/>
        <w:rPr>
          <w:sz w:val="20"/>
          <w:szCs w:val="20"/>
          <w:color w:val="auto"/>
        </w:rPr>
      </w:pPr>
      <w:r>
        <w:rPr>
          <w:rFonts w:ascii="Arial" w:cs="Arial" w:eastAsia="Arial" w:hAnsi="Arial"/>
          <w:sz w:val="14"/>
          <w:szCs w:val="14"/>
          <w:color w:val="auto"/>
        </w:rPr>
        <w:t>The following is additional information about each of the nominees as of the date of this proxy statement, including their business experience, public company director positions held currently or at any time during the last five years, involvement in certain legal or administrative proceedings, if applicable, and the experiences, qualifications, attributes or skills that caused our Nominating and Corporate Governance Committee and our Board of Directors to determine that the nominees should serve as one of our directors.</w:t>
      </w:r>
    </w:p>
    <w:p>
      <w:pPr>
        <w:sectPr>
          <w:pgSz w:w="11900" w:h="16838" w:orient="portrait"/>
          <w:cols w:equalWidth="0" w:num="1">
            <w:col w:w="10220"/>
          </w:cols>
          <w:pgMar w:left="320" w:top="42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Alex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-1290955</wp:posOffset>
            </wp:positionV>
            <wp:extent cx="1116330" cy="1108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6330" cy="1108710"/>
                    </a:xfrm>
                    <a:prstGeom prst="rect">
                      <a:avLst/>
                    </a:prstGeom>
                    <a:noFill/>
                  </pic:spPr>
                </pic:pic>
              </a:graphicData>
            </a:graphic>
          </wp:anchor>
        </w:drawing>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Finkelstein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Age: 50  |  Director since: 2011</w:t>
      </w:r>
    </w:p>
    <w:p>
      <w:pPr>
        <w:spacing w:after="0" w:line="66" w:lineRule="exact"/>
        <w:rPr>
          <w:sz w:val="20"/>
          <w:szCs w:val="20"/>
          <w:color w:val="auto"/>
        </w:rPr>
      </w:pPr>
    </w:p>
    <w:p>
      <w:pPr>
        <w:ind w:right="200"/>
        <w:spacing w:after="0" w:line="288" w:lineRule="auto"/>
        <w:rPr>
          <w:sz w:val="20"/>
          <w:szCs w:val="20"/>
          <w:color w:val="auto"/>
        </w:rPr>
      </w:pPr>
      <w:r>
        <w:rPr>
          <w:rFonts w:ascii="Arial" w:cs="Arial" w:eastAsia="Arial" w:hAnsi="Arial"/>
          <w:sz w:val="12"/>
          <w:szCs w:val="12"/>
          <w:b w:val="1"/>
          <w:bCs w:val="1"/>
          <w:color w:val="2393FF"/>
        </w:rPr>
        <w:t xml:space="preserve">Mr. Finkelstein </w:t>
      </w:r>
      <w:r>
        <w:rPr>
          <w:rFonts w:ascii="Arial" w:cs="Arial" w:eastAsia="Arial" w:hAnsi="Arial"/>
          <w:sz w:val="12"/>
          <w:szCs w:val="12"/>
          <w:color w:val="000000"/>
        </w:rPr>
        <w:t>has served as a member of our Board of Directors since 2011. Mr. Finkelstein has served as a</w:t>
      </w:r>
      <w:r>
        <w:rPr>
          <w:rFonts w:ascii="Arial" w:cs="Arial" w:eastAsia="Arial" w:hAnsi="Arial"/>
          <w:sz w:val="12"/>
          <w:szCs w:val="12"/>
          <w:b w:val="1"/>
          <w:bCs w:val="1"/>
          <w:color w:val="2393FF"/>
        </w:rPr>
        <w:t xml:space="preserve"> </w:t>
      </w:r>
      <w:r>
        <w:rPr>
          <w:rFonts w:ascii="Arial" w:cs="Arial" w:eastAsia="Arial" w:hAnsi="Arial"/>
          <w:sz w:val="12"/>
          <w:szCs w:val="12"/>
          <w:color w:val="000000"/>
        </w:rPr>
        <w:t>General Partner at Spark Capital, a venture capital firm, since 2005. Mr. Finkelstein began his career 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Mr. Finkelstein earned his Bachelor of Arts in Political Science from Middlebury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113665</wp:posOffset>
            </wp:positionV>
            <wp:extent cx="4371975" cy="636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71975" cy="636905"/>
                    </a:xfrm>
                    <a:prstGeom prst="rect">
                      <a:avLst/>
                    </a:prstGeom>
                    <a:noFill/>
                  </pic:spPr>
                </pic:pic>
              </a:graphicData>
            </a:graphic>
          </wp:anchor>
        </w:drawing>
      </w:r>
    </w:p>
    <w:p>
      <w:pPr>
        <w:spacing w:after="0" w:line="316" w:lineRule="exact"/>
        <w:rPr>
          <w:sz w:val="20"/>
          <w:szCs w:val="20"/>
          <w:color w:val="auto"/>
        </w:rPr>
      </w:pPr>
    </w:p>
    <w:p>
      <w:pPr>
        <w:ind w:left="140" w:right="120"/>
        <w:spacing w:after="0" w:line="254" w:lineRule="auto"/>
        <w:rPr>
          <w:sz w:val="20"/>
          <w:szCs w:val="20"/>
          <w:color w:val="auto"/>
        </w:rPr>
      </w:pPr>
      <w:r>
        <w:rPr>
          <w:rFonts w:ascii="Arial" w:cs="Arial" w:eastAsia="Arial" w:hAnsi="Arial"/>
          <w:sz w:val="14"/>
          <w:szCs w:val="14"/>
          <w:b w:val="1"/>
          <w:bCs w:val="1"/>
          <w:color w:val="2393FF"/>
        </w:rPr>
        <w:t>We believe Mr. Finkelstein is qualified to serve on our Board of Directors because of his extensive business experience with technology companies, including experience in the formation, development and business strategy of multiple companies.</w:t>
      </w:r>
    </w:p>
    <w:p>
      <w:pPr>
        <w:spacing w:after="0" w:line="443" w:lineRule="exact"/>
        <w:rPr>
          <w:sz w:val="20"/>
          <w:szCs w:val="20"/>
          <w:color w:val="auto"/>
        </w:rPr>
      </w:pPr>
    </w:p>
    <w:p>
      <w:pPr>
        <w:sectPr>
          <w:pgSz w:w="11900" w:h="16838" w:orient="portrait"/>
          <w:cols w:equalWidth="0" w:num="2">
            <w:col w:w="2700" w:space="720"/>
            <w:col w:w="6800"/>
          </w:cols>
          <w:pgMar w:left="320" w:top="425" w:right="1359" w:bottom="1440" w:gutter="0" w:footer="0" w:header="0"/>
          <w:type w:val="continuous"/>
        </w:sect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8 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181610</wp:posOffset>
            </wp:positionV>
            <wp:extent cx="1116330" cy="1108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633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Matthew</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466090</wp:posOffset>
            </wp:positionV>
            <wp:extent cx="1116330" cy="11087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633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Gretchen</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Howard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Age: 53  |  Director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-571500</wp:posOffset>
            </wp:positionV>
            <wp:extent cx="719455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p>
    <w:p>
      <w:pPr>
        <w:spacing w:after="0" w:line="46" w:lineRule="exact"/>
        <w:rPr>
          <w:sz w:val="20"/>
          <w:szCs w:val="20"/>
          <w:color w:val="auto"/>
        </w:rPr>
      </w:pPr>
    </w:p>
    <w:p>
      <w:pPr>
        <w:spacing w:after="0" w:line="282" w:lineRule="auto"/>
        <w:rPr>
          <w:sz w:val="20"/>
          <w:szCs w:val="20"/>
          <w:color w:val="auto"/>
        </w:rPr>
      </w:pPr>
      <w:r>
        <w:rPr>
          <w:rFonts w:ascii="Arial" w:cs="Arial" w:eastAsia="Arial" w:hAnsi="Arial"/>
          <w:sz w:val="12"/>
          <w:szCs w:val="12"/>
          <w:b w:val="1"/>
          <w:bCs w:val="1"/>
          <w:color w:val="2393FF"/>
        </w:rPr>
        <w:t xml:space="preserve">Mr. Harris </w:t>
      </w:r>
      <w:r>
        <w:rPr>
          <w:rFonts w:ascii="Arial" w:cs="Arial" w:eastAsia="Arial" w:hAnsi="Arial"/>
          <w:sz w:val="12"/>
          <w:szCs w:val="12"/>
          <w:color w:val="000000"/>
        </w:rPr>
        <w:t>has served as a member of our Board of Directors since January 2015. Mr. Harris joined Bain Capital</w:t>
      </w:r>
      <w:r>
        <w:rPr>
          <w:rFonts w:ascii="Arial" w:cs="Arial" w:eastAsia="Arial" w:hAnsi="Arial"/>
          <w:sz w:val="12"/>
          <w:szCs w:val="12"/>
          <w:b w:val="1"/>
          <w:bCs w:val="1"/>
          <w:color w:val="2393FF"/>
        </w:rPr>
        <w:t xml:space="preserve"> </w:t>
      </w:r>
      <w:r>
        <w:rPr>
          <w:rFonts w:ascii="Arial" w:cs="Arial" w:eastAsia="Arial" w:hAnsi="Arial"/>
          <w:sz w:val="12"/>
          <w:szCs w:val="12"/>
          <w:color w:val="000000"/>
        </w:rPr>
        <w:t>Ventures in September 2012 to lead the New York City office, where he currently serves as a Partner. Mr. Harris focuses on business services companies, with a particular interest in financial services. Mr. Harris served as a member of the board of directors of AvidXchange Holdings, Inc., a provider of accounts payable automation software and payment solutions for middle market businesses and their suppliers, from July 2015 to March 2024. Mr. Harris has also served as a member of the board of directors of BTRS Holdings Inc. (f/k/a Factor Systems, Inc. (dba Billtrust)), a provider of cloud-based software and integrated payment processing solutions, until December 2022. Prior to joining Bain Capital Ventures, Mr. Harris founded Village Ventures, Inc., an early-stage venture capital firm focused on the media and financial services sectors, and served as Managing Director from January 2000 to September 2012. Mr. Harris holds a Bachelor of Arts degree from Williams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175895</wp:posOffset>
            </wp:positionV>
            <wp:extent cx="4371975" cy="501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71975" cy="501015"/>
                    </a:xfrm>
                    <a:prstGeom prst="rect">
                      <a:avLst/>
                    </a:prstGeom>
                    <a:noFill/>
                  </pic:spPr>
                </pic:pic>
              </a:graphicData>
            </a:graphic>
          </wp:anchor>
        </w:drawing>
      </w:r>
    </w:p>
    <w:p>
      <w:pPr>
        <w:spacing w:after="0" w:line="346" w:lineRule="exact"/>
        <w:rPr>
          <w:sz w:val="20"/>
          <w:szCs w:val="20"/>
          <w:color w:val="auto"/>
        </w:rPr>
      </w:pPr>
    </w:p>
    <w:p>
      <w:pPr>
        <w:ind w:left="140"/>
        <w:spacing w:after="0" w:line="254" w:lineRule="auto"/>
        <w:rPr>
          <w:sz w:val="20"/>
          <w:szCs w:val="20"/>
          <w:color w:val="auto"/>
        </w:rPr>
      </w:pPr>
      <w:r>
        <w:rPr>
          <w:rFonts w:ascii="Arial" w:cs="Arial" w:eastAsia="Arial" w:hAnsi="Arial"/>
          <w:sz w:val="14"/>
          <w:szCs w:val="14"/>
          <w:b w:val="1"/>
          <w:bCs w:val="1"/>
          <w:color w:val="2393FF"/>
        </w:rPr>
        <w:t>We believe Mr. Harris is qualified to serve on our Board of Directors because of his extensive business experience with technology companies, including experience in the formation, development and business strategy of multiple companies in the payments sector.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auto"/>
        </w:rPr>
        <w:t>Age: 52  |  Director since: 2023</w:t>
      </w:r>
    </w:p>
    <w:p>
      <w:pPr>
        <w:spacing w:after="0" w:line="66"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color w:val="2393FF"/>
        </w:rPr>
        <w:t xml:space="preserve">Ms. Howard </w:t>
      </w:r>
      <w:r>
        <w:rPr>
          <w:rFonts w:ascii="Arial" w:cs="Arial" w:eastAsia="Arial" w:hAnsi="Arial"/>
          <w:sz w:val="14"/>
          <w:szCs w:val="14"/>
          <w:color w:val="000000"/>
        </w:rPr>
        <w:t>has served as a member of our Board of Directors since September 2023. Ms. Howard served as</w:t>
      </w:r>
      <w:r>
        <w:rPr>
          <w:rFonts w:ascii="Arial" w:cs="Arial" w:eastAsia="Arial" w:hAnsi="Arial"/>
          <w:sz w:val="14"/>
          <w:szCs w:val="14"/>
          <w:b w:val="1"/>
          <w:bCs w:val="1"/>
          <w:color w:val="2393FF"/>
        </w:rPr>
        <w:t xml:space="preserve"> </w:t>
      </w:r>
      <w:r>
        <w:rPr>
          <w:rFonts w:ascii="Arial" w:cs="Arial" w:eastAsia="Arial" w:hAnsi="Arial"/>
          <w:sz w:val="14"/>
          <w:szCs w:val="14"/>
          <w:color w:val="000000"/>
        </w:rPr>
        <w:t>the former Chief Operating Officer of Robinhood Markets, Inc. from January 2019 until January 2024, where among other operational functions, she oversaw brokerage, cash compliance and operations, human resources and recruiting, customer trust and safety, as well as customer support and business strategy. Prior to her leadership role at Robinhood, Ms. Howard was a Partner with CapitalG, Alphabet Inc.’s growth equity fund from 2014 to 2019. Prior to her time at CapitalG, Ms. Howard held various positions at Google and Fidelity Investments. Ms. Howard is on the Board of Directors of AllTrails, a mobile app connecting people to the outdoors, and Thumbtack, Inc., a home services website/app. She is also a member of the Board of Trustees at Williams College and a former board member of the YMCA of San Francisco. She holds a B.A. from Williams College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88900</wp:posOffset>
            </wp:positionV>
            <wp:extent cx="4371975" cy="501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71975" cy="501015"/>
                    </a:xfrm>
                    <a:prstGeom prst="rect">
                      <a:avLst/>
                    </a:prstGeom>
                    <a:noFill/>
                  </pic:spPr>
                </pic:pic>
              </a:graphicData>
            </a:graphic>
          </wp:anchor>
        </w:drawing>
      </w:r>
    </w:p>
    <w:p>
      <w:pPr>
        <w:spacing w:after="0" w:line="209" w:lineRule="exact"/>
        <w:rPr>
          <w:sz w:val="20"/>
          <w:szCs w:val="20"/>
          <w:color w:val="auto"/>
        </w:rPr>
      </w:pPr>
    </w:p>
    <w:p>
      <w:pPr>
        <w:ind w:left="140" w:right="480"/>
        <w:spacing w:after="0" w:line="316" w:lineRule="auto"/>
        <w:rPr>
          <w:sz w:val="20"/>
          <w:szCs w:val="20"/>
          <w:color w:val="auto"/>
        </w:rPr>
      </w:pPr>
      <w:r>
        <w:rPr>
          <w:rFonts w:ascii="Arial" w:cs="Arial" w:eastAsia="Arial" w:hAnsi="Arial"/>
          <w:sz w:val="12"/>
          <w:szCs w:val="12"/>
          <w:b w:val="1"/>
          <w:bCs w:val="1"/>
          <w:color w:val="2393FF"/>
        </w:rPr>
        <w:t>We believe Ms. Howard is qualified to serve on our Board of Directors because of her extensive operational experience with technology companies, including experience in the formation, development and business strategy of multiple companies in the payments sector.</w:t>
      </w:r>
    </w:p>
    <w:p>
      <w:pPr>
        <w:spacing w:after="0" w:line="200" w:lineRule="exact"/>
        <w:rPr>
          <w:sz w:val="20"/>
          <w:szCs w:val="20"/>
          <w:color w:val="auto"/>
        </w:rPr>
      </w:pPr>
    </w:p>
    <w:p>
      <w:pPr>
        <w:sectPr>
          <w:pgSz w:w="11900" w:h="16838" w:orient="portrait"/>
          <w:cols w:equalWidth="0" w:num="2">
            <w:col w:w="2700" w:space="720"/>
            <w:col w:w="6740"/>
          </w:cols>
          <w:pgMar w:left="320" w:top="425" w:right="1419" w:bottom="1440" w:gutter="0" w:footer="0" w:header="0"/>
        </w:sectPr>
      </w:pP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REQUIRED VOTE AND RECOMMENDATION OF THE BOARD OF DIRECTORS FOR PROPOSAL 1</w:t>
      </w:r>
    </w:p>
    <w:p>
      <w:pPr>
        <w:spacing w:after="0" w:line="143" w:lineRule="exact"/>
        <w:rPr>
          <w:sz w:val="20"/>
          <w:szCs w:val="20"/>
          <w:color w:val="auto"/>
        </w:rPr>
      </w:pPr>
    </w:p>
    <w:p>
      <w:pPr>
        <w:ind w:left="1020" w:right="60"/>
        <w:spacing w:after="0" w:line="239" w:lineRule="auto"/>
        <w:rPr>
          <w:sz w:val="20"/>
          <w:szCs w:val="20"/>
          <w:color w:val="auto"/>
        </w:rPr>
      </w:pPr>
      <w:r>
        <w:rPr>
          <w:rFonts w:ascii="Arial" w:cs="Arial" w:eastAsia="Arial" w:hAnsi="Arial"/>
          <w:sz w:val="14"/>
          <w:szCs w:val="14"/>
          <w:color w:val="auto"/>
        </w:rPr>
        <w:t>The affirmative vote of a plurality of the votes cast at the Annual Meeting is required for the election of our Class II directors. The three nominees receiving the most “FOR” votes among votes properly cast in person or by proxy will be elected to the Board of Directors as Class II directors. You may vote “FOR” or “WITHHOLD” on each of the nominees for election as director. Shares represented by signed proxy cards will be voted on Proposal 1 “FOR” the election of Alex Finkelstein, Matthew Harris and Gretchen Howard to the Board of Directors at the Annual Meeting, unless otherwise marked on the card. A broker non-vote or a properly executed proxy marked “WITHHOLD” with respect to the election of a Class II director will not be voted with respect to such director, although it will be counted for purposes of determining whether there is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75565</wp:posOffset>
            </wp:positionV>
            <wp:extent cx="5838190" cy="186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38190" cy="186055"/>
                    </a:xfrm>
                    <a:prstGeom prst="rect">
                      <a:avLst/>
                    </a:prstGeom>
                    <a:noFill/>
                  </pic:spPr>
                </pic:pic>
              </a:graphicData>
            </a:graphic>
          </wp:anchor>
        </w:drawing>
      </w:r>
    </w:p>
    <w:p>
      <w:pPr>
        <w:spacing w:after="0" w:line="177"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2393FF"/>
        </w:rPr>
        <w:t>Our Board of Directors unanimously recommends a vote “FOR” each of the Class II nominees named above.</w:t>
      </w:r>
    </w:p>
    <w:p>
      <w:pPr>
        <w:spacing w:after="0" w:line="163" w:lineRule="exact"/>
        <w:rPr>
          <w:sz w:val="20"/>
          <w:szCs w:val="20"/>
          <w:color w:val="auto"/>
        </w:rPr>
      </w:pPr>
    </w:p>
    <w:p>
      <w:pPr>
        <w:ind w:left="4320"/>
        <w:spacing w:after="0"/>
        <w:tabs>
          <w:tab w:leader="none" w:pos="5820" w:val="left"/>
        </w:tabs>
        <w:rPr>
          <w:sz w:val="20"/>
          <w:szCs w:val="20"/>
          <w:color w:val="auto"/>
        </w:rPr>
      </w:pPr>
      <w:r>
        <w:rPr>
          <w:rFonts w:ascii="Arial" w:cs="Arial" w:eastAsia="Arial" w:hAnsi="Arial"/>
          <w:sz w:val="11"/>
          <w:szCs w:val="11"/>
          <w:b w:val="1"/>
          <w:bCs w:val="1"/>
          <w:color w:val="auto"/>
        </w:rPr>
        <w:t xml:space="preserve">Flywire Corporation      9 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60"/>
          </w:cols>
          <w:pgMar w:left="320" w:top="425" w:right="14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CONTINUING DIRECTORS NOT STANDING FOR ELECTION</w:t>
      </w:r>
    </w:p>
    <w:p>
      <w:pPr>
        <w:spacing w:after="0" w:line="143" w:lineRule="exact"/>
        <w:rPr>
          <w:sz w:val="20"/>
          <w:szCs w:val="20"/>
          <w:color w:val="auto"/>
        </w:rPr>
      </w:pPr>
    </w:p>
    <w:p>
      <w:pPr>
        <w:ind w:left="1020" w:right="20"/>
        <w:spacing w:after="0" w:line="296" w:lineRule="auto"/>
        <w:rPr>
          <w:sz w:val="20"/>
          <w:szCs w:val="20"/>
          <w:color w:val="auto"/>
        </w:rPr>
      </w:pPr>
      <w:r>
        <w:rPr>
          <w:rFonts w:ascii="Arial" w:cs="Arial" w:eastAsia="Arial" w:hAnsi="Arial"/>
          <w:sz w:val="12"/>
          <w:szCs w:val="12"/>
          <w:color w:val="auto"/>
        </w:rPr>
        <w:t>Certain information about those directors whose terms do not expire at the Annual Meeting is furnished below, including their business experience, public company director positions held currently or at any time during the last five years, involvement in certain legal or administrative proceedings, if applicable, and the experiences, qualifications, attributes or skills that caused our Nominating and Corporate Governance committee and our Board of Directors to determine that the directors should serve as one of our directors. The age of each director as of the Record Date is set forth below.</w:t>
      </w:r>
    </w:p>
    <w:p>
      <w:pPr>
        <w:spacing w:after="0" w:line="92" w:lineRule="exact"/>
        <w:rPr>
          <w:sz w:val="20"/>
          <w:szCs w:val="20"/>
          <w:color w:val="auto"/>
        </w:rPr>
      </w:pPr>
    </w:p>
    <w:p>
      <w:pPr>
        <w:ind w:left="1020"/>
        <w:spacing w:after="0"/>
        <w:rPr>
          <w:sz w:val="20"/>
          <w:szCs w:val="20"/>
          <w:color w:val="auto"/>
        </w:rPr>
      </w:pPr>
      <w:r>
        <w:rPr>
          <w:rFonts w:ascii="Arial" w:cs="Arial" w:eastAsia="Arial" w:hAnsi="Arial"/>
          <w:sz w:val="15"/>
          <w:szCs w:val="15"/>
          <w:color w:val="2393FF"/>
        </w:rPr>
        <w:t>Incumbent Class III Directors Whose Term Expires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200025</wp:posOffset>
            </wp:positionV>
            <wp:extent cx="1116330" cy="1116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6330" cy="1116330"/>
                    </a:xfrm>
                    <a:prstGeom prst="rect">
                      <a:avLst/>
                    </a:prstGeom>
                    <a:noFill/>
                  </pic:spPr>
                </pic:pic>
              </a:graphicData>
            </a:graphic>
          </wp:anchor>
        </w:drawing>
      </w:r>
    </w:p>
    <w:p>
      <w:pPr>
        <w:sectPr>
          <w:pgSz w:w="11900" w:h="16838" w:orient="portrait"/>
          <w:cols w:equalWidth="0" w:num="1">
            <w:col w:w="10200"/>
          </w:cols>
          <w:pgMar w:left="320" w:top="42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Phillip</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737870</wp:posOffset>
            </wp:positionV>
            <wp:extent cx="1116330" cy="1116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6330" cy="111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Edwin</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6"/>
          <w:szCs w:val="26"/>
          <w:b w:val="1"/>
          <w:bCs w:val="1"/>
          <w:color w:val="2393FF"/>
        </w:rPr>
        <w:t>Santos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Age: 76  |  Director since: 2013</w:t>
      </w:r>
    </w:p>
    <w:p>
      <w:pPr>
        <w:spacing w:after="0" w:line="66" w:lineRule="exact"/>
        <w:rPr>
          <w:sz w:val="20"/>
          <w:szCs w:val="20"/>
          <w:color w:val="auto"/>
        </w:rPr>
      </w:pPr>
    </w:p>
    <w:p>
      <w:pPr>
        <w:spacing w:after="0" w:line="280" w:lineRule="auto"/>
        <w:rPr>
          <w:sz w:val="20"/>
          <w:szCs w:val="20"/>
          <w:color w:val="auto"/>
        </w:rPr>
      </w:pPr>
      <w:r>
        <w:rPr>
          <w:rFonts w:ascii="Arial" w:cs="Arial" w:eastAsia="Arial" w:hAnsi="Arial"/>
          <w:sz w:val="12"/>
          <w:szCs w:val="12"/>
          <w:b w:val="1"/>
          <w:bCs w:val="1"/>
          <w:color w:val="2393FF"/>
        </w:rPr>
        <w:t xml:space="preserve">Mr. Riese </w:t>
      </w:r>
      <w:r>
        <w:rPr>
          <w:rFonts w:ascii="Arial" w:cs="Arial" w:eastAsia="Arial" w:hAnsi="Arial"/>
          <w:sz w:val="12"/>
          <w:szCs w:val="12"/>
          <w:color w:val="000000"/>
        </w:rPr>
        <w:t>has served as a member and Chair of our Board of Directors since August 2013. In November 1998,</w:t>
      </w:r>
      <w:r>
        <w:rPr>
          <w:rFonts w:ascii="Arial" w:cs="Arial" w:eastAsia="Arial" w:hAnsi="Arial"/>
          <w:sz w:val="12"/>
          <w:szCs w:val="12"/>
          <w:b w:val="1"/>
          <w:bCs w:val="1"/>
          <w:color w:val="2393FF"/>
        </w:rPr>
        <w:t xml:space="preserve"> </w:t>
      </w:r>
      <w:r>
        <w:rPr>
          <w:rFonts w:ascii="Arial" w:cs="Arial" w:eastAsia="Arial" w:hAnsi="Arial"/>
          <w:sz w:val="12"/>
          <w:szCs w:val="12"/>
          <w:color w:val="000000"/>
        </w:rPr>
        <w:t>Mr. Riese established Riese &amp; Others, offering his personal services as a board member and advisor with a focus on global emerging and disruptive companies primarily in financial services. He frequently invests in those companies alongside a variety of venture capital and private equity firms. Prior to forming Riese &amp; Others,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Mr. Riese spent 18 years at American Express, ultimately serving as the president of the Consumer Card Group and chairman of American Express Centurion Bank. Before joining American Express, Mr. Riese was a division executive at Chase Manhattan Bank, after being a partner at M.C. Geffen and Associates, a consulting firm in South Africa. Mr. Riese serves as a board member for a number of public and private companies, including Remitly, Betterment LLC and Cross River Bank. Mr. Riese holds a Bachelor’s degree in Commerce from Leeds University in England, a M.B.A. from the University of Cape Town in South Africa and a Master of Science degree from Massachusetts Institute of Technology’s Sloan School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67945</wp:posOffset>
            </wp:positionV>
            <wp:extent cx="4371975" cy="400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71975" cy="400685"/>
                    </a:xfrm>
                    <a:prstGeom prst="rect">
                      <a:avLst/>
                    </a:prstGeom>
                    <a:noFill/>
                  </pic:spPr>
                </pic:pic>
              </a:graphicData>
            </a:graphic>
          </wp:anchor>
        </w:drawing>
      </w:r>
    </w:p>
    <w:p>
      <w:pPr>
        <w:spacing w:after="0" w:line="176" w:lineRule="exact"/>
        <w:rPr>
          <w:sz w:val="20"/>
          <w:szCs w:val="20"/>
          <w:color w:val="auto"/>
        </w:rPr>
      </w:pPr>
    </w:p>
    <w:p>
      <w:pPr>
        <w:ind w:left="140" w:right="700"/>
        <w:spacing w:after="0" w:line="272" w:lineRule="auto"/>
        <w:rPr>
          <w:sz w:val="20"/>
          <w:szCs w:val="20"/>
          <w:color w:val="auto"/>
        </w:rPr>
      </w:pPr>
      <w:r>
        <w:rPr>
          <w:rFonts w:ascii="Arial" w:cs="Arial" w:eastAsia="Arial" w:hAnsi="Arial"/>
          <w:sz w:val="14"/>
          <w:szCs w:val="14"/>
          <w:b w:val="1"/>
          <w:bCs w:val="1"/>
          <w:color w:val="2393FF"/>
        </w:rPr>
        <w:t>We believe Mr. Riese is qualified to serve on our Board of Directors because of his extensive experience in the payments industry and his senior management experience.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Age: 66  |  Director since: 2021</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4"/>
          <w:szCs w:val="14"/>
          <w:b w:val="1"/>
          <w:bCs w:val="1"/>
          <w:color w:val="2393FF"/>
        </w:rPr>
        <w:t xml:space="preserve">Mr. Santos </w:t>
      </w:r>
      <w:r>
        <w:rPr>
          <w:rFonts w:ascii="Arial" w:cs="Arial" w:eastAsia="Arial" w:hAnsi="Arial"/>
          <w:sz w:val="14"/>
          <w:szCs w:val="14"/>
          <w:color w:val="000000"/>
        </w:rPr>
        <w:t>has served as a member of our Board of Directors since April 2021. Mr. Santos has had a</w:t>
      </w:r>
      <w:r>
        <w:rPr>
          <w:rFonts w:ascii="Arial" w:cs="Arial" w:eastAsia="Arial" w:hAnsi="Arial"/>
          <w:sz w:val="14"/>
          <w:szCs w:val="14"/>
          <w:b w:val="1"/>
          <w:bCs w:val="1"/>
          <w:color w:val="2393FF"/>
        </w:rPr>
        <w:t xml:space="preserve"> </w:t>
      </w:r>
      <w:r>
        <w:rPr>
          <w:rFonts w:ascii="Arial" w:cs="Arial" w:eastAsia="Arial" w:hAnsi="Arial"/>
          <w:sz w:val="14"/>
          <w:szCs w:val="14"/>
          <w:color w:val="000000"/>
        </w:rPr>
        <w:t>distinguished career in banking, with experience in risk management, corporate governance, management advisory services, acquisitions, and reengineering efforts. He served for many years in various positions of significant responsibility with FleetBoston Financial Group, and more recently served as Group Executive Vice President and General Auditor for Citizens Financial Group prior to his retirement in 2009. Mr. Santos currently serves as a member of the boards of directors of the Providence Mutual Fire Insurance Company and Washington Trust Bancorp Inc. He is also the former President of the Board of Trustees of Rocky Hill School, and a member of the Bryant University Board of Trustees. Mr. Santos holds a Bachelor’s degree in Business Administration and Accounting from Bryant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68580</wp:posOffset>
            </wp:positionV>
            <wp:extent cx="4371975" cy="400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71975" cy="400685"/>
                    </a:xfrm>
                    <a:prstGeom prst="rect">
                      <a:avLst/>
                    </a:prstGeom>
                    <a:noFill/>
                  </pic:spPr>
                </pic:pic>
              </a:graphicData>
            </a:graphic>
          </wp:anchor>
        </w:drawing>
      </w:r>
    </w:p>
    <w:p>
      <w:pPr>
        <w:spacing w:after="0" w:line="177" w:lineRule="exact"/>
        <w:rPr>
          <w:sz w:val="20"/>
          <w:szCs w:val="20"/>
          <w:color w:val="auto"/>
        </w:rPr>
      </w:pPr>
    </w:p>
    <w:p>
      <w:pPr>
        <w:ind w:left="140" w:right="420"/>
        <w:spacing w:after="0" w:line="272" w:lineRule="auto"/>
        <w:rPr>
          <w:sz w:val="20"/>
          <w:szCs w:val="20"/>
          <w:color w:val="auto"/>
        </w:rPr>
      </w:pPr>
      <w:r>
        <w:rPr>
          <w:rFonts w:ascii="Arial" w:cs="Arial" w:eastAsia="Arial" w:hAnsi="Arial"/>
          <w:sz w:val="14"/>
          <w:szCs w:val="14"/>
          <w:b w:val="1"/>
          <w:bCs w:val="1"/>
          <w:color w:val="2393FF"/>
        </w:rPr>
        <w:t>We believe Mr. Santos is qualified to serve on our Board of Directors because of his professional competency and broad experience in the financial services industry.</w:t>
      </w:r>
    </w:p>
    <w:p>
      <w:pPr>
        <w:spacing w:after="0" w:line="286" w:lineRule="exact"/>
        <w:rPr>
          <w:sz w:val="20"/>
          <w:szCs w:val="20"/>
          <w:color w:val="auto"/>
        </w:rPr>
      </w:pPr>
    </w:p>
    <w:p>
      <w:pPr>
        <w:sectPr>
          <w:pgSz w:w="11900" w:h="16838" w:orient="portrait"/>
          <w:cols w:equalWidth="0" w:num="2">
            <w:col w:w="2700" w:space="720"/>
            <w:col w:w="6780"/>
          </w:cols>
          <w:pgMar w:left="320" w:top="425" w:right="1379" w:bottom="1440" w:gutter="0" w:footer="0" w:header="0"/>
          <w:type w:val="continuous"/>
        </w:sect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10 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00"/>
          </w:cols>
          <w:pgMar w:left="320" w:top="425" w:right="13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181610</wp:posOffset>
            </wp:positionV>
            <wp:extent cx="1116330" cy="11087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633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660"/>
        <w:spacing w:after="0"/>
        <w:rPr>
          <w:sz w:val="20"/>
          <w:szCs w:val="20"/>
          <w:color w:val="auto"/>
        </w:rPr>
      </w:pPr>
      <w:r>
        <w:rPr>
          <w:rFonts w:ascii="Arial" w:cs="Arial" w:eastAsia="Arial" w:hAnsi="Arial"/>
          <w:sz w:val="27"/>
          <w:szCs w:val="27"/>
          <w:color w:val="2393FF"/>
        </w:rPr>
        <w:t>Carleigh</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Jaques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Age: 58  |  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-571500</wp:posOffset>
            </wp:positionV>
            <wp:extent cx="719455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p>
    <w:p>
      <w:pPr>
        <w:spacing w:after="0" w:line="46"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b w:val="1"/>
          <w:bCs w:val="1"/>
          <w:color w:val="2393FF"/>
        </w:rPr>
        <w:t xml:space="preserve">Ms. Jaques </w:t>
      </w:r>
      <w:r>
        <w:rPr>
          <w:rFonts w:ascii="Arial" w:cs="Arial" w:eastAsia="Arial" w:hAnsi="Arial"/>
          <w:sz w:val="12"/>
          <w:szCs w:val="12"/>
          <w:color w:val="000000"/>
        </w:rPr>
        <w:t>has served as a member of our Board of Directors since November 2024. Ms. Jaques previously led</w:t>
      </w:r>
      <w:r>
        <w:rPr>
          <w:rFonts w:ascii="Arial" w:cs="Arial" w:eastAsia="Arial" w:hAnsi="Arial"/>
          <w:sz w:val="12"/>
          <w:szCs w:val="12"/>
          <w:b w:val="1"/>
          <w:bCs w:val="1"/>
          <w:color w:val="2393FF"/>
        </w:rPr>
        <w:t xml:space="preserve"> </w:t>
      </w:r>
      <w:r>
        <w:rPr>
          <w:rFonts w:ascii="Arial" w:cs="Arial" w:eastAsia="Arial" w:hAnsi="Arial"/>
          <w:sz w:val="12"/>
          <w:szCs w:val="12"/>
          <w:color w:val="000000"/>
        </w:rPr>
        <w:t>multiple strategic and operational teams at Visa, Inc., where she was most recently the SVP, Global Head of Risk &amp; Identity Solutions. In this role, she accelerated the growth of Visa’s global fraud detection business, which supports financial institutions and merchants with capabilities to make real-time decisions and authenticate account holders across Visa. Prior to that, Ms. Jaques was SVP and Global Head of Acceptance Solutions at Visa, where she led the transformation of the company’s merchant and acquirer capabilities including Tap to Phone, urban mobility and merchant digital solutions. In her prior role as SVP and GM of Visa’s Cybersource business, Ms. Jaques led one of the world’s largest digital gateways, including its international expansion, sales model transformation and entry into new markets, such as face to face acceptance. Prior to joining Visa,</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Ms. Jaques was a technology investment banker. Ms. Jaques holds a B.A. from the University of Michigan and an MBA from The Wharton School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66675</wp:posOffset>
            </wp:positionV>
            <wp:extent cx="4371975" cy="400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71975" cy="400685"/>
                    </a:xfrm>
                    <a:prstGeom prst="rect">
                      <a:avLst/>
                    </a:prstGeom>
                    <a:noFill/>
                  </pic:spPr>
                </pic:pic>
              </a:graphicData>
            </a:graphic>
          </wp:anchor>
        </w:drawing>
      </w:r>
    </w:p>
    <w:p>
      <w:pPr>
        <w:spacing w:after="0" w:line="174" w:lineRule="exact"/>
        <w:rPr>
          <w:sz w:val="20"/>
          <w:szCs w:val="20"/>
          <w:color w:val="auto"/>
        </w:rPr>
      </w:pPr>
    </w:p>
    <w:p>
      <w:pPr>
        <w:ind w:left="140" w:right="60"/>
        <w:spacing w:after="0" w:line="272" w:lineRule="auto"/>
        <w:rPr>
          <w:sz w:val="20"/>
          <w:szCs w:val="20"/>
          <w:color w:val="auto"/>
        </w:rPr>
      </w:pPr>
      <w:r>
        <w:rPr>
          <w:rFonts w:ascii="Arial" w:cs="Arial" w:eastAsia="Arial" w:hAnsi="Arial"/>
          <w:sz w:val="14"/>
          <w:szCs w:val="14"/>
          <w:b w:val="1"/>
          <w:bCs w:val="1"/>
          <w:color w:val="2393FF"/>
        </w:rPr>
        <w:t>We believe Ms. Jaques is qualified to serve on our Board of Directors because of her broad experience in risk management and the payments and financial services industries.</w:t>
      </w:r>
    </w:p>
    <w:p>
      <w:pPr>
        <w:spacing w:after="0" w:line="200" w:lineRule="exact"/>
        <w:rPr>
          <w:sz w:val="20"/>
          <w:szCs w:val="20"/>
          <w:color w:val="auto"/>
        </w:rPr>
      </w:pPr>
    </w:p>
    <w:p>
      <w:pPr>
        <w:sectPr>
          <w:pgSz w:w="11900" w:h="16838" w:orient="portrait"/>
          <w:cols w:equalWidth="0" w:num="2">
            <w:col w:w="2700" w:space="720"/>
            <w:col w:w="6800"/>
          </w:cols>
          <w:pgMar w:left="320" w:top="425" w:right="1359" w:bottom="1440" w:gutter="0" w:footer="0" w:header="0"/>
        </w:sectPr>
      </w:pP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5"/>
          <w:szCs w:val="15"/>
          <w:color w:val="2393FF"/>
        </w:rPr>
        <w:t>Incumbent Class I Directors Whose Term Expires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200025</wp:posOffset>
            </wp:positionV>
            <wp:extent cx="1116330" cy="11087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6330" cy="1108710"/>
                    </a:xfrm>
                    <a:prstGeom prst="rect">
                      <a:avLst/>
                    </a:prstGeom>
                    <a:noFill/>
                  </pic:spPr>
                </pic:pic>
              </a:graphicData>
            </a:graphic>
          </wp:anchor>
        </w:drawing>
      </w:r>
    </w:p>
    <w:p>
      <w:pPr>
        <w:sectPr>
          <w:pgSz w:w="11900" w:h="16838" w:orient="portrait"/>
          <w:cols w:equalWidth="0" w:num="1">
            <w:col w:w="10220"/>
          </w:cols>
          <w:pgMar w:left="320" w:top="425"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Christine</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Katziff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745490</wp:posOffset>
            </wp:positionV>
            <wp:extent cx="1116330" cy="1108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633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Michael</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Massaro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Age: 61  |  Director since: 2026</w:t>
      </w:r>
    </w:p>
    <w:p>
      <w:pPr>
        <w:spacing w:after="0" w:line="66"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b w:val="1"/>
          <w:bCs w:val="1"/>
          <w:color w:val="2393FF"/>
        </w:rPr>
        <w:t xml:space="preserve">Ms. Katziff </w:t>
      </w:r>
      <w:r>
        <w:rPr>
          <w:rFonts w:ascii="Arial" w:cs="Arial" w:eastAsia="Arial" w:hAnsi="Arial"/>
          <w:sz w:val="12"/>
          <w:szCs w:val="12"/>
          <w:color w:val="000000"/>
        </w:rPr>
        <w:t>has served as a member of our Board of Directors since March 2026. Ms. Katziff has had a</w:t>
      </w:r>
      <w:r>
        <w:rPr>
          <w:rFonts w:ascii="Arial" w:cs="Arial" w:eastAsia="Arial" w:hAnsi="Arial"/>
          <w:sz w:val="12"/>
          <w:szCs w:val="12"/>
          <w:b w:val="1"/>
          <w:bCs w:val="1"/>
          <w:color w:val="2393FF"/>
        </w:rPr>
        <w:t xml:space="preserve"> </w:t>
      </w:r>
      <w:r>
        <w:rPr>
          <w:rFonts w:ascii="Arial" w:cs="Arial" w:eastAsia="Arial" w:hAnsi="Arial"/>
          <w:sz w:val="12"/>
          <w:szCs w:val="12"/>
          <w:color w:val="000000"/>
        </w:rPr>
        <w:t>distinguished career in banking, with experience in risk, cybersecurity, capital planning, business transformation and compliance. In March 2026, Ms. Katziff retired from Bank of America following a 38 year career in which she most recently served as Chief Audit Executive, leading a global team of professionals across audit and credit review. She reported directly to the Chief Executive Officer and Audit Committee of the Board, overseeing activities that assessed risk, cybersecurity, capital planning, business transformation, and compliance across one of the world’s largest financial institutions. Ms. Katziff currently serves as Chair of the Board of Directors of Novant Health, a Southeast regional healthcare system, and chairs the Finance and Facilities Committee of the Board of Trustees at Bryant University. Her advocacy for wellness, mental health, and higher education has spanned Board service at UNC Charlotte, Central Piedmont Community College, and the American Heart Association’s national Go Red for Women Leadership Council. Ms. Katziff holds a Bachelor’s degree in Business Administration from Bryant University and a Masters in Business Administration from the University of Hartford.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153035</wp:posOffset>
            </wp:positionV>
            <wp:extent cx="4371975" cy="400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71975" cy="400685"/>
                    </a:xfrm>
                    <a:prstGeom prst="rect">
                      <a:avLst/>
                    </a:prstGeom>
                    <a:noFill/>
                  </pic:spPr>
                </pic:pic>
              </a:graphicData>
            </a:graphic>
          </wp:anchor>
        </w:drawing>
      </w:r>
    </w:p>
    <w:p>
      <w:pPr>
        <w:spacing w:after="0" w:line="310" w:lineRule="exact"/>
        <w:rPr>
          <w:sz w:val="20"/>
          <w:szCs w:val="20"/>
          <w:color w:val="auto"/>
        </w:rPr>
      </w:pPr>
    </w:p>
    <w:p>
      <w:pPr>
        <w:ind w:left="140" w:right="440"/>
        <w:spacing w:after="0" w:line="358" w:lineRule="auto"/>
        <w:rPr>
          <w:sz w:val="20"/>
          <w:szCs w:val="20"/>
          <w:color w:val="auto"/>
        </w:rPr>
      </w:pPr>
      <w:r>
        <w:rPr>
          <w:rFonts w:ascii="Arial" w:cs="Arial" w:eastAsia="Arial" w:hAnsi="Arial"/>
          <w:sz w:val="12"/>
          <w:szCs w:val="12"/>
          <w:b w:val="1"/>
          <w:bCs w:val="1"/>
          <w:color w:val="2393FF"/>
        </w:rPr>
        <w:t>We believe Ms. Katziff is qualified to serve on our Board of Directors because of her professional competency and broad experience in risk management and the financial services industry.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Age: 47  |  Director since: 2013</w:t>
      </w:r>
    </w:p>
    <w:p>
      <w:pPr>
        <w:spacing w:after="0" w:line="66"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b w:val="1"/>
          <w:bCs w:val="1"/>
          <w:color w:val="2393FF"/>
        </w:rPr>
        <w:t xml:space="preserve">Mr. Massaro </w:t>
      </w:r>
      <w:r>
        <w:rPr>
          <w:rFonts w:ascii="Arial" w:cs="Arial" w:eastAsia="Arial" w:hAnsi="Arial"/>
          <w:sz w:val="14"/>
          <w:szCs w:val="14"/>
          <w:color w:val="000000"/>
        </w:rPr>
        <w:t>has served as our Chief Executive Officer and a member of our Board of Directors since</w:t>
      </w:r>
      <w:r>
        <w:rPr>
          <w:rFonts w:ascii="Arial" w:cs="Arial" w:eastAsia="Arial" w:hAnsi="Arial"/>
          <w:sz w:val="14"/>
          <w:szCs w:val="14"/>
          <w:b w:val="1"/>
          <w:bCs w:val="1"/>
          <w:color w:val="2393FF"/>
        </w:rPr>
        <w:t xml:space="preserve"> </w:t>
      </w:r>
      <w:r>
        <w:rPr>
          <w:rFonts w:ascii="Arial" w:cs="Arial" w:eastAsia="Arial" w:hAnsi="Arial"/>
          <w:sz w:val="14"/>
          <w:szCs w:val="14"/>
          <w:color w:val="000000"/>
        </w:rPr>
        <w:t>December 2013. Prior to being appointed as our Chief Executive Officer, 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PricewaterhouseCoopers LLP. He earned his Bachelor of Science degree in Management Information Systems from Babson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67945</wp:posOffset>
            </wp:positionV>
            <wp:extent cx="4371975" cy="5651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71975" cy="565150"/>
                    </a:xfrm>
                    <a:prstGeom prst="rect">
                      <a:avLst/>
                    </a:prstGeom>
                    <a:noFill/>
                  </pic:spPr>
                </pic:pic>
              </a:graphicData>
            </a:graphic>
          </wp:anchor>
        </w:drawing>
      </w:r>
    </w:p>
    <w:p>
      <w:pPr>
        <w:spacing w:after="0" w:line="221" w:lineRule="exact"/>
        <w:rPr>
          <w:sz w:val="20"/>
          <w:szCs w:val="20"/>
          <w:color w:val="auto"/>
        </w:rPr>
      </w:pPr>
    </w:p>
    <w:p>
      <w:pPr>
        <w:ind w:left="140" w:right="20"/>
        <w:spacing w:after="0" w:line="254" w:lineRule="auto"/>
        <w:rPr>
          <w:sz w:val="20"/>
          <w:szCs w:val="20"/>
          <w:color w:val="auto"/>
        </w:rPr>
      </w:pPr>
      <w:r>
        <w:rPr>
          <w:rFonts w:ascii="Arial" w:cs="Arial" w:eastAsia="Arial" w:hAnsi="Arial"/>
          <w:sz w:val="14"/>
          <w:szCs w:val="14"/>
          <w:b w:val="1"/>
          <w:bCs w:val="1"/>
          <w:color w:val="2393FF"/>
        </w:rPr>
        <w:t>Mr. Massaro’s extensive knowledge of our business, as well as his years of experience in the payments industry, including executive leadership in several companies, contributed to our conclusion that he should serve as a member of our Board of Directors.</w:t>
      </w:r>
    </w:p>
    <w:p>
      <w:pPr>
        <w:spacing w:after="0" w:line="319" w:lineRule="exact"/>
        <w:rPr>
          <w:sz w:val="20"/>
          <w:szCs w:val="20"/>
          <w:color w:val="auto"/>
        </w:rPr>
      </w:pPr>
    </w:p>
    <w:p>
      <w:pPr>
        <w:sectPr>
          <w:pgSz w:w="11900" w:h="16838" w:orient="portrait"/>
          <w:cols w:equalWidth="0" w:num="2">
            <w:col w:w="2700" w:space="720"/>
            <w:col w:w="6800"/>
          </w:cols>
          <w:pgMar w:left="320" w:top="425" w:right="1359" w:bottom="1440" w:gutter="0" w:footer="0" w:header="0"/>
          <w:type w:val="continuous"/>
        </w:sectPr>
      </w:pPr>
    </w:p>
    <w:p>
      <w:pPr>
        <w:spacing w:after="0" w:line="35" w:lineRule="exact"/>
        <w:rPr>
          <w:sz w:val="20"/>
          <w:szCs w:val="20"/>
          <w:color w:val="auto"/>
        </w:rPr>
      </w:pPr>
    </w:p>
    <w:p>
      <w:pPr>
        <w:ind w:left="4280"/>
        <w:spacing w:after="0"/>
        <w:tabs>
          <w:tab w:leader="none" w:pos="5840" w:val="left"/>
        </w:tabs>
        <w:rPr>
          <w:sz w:val="20"/>
          <w:szCs w:val="20"/>
          <w:color w:val="auto"/>
        </w:rPr>
      </w:pPr>
      <w:r>
        <w:rPr>
          <w:rFonts w:ascii="Arial" w:cs="Arial" w:eastAsia="Arial" w:hAnsi="Arial"/>
          <w:sz w:val="11"/>
          <w:szCs w:val="11"/>
          <w:b w:val="1"/>
          <w:bCs w:val="1"/>
          <w:color w:val="auto"/>
        </w:rPr>
        <w:t xml:space="preserve">Flywire Corporation      11 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181610</wp:posOffset>
            </wp:positionV>
            <wp:extent cx="1116330" cy="11087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633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Diane</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Offereins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Age: 68  |  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-629285</wp:posOffset>
            </wp:positionV>
            <wp:extent cx="7194550" cy="4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p>
    <w:p>
      <w:pPr>
        <w:spacing w:after="0" w:line="46" w:lineRule="exact"/>
        <w:rPr>
          <w:sz w:val="20"/>
          <w:szCs w:val="20"/>
          <w:color w:val="auto"/>
        </w:rPr>
      </w:pPr>
    </w:p>
    <w:p>
      <w:pPr>
        <w:spacing w:after="0" w:line="238" w:lineRule="auto"/>
        <w:rPr>
          <w:sz w:val="20"/>
          <w:szCs w:val="20"/>
          <w:color w:val="auto"/>
        </w:rPr>
      </w:pPr>
      <w:r>
        <w:rPr>
          <w:rFonts w:ascii="Arial" w:cs="Arial" w:eastAsia="Arial" w:hAnsi="Arial"/>
          <w:sz w:val="14"/>
          <w:szCs w:val="14"/>
          <w:b w:val="1"/>
          <w:bCs w:val="1"/>
          <w:color w:val="2393FF"/>
        </w:rPr>
        <w:t xml:space="preserve">Ms. Offereins </w:t>
      </w:r>
      <w:r>
        <w:rPr>
          <w:rFonts w:ascii="Arial" w:cs="Arial" w:eastAsia="Arial" w:hAnsi="Arial"/>
          <w:sz w:val="14"/>
          <w:szCs w:val="14"/>
          <w:color w:val="000000"/>
        </w:rPr>
        <w:t>has served as a member of our Board of Directors since January 2023. Ms. Offereins served as</w:t>
      </w:r>
      <w:r>
        <w:rPr>
          <w:rFonts w:ascii="Arial" w:cs="Arial" w:eastAsia="Arial" w:hAnsi="Arial"/>
          <w:sz w:val="14"/>
          <w:szCs w:val="14"/>
          <w:b w:val="1"/>
          <w:bCs w:val="1"/>
          <w:color w:val="2393FF"/>
        </w:rPr>
        <w:t xml:space="preserve"> </w:t>
      </w:r>
      <w:r>
        <w:rPr>
          <w:rFonts w:ascii="Arial" w:cs="Arial" w:eastAsia="Arial" w:hAnsi="Arial"/>
          <w:sz w:val="14"/>
          <w:szCs w:val="14"/>
          <w:color w:val="000000"/>
        </w:rPr>
        <w:t>the former Executive Vice President and President, Payment Services at Discover Financial Services, where she was responsible for the growth of the Discover Global Network, consisting of three payment networks—Discover Network, Diners Club International and PULSE from 2009 until her retirement in June 2023. Ms. Offereins previously held several positions within Discover, including Executive Vice President, Payment Services and Executive Vice President and Chief Information Officer. Prior to Discover, Ms. Offereins held leadership positions at Bank of America and SouthEast Bank. Ms. Offereins is on the Board of Directors of Brighthouse Financial, Inc., where she chairs the Compensation and Human Capital Committee and serves on the Finance and Risk and Nominating and Corporate Governance Committees. She earned her B.B.A. in Accounting from Loyola University of New Orleans.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67310</wp:posOffset>
            </wp:positionV>
            <wp:extent cx="4371975" cy="422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71975" cy="422275"/>
                    </a:xfrm>
                    <a:prstGeom prst="rect">
                      <a:avLst/>
                    </a:prstGeom>
                    <a:noFill/>
                  </pic:spPr>
                </pic:pic>
              </a:graphicData>
            </a:graphic>
          </wp:anchor>
        </w:drawing>
      </w:r>
    </w:p>
    <w:p>
      <w:pPr>
        <w:spacing w:after="0" w:line="186" w:lineRule="exact"/>
        <w:rPr>
          <w:sz w:val="20"/>
          <w:szCs w:val="20"/>
          <w:color w:val="auto"/>
        </w:rPr>
      </w:pPr>
    </w:p>
    <w:p>
      <w:pPr>
        <w:ind w:left="140" w:right="440"/>
        <w:spacing w:after="0" w:line="272" w:lineRule="auto"/>
        <w:rPr>
          <w:sz w:val="20"/>
          <w:szCs w:val="20"/>
          <w:color w:val="auto"/>
        </w:rPr>
      </w:pPr>
      <w:r>
        <w:rPr>
          <w:rFonts w:ascii="Arial" w:cs="Arial" w:eastAsia="Arial" w:hAnsi="Arial"/>
          <w:sz w:val="14"/>
          <w:szCs w:val="14"/>
          <w:b w:val="1"/>
          <w:bCs w:val="1"/>
          <w:color w:val="2393FF"/>
        </w:rPr>
        <w:t>We believe Ms. Offereins is qualified to serve on our Board of Directors because of her extensive background in payments, financial services and cybersecurity.</w:t>
      </w:r>
    </w:p>
    <w:p>
      <w:pPr>
        <w:spacing w:after="0" w:line="200" w:lineRule="exact"/>
        <w:rPr>
          <w:sz w:val="20"/>
          <w:szCs w:val="20"/>
          <w:color w:val="auto"/>
        </w:rPr>
      </w:pPr>
    </w:p>
    <w:p>
      <w:pPr>
        <w:sectPr>
          <w:pgSz w:w="11900" w:h="16838" w:orient="portrait"/>
          <w:cols w:equalWidth="0" w:num="2">
            <w:col w:w="2700" w:space="720"/>
            <w:col w:w="6800"/>
          </w:cols>
          <w:pgMar w:left="320" w:top="425" w:right="1359" w:bottom="1440" w:gutter="0" w:footer="0" w:header="0"/>
        </w:sectPr>
      </w:pPr>
    </w:p>
    <w:p>
      <w:pPr>
        <w:spacing w:after="0" w:line="169" w:lineRule="exact"/>
        <w:rPr>
          <w:sz w:val="20"/>
          <w:szCs w:val="20"/>
          <w:color w:val="auto"/>
        </w:rPr>
      </w:pPr>
    </w:p>
    <w:p>
      <w:pPr>
        <w:ind w:left="1020" w:right="20"/>
        <w:spacing w:after="0" w:line="258" w:lineRule="auto"/>
        <w:rPr>
          <w:sz w:val="20"/>
          <w:szCs w:val="20"/>
          <w:color w:val="auto"/>
        </w:rPr>
      </w:pPr>
      <w:r>
        <w:rPr>
          <w:rFonts w:ascii="Arial" w:cs="Arial" w:eastAsia="Arial" w:hAnsi="Arial"/>
          <w:sz w:val="14"/>
          <w:szCs w:val="14"/>
          <w:color w:val="auto"/>
        </w:rPr>
        <w:t>There are no family relationships among any of our directors or executive officers. See “Corporate Governance” below for additional information regarding our Board of Directors.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OUR SKILLS, EXPERIENCE AND ATTRIBUTES</w:t>
      </w:r>
    </w:p>
    <w:p>
      <w:pPr>
        <w:spacing w:after="0" w:line="13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Director and Director Nominee Skills and Experience</w:t>
      </w:r>
    </w:p>
    <w:p>
      <w:pPr>
        <w:spacing w:after="0" w:line="159" w:lineRule="exact"/>
        <w:rPr>
          <w:sz w:val="20"/>
          <w:szCs w:val="20"/>
          <w:color w:val="auto"/>
        </w:rPr>
      </w:pPr>
    </w:p>
    <w:p>
      <w:pPr>
        <w:ind w:left="1020" w:right="40"/>
        <w:spacing w:after="0" w:line="242" w:lineRule="auto"/>
        <w:rPr>
          <w:sz w:val="20"/>
          <w:szCs w:val="20"/>
          <w:color w:val="auto"/>
        </w:rPr>
      </w:pPr>
      <w:r>
        <w:rPr>
          <w:rFonts w:ascii="Arial" w:cs="Arial" w:eastAsia="Arial" w:hAnsi="Arial"/>
          <w:sz w:val="14"/>
          <w:szCs w:val="14"/>
          <w:color w:val="auto"/>
        </w:rPr>
        <w:t>Our Board of Directors brings and, we believe, our director nominees will bring, broad and deep experience to matters effecting Flywire, and each individual director and director nominee offers a range of complementary skills that enhance the ability of the Board of Directors to exercise its oversight responsibilities on behalf of our stockholders. To better understand the composition and strengths of our Board of Directors, the following table represents certain of the skills and areas of expertise that we believe are most critical to the strategy and future success of Flywire:</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820" w:type="dxa"/>
            <w:vAlign w:val="bottom"/>
          </w:tcPr>
          <w:p>
            <w:pPr>
              <w:ind w:left="460"/>
              <w:spacing w:after="0"/>
              <w:rPr>
                <w:sz w:val="20"/>
                <w:szCs w:val="20"/>
                <w:color w:val="auto"/>
              </w:rPr>
            </w:pPr>
            <w:r>
              <w:rPr>
                <w:rFonts w:ascii="Arial" w:cs="Arial" w:eastAsia="Arial" w:hAnsi="Arial"/>
                <w:sz w:val="11"/>
                <w:szCs w:val="11"/>
                <w:b w:val="1"/>
                <w:bCs w:val="1"/>
                <w:color w:val="auto"/>
              </w:rPr>
              <w:t>Alex</w:t>
            </w:r>
          </w:p>
        </w:tc>
        <w:tc>
          <w:tcPr>
            <w:tcW w:w="760" w:type="dxa"/>
            <w:vAlign w:val="bottom"/>
          </w:tcPr>
          <w:p>
            <w:pPr>
              <w:ind w:left="160"/>
              <w:spacing w:after="0"/>
              <w:rPr>
                <w:sz w:val="20"/>
                <w:szCs w:val="20"/>
                <w:color w:val="auto"/>
              </w:rPr>
            </w:pPr>
            <w:r>
              <w:rPr>
                <w:rFonts w:ascii="Arial" w:cs="Arial" w:eastAsia="Arial" w:hAnsi="Arial"/>
                <w:sz w:val="11"/>
                <w:szCs w:val="11"/>
                <w:b w:val="1"/>
                <w:bCs w:val="1"/>
                <w:color w:val="auto"/>
              </w:rPr>
              <w:t>Matthew</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Gretchen</w:t>
            </w:r>
          </w:p>
        </w:tc>
        <w:tc>
          <w:tcPr>
            <w:tcW w:w="820" w:type="dxa"/>
            <w:vAlign w:val="bottom"/>
          </w:tcPr>
          <w:p>
            <w:pPr>
              <w:ind w:left="160"/>
              <w:spacing w:after="0"/>
              <w:rPr>
                <w:sz w:val="20"/>
                <w:szCs w:val="20"/>
                <w:color w:val="auto"/>
              </w:rPr>
            </w:pPr>
            <w:r>
              <w:rPr>
                <w:rFonts w:ascii="Arial" w:cs="Arial" w:eastAsia="Arial" w:hAnsi="Arial"/>
                <w:sz w:val="11"/>
                <w:szCs w:val="11"/>
                <w:b w:val="1"/>
                <w:bCs w:val="1"/>
                <w:color w:val="auto"/>
              </w:rPr>
              <w:t>Carleigh</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Christine</w:t>
            </w: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Michael</w:t>
            </w:r>
          </w:p>
        </w:tc>
        <w:tc>
          <w:tcPr>
            <w:tcW w:w="740" w:type="dxa"/>
            <w:vAlign w:val="bottom"/>
          </w:tcPr>
          <w:p>
            <w:pPr>
              <w:ind w:left="320"/>
              <w:spacing w:after="0"/>
              <w:rPr>
                <w:sz w:val="20"/>
                <w:szCs w:val="20"/>
                <w:color w:val="auto"/>
              </w:rPr>
            </w:pPr>
            <w:r>
              <w:rPr>
                <w:rFonts w:ascii="Arial" w:cs="Arial" w:eastAsia="Arial" w:hAnsi="Arial"/>
                <w:sz w:val="11"/>
                <w:szCs w:val="11"/>
                <w:b w:val="1"/>
                <w:bCs w:val="1"/>
                <w:color w:val="auto"/>
              </w:rPr>
              <w:t>Diane</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Phillip</w:t>
            </w: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w w:val="98"/>
              </w:rPr>
              <w:t>Edwin</w:t>
            </w:r>
          </w:p>
        </w:tc>
      </w:tr>
      <w:tr>
        <w:trPr>
          <w:trHeight w:val="143"/>
        </w:trPr>
        <w:tc>
          <w:tcPr>
            <w:tcW w:w="2880" w:type="dxa"/>
            <w:vAlign w:val="bottom"/>
          </w:tcPr>
          <w:p>
            <w:pPr>
              <w:spacing w:after="0"/>
              <w:rPr>
                <w:sz w:val="12"/>
                <w:szCs w:val="12"/>
                <w:color w:val="auto"/>
              </w:rPr>
            </w:pPr>
          </w:p>
        </w:tc>
        <w:tc>
          <w:tcPr>
            <w:tcW w:w="820" w:type="dxa"/>
            <w:vAlign w:val="bottom"/>
          </w:tcPr>
          <w:p>
            <w:pPr>
              <w:ind w:left="140"/>
              <w:spacing w:after="0"/>
              <w:rPr>
                <w:sz w:val="20"/>
                <w:szCs w:val="20"/>
                <w:color w:val="auto"/>
              </w:rPr>
            </w:pPr>
            <w:r>
              <w:rPr>
                <w:rFonts w:ascii="Arial" w:cs="Arial" w:eastAsia="Arial" w:hAnsi="Arial"/>
                <w:sz w:val="11"/>
                <w:szCs w:val="11"/>
                <w:b w:val="1"/>
                <w:bCs w:val="1"/>
                <w:color w:val="auto"/>
              </w:rPr>
              <w:t>Finkelstein</w:t>
            </w:r>
          </w:p>
        </w:tc>
        <w:tc>
          <w:tcPr>
            <w:tcW w:w="760" w:type="dxa"/>
            <w:vAlign w:val="bottom"/>
          </w:tcPr>
          <w:p>
            <w:pPr>
              <w:ind w:left="280"/>
              <w:spacing w:after="0"/>
              <w:rPr>
                <w:sz w:val="20"/>
                <w:szCs w:val="20"/>
                <w:color w:val="auto"/>
              </w:rPr>
            </w:pPr>
            <w:r>
              <w:rPr>
                <w:rFonts w:ascii="Arial" w:cs="Arial" w:eastAsia="Arial" w:hAnsi="Arial"/>
                <w:sz w:val="11"/>
                <w:szCs w:val="11"/>
                <w:b w:val="1"/>
                <w:bCs w:val="1"/>
                <w:color w:val="auto"/>
              </w:rPr>
              <w:t>Harris</w:t>
            </w: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rPr>
              <w:t>Howard</w:t>
            </w:r>
          </w:p>
        </w:tc>
        <w:tc>
          <w:tcPr>
            <w:tcW w:w="820" w:type="dxa"/>
            <w:vAlign w:val="bottom"/>
          </w:tcPr>
          <w:p>
            <w:pPr>
              <w:ind w:left="200"/>
              <w:spacing w:after="0"/>
              <w:rPr>
                <w:sz w:val="20"/>
                <w:szCs w:val="20"/>
                <w:color w:val="auto"/>
              </w:rPr>
            </w:pPr>
            <w:r>
              <w:rPr>
                <w:rFonts w:ascii="Arial" w:cs="Arial" w:eastAsia="Arial" w:hAnsi="Arial"/>
                <w:sz w:val="11"/>
                <w:szCs w:val="11"/>
                <w:b w:val="1"/>
                <w:bCs w:val="1"/>
                <w:color w:val="auto"/>
              </w:rPr>
              <w:t>Jaques</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Katziff</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Massaro</w:t>
            </w:r>
          </w:p>
        </w:tc>
        <w:tc>
          <w:tcPr>
            <w:tcW w:w="740" w:type="dxa"/>
            <w:vAlign w:val="bottom"/>
          </w:tcPr>
          <w:p>
            <w:pPr>
              <w:ind w:left="140"/>
              <w:spacing w:after="0"/>
              <w:rPr>
                <w:sz w:val="20"/>
                <w:szCs w:val="20"/>
                <w:color w:val="auto"/>
              </w:rPr>
            </w:pPr>
            <w:r>
              <w:rPr>
                <w:rFonts w:ascii="Arial" w:cs="Arial" w:eastAsia="Arial" w:hAnsi="Arial"/>
                <w:sz w:val="11"/>
                <w:szCs w:val="11"/>
                <w:b w:val="1"/>
                <w:bCs w:val="1"/>
                <w:color w:val="auto"/>
              </w:rPr>
              <w:t>Offereins</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Riese</w:t>
            </w:r>
          </w:p>
        </w:tc>
        <w:tc>
          <w:tcPr>
            <w:tcW w:w="540" w:type="dxa"/>
            <w:vAlign w:val="bottom"/>
          </w:tcPr>
          <w:p>
            <w:pPr>
              <w:ind w:left="160"/>
              <w:spacing w:after="0"/>
              <w:rPr>
                <w:sz w:val="20"/>
                <w:szCs w:val="20"/>
                <w:color w:val="auto"/>
              </w:rPr>
            </w:pPr>
            <w:r>
              <w:rPr>
                <w:rFonts w:ascii="Arial" w:cs="Arial" w:eastAsia="Arial" w:hAnsi="Arial"/>
                <w:sz w:val="11"/>
                <w:szCs w:val="11"/>
                <w:b w:val="1"/>
                <w:bCs w:val="1"/>
                <w:color w:val="auto"/>
                <w:w w:val="98"/>
              </w:rPr>
              <w:t>Santos</w:t>
            </w:r>
          </w:p>
        </w:tc>
      </w:tr>
      <w:tr>
        <w:trPr>
          <w:trHeight w:val="120"/>
        </w:trPr>
        <w:tc>
          <w:tcPr>
            <w:tcW w:w="2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217"/>
        </w:trPr>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Senior Operating Leadership</w:t>
            </w:r>
          </w:p>
        </w:tc>
        <w:tc>
          <w:tcPr>
            <w:tcW w:w="8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100"/>
              <w:spacing w:after="0" w:line="121" w:lineRule="exact"/>
              <w:rPr>
                <w:sz w:val="20"/>
                <w:szCs w:val="20"/>
                <w:color w:val="auto"/>
              </w:rPr>
            </w:pPr>
            <w:r>
              <w:rPr>
                <w:rFonts w:ascii="MS PGothic" w:cs="MS PGothic" w:eastAsia="MS PGothic" w:hAnsi="MS PGothic"/>
                <w:sz w:val="12"/>
                <w:szCs w:val="12"/>
                <w:color w:val="auto"/>
              </w:rPr>
              <w:t>✓</w:t>
            </w:r>
          </w:p>
        </w:tc>
        <w:tc>
          <w:tcPr>
            <w:tcW w:w="82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40" w:type="dxa"/>
            <w:vAlign w:val="bottom"/>
            <w:tcBorders>
              <w:bottom w:val="single" w:sz="8" w:color="CCEEFF"/>
            </w:tcBorders>
            <w:shd w:val="clear" w:color="auto" w:fill="CCEEFF"/>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4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54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r>
      <w:tr>
        <w:trPr>
          <w:trHeight w:val="257"/>
        </w:trPr>
        <w:tc>
          <w:tcPr>
            <w:tcW w:w="2880" w:type="dxa"/>
            <w:vAlign w:val="bottom"/>
          </w:tcPr>
          <w:p>
            <w:pPr>
              <w:ind w:left="60"/>
              <w:spacing w:after="0"/>
              <w:rPr>
                <w:sz w:val="20"/>
                <w:szCs w:val="20"/>
                <w:color w:val="auto"/>
              </w:rPr>
            </w:pPr>
            <w:r>
              <w:rPr>
                <w:rFonts w:ascii="Arial" w:cs="Arial" w:eastAsia="Arial" w:hAnsi="Arial"/>
                <w:sz w:val="12"/>
                <w:szCs w:val="12"/>
                <w:color w:val="auto"/>
              </w:rPr>
              <w:t>Finance and Accounting</w:t>
            </w:r>
          </w:p>
        </w:tc>
        <w:tc>
          <w:tcPr>
            <w:tcW w:w="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22"/>
                <w:szCs w:val="22"/>
                <w:color w:val="auto"/>
              </w:rPr>
            </w:pPr>
          </w:p>
        </w:tc>
        <w:tc>
          <w:tcPr>
            <w:tcW w:w="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4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spacing w:after="0"/>
              <w:rPr>
                <w:sz w:val="22"/>
                <w:szCs w:val="22"/>
                <w:color w:val="auto"/>
              </w:rPr>
            </w:pPr>
          </w:p>
        </w:tc>
        <w:tc>
          <w:tcPr>
            <w:tcW w:w="7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5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r>
      <w:tr>
        <w:trPr>
          <w:trHeight w:val="160"/>
        </w:trPr>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7"/>
        </w:trPr>
        <w:tc>
          <w:tcPr>
            <w:tcW w:w="2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Financial Services or FinTech Industry Experience</w:t>
            </w:r>
          </w:p>
        </w:tc>
        <w:tc>
          <w:tcPr>
            <w:tcW w:w="82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6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Borders>
              <w:bottom w:val="single" w:sz="8" w:color="CCEEFF"/>
            </w:tcBorders>
            <w:shd w:val="clear" w:color="auto" w:fill="CCEEFF"/>
          </w:tcPr>
          <w:p>
            <w:pPr>
              <w:ind w:left="100"/>
              <w:spacing w:after="0" w:line="121" w:lineRule="exact"/>
              <w:rPr>
                <w:sz w:val="20"/>
                <w:szCs w:val="20"/>
                <w:color w:val="auto"/>
              </w:rPr>
            </w:pPr>
            <w:r>
              <w:rPr>
                <w:rFonts w:ascii="MS PGothic" w:cs="MS PGothic" w:eastAsia="MS PGothic" w:hAnsi="MS PGothic"/>
                <w:sz w:val="12"/>
                <w:szCs w:val="12"/>
                <w:color w:val="auto"/>
              </w:rPr>
              <w:t>✓</w:t>
            </w:r>
          </w:p>
        </w:tc>
        <w:tc>
          <w:tcPr>
            <w:tcW w:w="82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40" w:type="dxa"/>
            <w:vAlign w:val="bottom"/>
            <w:tcBorders>
              <w:bottom w:val="single" w:sz="8" w:color="CCEEFF"/>
            </w:tcBorders>
            <w:shd w:val="clear" w:color="auto" w:fill="CCEEFF"/>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4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540" w:type="dxa"/>
            <w:vAlign w:val="bottom"/>
            <w:tcBorders>
              <w:bottom w:val="single" w:sz="8" w:color="CCEEFF"/>
            </w:tcBorders>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r>
      <w:tr>
        <w:trPr>
          <w:trHeight w:val="257"/>
        </w:trPr>
        <w:tc>
          <w:tcPr>
            <w:tcW w:w="2880" w:type="dxa"/>
            <w:vAlign w:val="bottom"/>
          </w:tcPr>
          <w:p>
            <w:pPr>
              <w:ind w:left="60"/>
              <w:spacing w:after="0"/>
              <w:rPr>
                <w:sz w:val="20"/>
                <w:szCs w:val="20"/>
                <w:color w:val="auto"/>
              </w:rPr>
            </w:pPr>
            <w:r>
              <w:rPr>
                <w:rFonts w:ascii="Arial" w:cs="Arial" w:eastAsia="Arial" w:hAnsi="Arial"/>
                <w:sz w:val="12"/>
                <w:szCs w:val="12"/>
                <w:color w:val="auto"/>
              </w:rPr>
              <w:t>Business Development, Strategy and M&amp;A</w:t>
            </w:r>
          </w:p>
        </w:tc>
        <w:tc>
          <w:tcPr>
            <w:tcW w:w="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ind w:left="100"/>
              <w:spacing w:after="0" w:line="121" w:lineRule="exact"/>
              <w:rPr>
                <w:sz w:val="20"/>
                <w:szCs w:val="20"/>
                <w:color w:val="auto"/>
              </w:rPr>
            </w:pPr>
            <w:r>
              <w:rPr>
                <w:rFonts w:ascii="MS PGothic" w:cs="MS PGothic" w:eastAsia="MS PGothic" w:hAnsi="MS PGothic"/>
                <w:sz w:val="12"/>
                <w:szCs w:val="12"/>
                <w:color w:val="auto"/>
              </w:rPr>
              <w:t>✓</w:t>
            </w:r>
          </w:p>
        </w:tc>
        <w:tc>
          <w:tcPr>
            <w:tcW w:w="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4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5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r>
      <w:tr>
        <w:trPr>
          <w:trHeight w:val="160"/>
        </w:trPr>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39"/>
        </w:trPr>
        <w:tc>
          <w:tcPr>
            <w:tcW w:w="2880" w:type="dxa"/>
            <w:vAlign w:val="bottom"/>
            <w:shd w:val="clear" w:color="auto" w:fill="CCEEFF"/>
          </w:tcPr>
          <w:p>
            <w:pPr>
              <w:ind w:left="60"/>
              <w:spacing w:after="0"/>
              <w:rPr>
                <w:sz w:val="20"/>
                <w:szCs w:val="20"/>
                <w:color w:val="auto"/>
              </w:rPr>
            </w:pPr>
            <w:r>
              <w:rPr>
                <w:rFonts w:ascii="Arial" w:cs="Arial" w:eastAsia="Arial" w:hAnsi="Arial"/>
                <w:sz w:val="12"/>
                <w:szCs w:val="12"/>
                <w:color w:val="auto"/>
              </w:rPr>
              <w:t>Cybersecurity and Information Security Risk</w:t>
            </w: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ind w:left="100"/>
              <w:spacing w:after="0" w:line="121" w:lineRule="exact"/>
              <w:rPr>
                <w:sz w:val="20"/>
                <w:szCs w:val="20"/>
                <w:color w:val="auto"/>
              </w:rPr>
            </w:pPr>
            <w:r>
              <w:rPr>
                <w:rFonts w:ascii="MS PGothic" w:cs="MS PGothic" w:eastAsia="MS PGothic" w:hAnsi="MS PGothic"/>
                <w:sz w:val="12"/>
                <w:szCs w:val="12"/>
                <w:color w:val="auto"/>
              </w:rPr>
              <w:t>✓</w:t>
            </w:r>
          </w:p>
        </w:tc>
        <w:tc>
          <w:tcPr>
            <w:tcW w:w="820" w:type="dxa"/>
            <w:vAlign w:val="bottom"/>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40" w:type="dxa"/>
            <w:vAlign w:val="bottom"/>
            <w:shd w:val="clear" w:color="auto" w:fill="CCEEFF"/>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ind w:left="140"/>
              <w:spacing w:after="0" w:line="121" w:lineRule="exact"/>
              <w:rPr>
                <w:sz w:val="20"/>
                <w:szCs w:val="20"/>
                <w:color w:val="auto"/>
              </w:rPr>
            </w:pPr>
            <w:r>
              <w:rPr>
                <w:rFonts w:ascii="MS PGothic" w:cs="MS PGothic" w:eastAsia="MS PGothic" w:hAnsi="MS PGothic"/>
                <w:sz w:val="12"/>
                <w:szCs w:val="12"/>
                <w:color w:val="auto"/>
              </w:rPr>
              <w:t>✓</w:t>
            </w:r>
          </w:p>
        </w:tc>
      </w:tr>
      <w:tr>
        <w:trPr>
          <w:trHeight w:val="159"/>
        </w:trPr>
        <w:tc>
          <w:tcPr>
            <w:tcW w:w="2880" w:type="dxa"/>
            <w:vAlign w:val="bottom"/>
            <w:shd w:val="clear" w:color="auto" w:fill="CCEEFF"/>
          </w:tcPr>
          <w:p>
            <w:pPr>
              <w:ind w:left="60"/>
              <w:spacing w:after="0"/>
              <w:rPr>
                <w:sz w:val="20"/>
                <w:szCs w:val="20"/>
                <w:color w:val="auto"/>
              </w:rPr>
            </w:pPr>
            <w:r>
              <w:rPr>
                <w:rFonts w:ascii="Arial" w:cs="Arial" w:eastAsia="Arial" w:hAnsi="Arial"/>
                <w:sz w:val="12"/>
                <w:szCs w:val="12"/>
                <w:color w:val="auto"/>
              </w:rPr>
              <w:t>Management</w:t>
            </w: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63"/>
        </w:trPr>
        <w:tc>
          <w:tcPr>
            <w:tcW w:w="28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r>
      <w:tr>
        <w:trPr>
          <w:trHeight w:val="257"/>
        </w:trPr>
        <w:tc>
          <w:tcPr>
            <w:tcW w:w="2880" w:type="dxa"/>
            <w:vAlign w:val="bottom"/>
          </w:tcPr>
          <w:p>
            <w:pPr>
              <w:ind w:left="60"/>
              <w:spacing w:after="0"/>
              <w:rPr>
                <w:sz w:val="20"/>
                <w:szCs w:val="20"/>
                <w:color w:val="auto"/>
              </w:rPr>
            </w:pPr>
            <w:r>
              <w:rPr>
                <w:rFonts w:ascii="Arial" w:cs="Arial" w:eastAsia="Arial" w:hAnsi="Arial"/>
                <w:sz w:val="12"/>
                <w:szCs w:val="12"/>
                <w:color w:val="auto"/>
              </w:rPr>
              <w:t>Governance</w:t>
            </w:r>
          </w:p>
        </w:tc>
        <w:tc>
          <w:tcPr>
            <w:tcW w:w="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ind w:left="100"/>
              <w:spacing w:after="0" w:line="121" w:lineRule="exact"/>
              <w:rPr>
                <w:sz w:val="20"/>
                <w:szCs w:val="20"/>
                <w:color w:val="auto"/>
              </w:rPr>
            </w:pPr>
            <w:r>
              <w:rPr>
                <w:rFonts w:ascii="MS PGothic" w:cs="MS PGothic" w:eastAsia="MS PGothic" w:hAnsi="MS PGothic"/>
                <w:sz w:val="12"/>
                <w:szCs w:val="12"/>
                <w:color w:val="auto"/>
              </w:rPr>
              <w:t>✓</w:t>
            </w:r>
          </w:p>
        </w:tc>
        <w:tc>
          <w:tcPr>
            <w:tcW w:w="8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4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70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7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60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54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r>
      <w:tr>
        <w:trPr>
          <w:trHeight w:val="70"/>
        </w:trPr>
        <w:tc>
          <w:tcPr>
            <w:tcW w:w="2880" w:type="dxa"/>
            <w:vAlign w:val="bottom"/>
            <w:tcBorders>
              <w:bottom w:val="single" w:sz="8" w:color="2393FF"/>
            </w:tcBorders>
          </w:tcPr>
          <w:p>
            <w:pPr>
              <w:spacing w:after="0"/>
              <w:rPr>
                <w:sz w:val="6"/>
                <w:szCs w:val="6"/>
                <w:color w:val="auto"/>
              </w:rPr>
            </w:pPr>
          </w:p>
        </w:tc>
        <w:tc>
          <w:tcPr>
            <w:tcW w:w="1580" w:type="dxa"/>
            <w:vAlign w:val="bottom"/>
            <w:tcBorders>
              <w:bottom w:val="single" w:sz="8" w:color="2393FF"/>
            </w:tcBorders>
            <w:gridSpan w:val="2"/>
          </w:tcPr>
          <w:p>
            <w:pPr>
              <w:spacing w:after="0"/>
              <w:rPr>
                <w:sz w:val="6"/>
                <w:szCs w:val="6"/>
                <w:color w:val="auto"/>
              </w:rPr>
            </w:pPr>
          </w:p>
        </w:tc>
        <w:tc>
          <w:tcPr>
            <w:tcW w:w="1520" w:type="dxa"/>
            <w:vAlign w:val="bottom"/>
            <w:tcBorders>
              <w:bottom w:val="single" w:sz="8" w:color="2393FF"/>
            </w:tcBorders>
            <w:gridSpan w:val="2"/>
          </w:tcPr>
          <w:p>
            <w:pPr>
              <w:spacing w:after="0"/>
              <w:rPr>
                <w:sz w:val="6"/>
                <w:szCs w:val="6"/>
                <w:color w:val="auto"/>
              </w:rPr>
            </w:pPr>
          </w:p>
        </w:tc>
        <w:tc>
          <w:tcPr>
            <w:tcW w:w="640" w:type="dxa"/>
            <w:vAlign w:val="bottom"/>
            <w:tcBorders>
              <w:bottom w:val="single" w:sz="8" w:color="2393FF"/>
            </w:tcBorders>
          </w:tcPr>
          <w:p>
            <w:pPr>
              <w:spacing w:after="0"/>
              <w:rPr>
                <w:sz w:val="6"/>
                <w:szCs w:val="6"/>
                <w:color w:val="auto"/>
              </w:rPr>
            </w:pPr>
          </w:p>
        </w:tc>
        <w:tc>
          <w:tcPr>
            <w:tcW w:w="700" w:type="dxa"/>
            <w:vAlign w:val="bottom"/>
            <w:tcBorders>
              <w:bottom w:val="single" w:sz="8" w:color="2393FF"/>
            </w:tcBorders>
          </w:tcPr>
          <w:p>
            <w:pPr>
              <w:spacing w:after="0"/>
              <w:rPr>
                <w:sz w:val="6"/>
                <w:szCs w:val="6"/>
                <w:color w:val="auto"/>
              </w:rPr>
            </w:pPr>
          </w:p>
        </w:tc>
        <w:tc>
          <w:tcPr>
            <w:tcW w:w="740" w:type="dxa"/>
            <w:vAlign w:val="bottom"/>
            <w:tcBorders>
              <w:bottom w:val="single" w:sz="8" w:color="2393FF"/>
            </w:tcBorders>
          </w:tcPr>
          <w:p>
            <w:pPr>
              <w:spacing w:after="0"/>
              <w:rPr>
                <w:sz w:val="6"/>
                <w:szCs w:val="6"/>
                <w:color w:val="auto"/>
              </w:rPr>
            </w:pPr>
          </w:p>
        </w:tc>
        <w:tc>
          <w:tcPr>
            <w:tcW w:w="600" w:type="dxa"/>
            <w:vAlign w:val="bottom"/>
            <w:tcBorders>
              <w:bottom w:val="single" w:sz="8" w:color="2393FF"/>
            </w:tcBorders>
          </w:tcPr>
          <w:p>
            <w:pPr>
              <w:spacing w:after="0"/>
              <w:rPr>
                <w:sz w:val="6"/>
                <w:szCs w:val="6"/>
                <w:color w:val="auto"/>
              </w:rPr>
            </w:pPr>
          </w:p>
        </w:tc>
        <w:tc>
          <w:tcPr>
            <w:tcW w:w="540" w:type="dxa"/>
            <w:vAlign w:val="bottom"/>
            <w:tcBorders>
              <w:bottom w:val="single" w:sz="8" w:color="2393FF"/>
            </w:tcBorders>
          </w:tcPr>
          <w:p>
            <w:pPr>
              <w:spacing w:after="0"/>
              <w:rPr>
                <w:sz w:val="6"/>
                <w:szCs w:val="6"/>
                <w:color w:val="auto"/>
              </w:rPr>
            </w:pPr>
          </w:p>
        </w:tc>
      </w:tr>
      <w:tr>
        <w:trPr>
          <w:trHeight w:val="243"/>
        </w:trPr>
        <w:tc>
          <w:tcPr>
            <w:tcW w:w="2880" w:type="dxa"/>
            <w:vAlign w:val="bottom"/>
          </w:tcPr>
          <w:p>
            <w:pPr>
              <w:spacing w:after="0"/>
              <w:rPr>
                <w:sz w:val="21"/>
                <w:szCs w:val="21"/>
                <w:color w:val="auto"/>
              </w:rPr>
            </w:pPr>
          </w:p>
        </w:tc>
        <w:tc>
          <w:tcPr>
            <w:tcW w:w="1580" w:type="dxa"/>
            <w:vAlign w:val="bottom"/>
            <w:gridSpan w:val="2"/>
          </w:tcPr>
          <w:p>
            <w:pPr>
              <w:ind w:left="380"/>
              <w:spacing w:after="0"/>
              <w:rPr>
                <w:sz w:val="20"/>
                <w:szCs w:val="20"/>
                <w:color w:val="auto"/>
              </w:rPr>
            </w:pPr>
            <w:r>
              <w:rPr>
                <w:rFonts w:ascii="Arial" w:cs="Arial" w:eastAsia="Arial" w:hAnsi="Arial"/>
                <w:sz w:val="11"/>
                <w:szCs w:val="11"/>
                <w:b w:val="1"/>
                <w:bCs w:val="1"/>
                <w:color w:val="auto"/>
                <w:w w:val="99"/>
              </w:rPr>
              <w:t xml:space="preserve">Flywire Corporation     </w:t>
            </w:r>
          </w:p>
        </w:tc>
        <w:tc>
          <w:tcPr>
            <w:tcW w:w="1520" w:type="dxa"/>
            <w:vAlign w:val="bottom"/>
            <w:gridSpan w:val="2"/>
          </w:tcPr>
          <w:p>
            <w:pPr>
              <w:ind w:left="40"/>
              <w:spacing w:after="0"/>
              <w:rPr>
                <w:sz w:val="20"/>
                <w:szCs w:val="20"/>
                <w:color w:val="auto"/>
              </w:rPr>
            </w:pPr>
            <w:r>
              <w:rPr>
                <w:rFonts w:ascii="Arial" w:cs="Arial" w:eastAsia="Arial" w:hAnsi="Arial"/>
                <w:sz w:val="11"/>
                <w:szCs w:val="11"/>
                <w:b w:val="1"/>
                <w:bCs w:val="1"/>
                <w:color w:val="auto"/>
                <w:w w:val="95"/>
              </w:rPr>
              <w:t>12      2026 Proxy Statement</w:t>
            </w: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r>
    </w:tbl>
    <w:p>
      <w:pPr>
        <w:sectPr>
          <w:pgSz w:w="11900" w:h="16838" w:orient="portrait"/>
          <w:cols w:equalWidth="0" w:num="1">
            <w:col w:w="10220"/>
          </w:cols>
          <w:pgMar w:left="320" w:top="425" w:right="1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2393FF"/>
        </w:rPr>
        <w:t>PROPOSAL TWO:</w:t>
      </w:r>
    </w:p>
    <w:p>
      <w:pPr>
        <w:spacing w:after="0" w:line="58" w:lineRule="exact"/>
        <w:rPr>
          <w:sz w:val="20"/>
          <w:szCs w:val="20"/>
          <w:color w:val="auto"/>
        </w:rPr>
      </w:pPr>
    </w:p>
    <w:p>
      <w:pPr>
        <w:ind w:left="1020" w:right="600"/>
        <w:spacing w:after="0" w:line="265" w:lineRule="auto"/>
        <w:rPr>
          <w:sz w:val="20"/>
          <w:szCs w:val="20"/>
          <w:color w:val="auto"/>
        </w:rPr>
      </w:pPr>
      <w:r>
        <w:rPr>
          <w:rFonts w:ascii="Arial" w:cs="Arial" w:eastAsia="Arial" w:hAnsi="Arial"/>
          <w:sz w:val="42"/>
          <w:szCs w:val="42"/>
          <w:b w:val="1"/>
          <w:bCs w:val="1"/>
          <w:color w:val="2393FF"/>
        </w:rPr>
        <w:t>Ratification of the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55245</wp:posOffset>
            </wp:positionV>
            <wp:extent cx="583819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GENERAL</w:t>
      </w:r>
    </w:p>
    <w:p>
      <w:pPr>
        <w:spacing w:after="0" w:line="143" w:lineRule="exact"/>
        <w:rPr>
          <w:sz w:val="20"/>
          <w:szCs w:val="20"/>
          <w:color w:val="auto"/>
        </w:rPr>
      </w:pPr>
    </w:p>
    <w:p>
      <w:pPr>
        <w:ind w:left="1020" w:right="440"/>
        <w:spacing w:after="0" w:line="246" w:lineRule="auto"/>
        <w:rPr>
          <w:sz w:val="20"/>
          <w:szCs w:val="20"/>
          <w:color w:val="auto"/>
        </w:rPr>
      </w:pPr>
      <w:r>
        <w:rPr>
          <w:rFonts w:ascii="Arial" w:cs="Arial" w:eastAsia="Arial" w:hAnsi="Arial"/>
          <w:sz w:val="14"/>
          <w:szCs w:val="14"/>
          <w:color w:val="auto"/>
        </w:rPr>
        <w:t>Our Audit Committee has appointed the firm of PricewaterhouseCoopers LLP, independent registered public accountants, to audit our financial statements for the year ending December 31, 2026. PricewaterhouseCoopers LLP has audited our financial statements since the fiscal year ended December 31, 2019.</w:t>
      </w:r>
    </w:p>
    <w:p>
      <w:pPr>
        <w:spacing w:after="0" w:line="125" w:lineRule="exact"/>
        <w:rPr>
          <w:sz w:val="20"/>
          <w:szCs w:val="20"/>
          <w:color w:val="auto"/>
        </w:rPr>
      </w:pPr>
    </w:p>
    <w:p>
      <w:pPr>
        <w:ind w:left="1020" w:right="40"/>
        <w:spacing w:after="0" w:line="286" w:lineRule="auto"/>
        <w:rPr>
          <w:sz w:val="20"/>
          <w:szCs w:val="20"/>
          <w:color w:val="auto"/>
        </w:rPr>
      </w:pPr>
      <w:r>
        <w:rPr>
          <w:rFonts w:ascii="Arial" w:cs="Arial" w:eastAsia="Arial" w:hAnsi="Arial"/>
          <w:sz w:val="12"/>
          <w:szCs w:val="12"/>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Flywire and its stockholders. At the Annual Meeting, the stockholders are being asked to ratify the appointment of PricewaterhouseCoopers LLP as our independent registered public accounting firm for the year ending December 31, 2026. Our Audit Committee is submitting the selection of PricewaterhouseCoopers LLP to our stockholders because we value our stockholders’ views on our independent registered public accounting firm and as a matter of good corporate governance. Representatives of PricewaterhouseCoopers LLP are expected to be present at the Annual Meeting and they will have an opportunity to make statements and will be available to respond to appropriate questions from stockholders.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PRINCIPAL ACCOUNTING FEES AND SERVICES</w:t>
      </w:r>
    </w:p>
    <w:p>
      <w:pPr>
        <w:spacing w:after="0" w:line="143" w:lineRule="exact"/>
        <w:rPr>
          <w:sz w:val="20"/>
          <w:szCs w:val="20"/>
          <w:color w:val="auto"/>
        </w:rPr>
      </w:pPr>
    </w:p>
    <w:p>
      <w:pPr>
        <w:ind w:left="1020" w:right="120"/>
        <w:spacing w:after="0" w:line="258" w:lineRule="auto"/>
        <w:rPr>
          <w:sz w:val="20"/>
          <w:szCs w:val="20"/>
          <w:color w:val="auto"/>
        </w:rPr>
      </w:pPr>
      <w:r>
        <w:rPr>
          <w:rFonts w:ascii="Arial" w:cs="Arial" w:eastAsia="Arial" w:hAnsi="Arial"/>
          <w:sz w:val="14"/>
          <w:szCs w:val="14"/>
          <w:color w:val="auto"/>
        </w:rPr>
        <w:t>The following table sets forth all fees paid or accrued by us for professional audit services and other services rendered by PricewaterhouseCoopers LLP during the years ended December 31, 2025 and 2024:</w:t>
      </w:r>
    </w:p>
    <w:p>
      <w:pPr>
        <w:spacing w:after="0" w:line="168" w:lineRule="exact"/>
        <w:rPr>
          <w:sz w:val="20"/>
          <w:szCs w:val="20"/>
          <w:color w:val="auto"/>
        </w:rPr>
      </w:pPr>
    </w:p>
    <w:tbl>
      <w:tblPr>
        <w:tblLayout w:type="fixed"/>
        <w:tblInd w:w="1020" w:type="dxa"/>
        <w:tblCellMar>
          <w:top w:w="0" w:type="dxa"/>
          <w:left w:w="0" w:type="dxa"/>
          <w:bottom w:w="0" w:type="dxa"/>
          <w:right w:w="0" w:type="dxa"/>
        </w:tblCellMar>
      </w:tblPr>
      <w:tr>
        <w:trPr>
          <w:trHeight w:val="143"/>
        </w:trPr>
        <w:tc>
          <w:tcPr>
            <w:tcW w:w="7000" w:type="dxa"/>
            <w:vAlign w:val="bottom"/>
          </w:tcPr>
          <w:p>
            <w:pPr>
              <w:spacing w:after="0"/>
              <w:rPr>
                <w:sz w:val="12"/>
                <w:szCs w:val="12"/>
                <w:color w:val="auto"/>
              </w:rPr>
            </w:pPr>
          </w:p>
        </w:tc>
        <w:tc>
          <w:tcPr>
            <w:tcW w:w="1120" w:type="dxa"/>
            <w:vAlign w:val="bottom"/>
          </w:tcPr>
          <w:p>
            <w:pPr>
              <w:jc w:val="right"/>
              <w:ind w:right="401"/>
              <w:spacing w:after="0"/>
              <w:rPr>
                <w:sz w:val="20"/>
                <w:szCs w:val="20"/>
                <w:color w:val="auto"/>
              </w:rPr>
            </w:pPr>
            <w:r>
              <w:rPr>
                <w:rFonts w:ascii="Arial" w:cs="Arial" w:eastAsia="Arial" w:hAnsi="Arial"/>
                <w:sz w:val="11"/>
                <w:szCs w:val="11"/>
                <w:b w:val="1"/>
                <w:bCs w:val="1"/>
                <w:color w:val="auto"/>
              </w:rPr>
              <w:t>2025 ($)</w:t>
            </w:r>
          </w:p>
        </w:tc>
        <w:tc>
          <w:tcPr>
            <w:tcW w:w="1080" w:type="dxa"/>
            <w:vAlign w:val="bottom"/>
          </w:tcPr>
          <w:p>
            <w:pPr>
              <w:jc w:val="right"/>
              <w:ind w:right="21"/>
              <w:spacing w:after="0"/>
              <w:rPr>
                <w:sz w:val="20"/>
                <w:szCs w:val="20"/>
                <w:color w:val="auto"/>
              </w:rPr>
            </w:pPr>
            <w:r>
              <w:rPr>
                <w:rFonts w:ascii="Arial" w:cs="Arial" w:eastAsia="Arial" w:hAnsi="Arial"/>
                <w:sz w:val="11"/>
                <w:szCs w:val="11"/>
                <w:b w:val="1"/>
                <w:bCs w:val="1"/>
                <w:color w:val="auto"/>
              </w:rPr>
              <w:t>2024 ($)</w:t>
            </w:r>
          </w:p>
        </w:tc>
      </w:tr>
      <w:tr>
        <w:trPr>
          <w:trHeight w:val="30"/>
        </w:trPr>
        <w:tc>
          <w:tcPr>
            <w:tcW w:w="7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0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  Audit Fees</w:t>
            </w:r>
            <w:r>
              <w:rPr>
                <w:rFonts w:ascii="Arial" w:cs="Arial" w:eastAsia="Arial" w:hAnsi="Arial"/>
                <w:sz w:val="18"/>
                <w:szCs w:val="18"/>
                <w:b w:val="1"/>
                <w:bCs w:val="1"/>
                <w:color w:val="2393FF"/>
                <w:vertAlign w:val="superscript"/>
              </w:rPr>
              <w:t>(1)</w:t>
            </w:r>
          </w:p>
        </w:tc>
        <w:tc>
          <w:tcPr>
            <w:tcW w:w="1120" w:type="dxa"/>
            <w:vAlign w:val="bottom"/>
            <w:shd w:val="clear" w:color="auto" w:fill="E8F4FF"/>
          </w:tcPr>
          <w:p>
            <w:pPr>
              <w:jc w:val="right"/>
              <w:ind w:right="401"/>
              <w:spacing w:after="0"/>
              <w:rPr>
                <w:sz w:val="20"/>
                <w:szCs w:val="20"/>
                <w:color w:val="auto"/>
              </w:rPr>
            </w:pPr>
            <w:r>
              <w:rPr>
                <w:rFonts w:ascii="Arial" w:cs="Arial" w:eastAsia="Arial" w:hAnsi="Arial"/>
                <w:sz w:val="12"/>
                <w:szCs w:val="12"/>
                <w:color w:val="auto"/>
              </w:rPr>
              <w:t>3,760,823</w:t>
            </w:r>
          </w:p>
        </w:tc>
        <w:tc>
          <w:tcPr>
            <w:tcW w:w="1080" w:type="dxa"/>
            <w:vAlign w:val="bottom"/>
            <w:shd w:val="clear" w:color="auto" w:fill="E8F4FF"/>
          </w:tcPr>
          <w:p>
            <w:pPr>
              <w:jc w:val="right"/>
              <w:ind w:right="21"/>
              <w:spacing w:after="0"/>
              <w:rPr>
                <w:sz w:val="20"/>
                <w:szCs w:val="20"/>
                <w:color w:val="auto"/>
              </w:rPr>
            </w:pPr>
            <w:r>
              <w:rPr>
                <w:rFonts w:ascii="Arial" w:cs="Arial" w:eastAsia="Arial" w:hAnsi="Arial"/>
                <w:sz w:val="12"/>
                <w:szCs w:val="12"/>
                <w:color w:val="auto"/>
              </w:rPr>
              <w:t>3,269,960</w:t>
            </w:r>
          </w:p>
        </w:tc>
      </w:tr>
      <w:tr>
        <w:trPr>
          <w:trHeight w:val="270"/>
        </w:trPr>
        <w:tc>
          <w:tcPr>
            <w:tcW w:w="7000" w:type="dxa"/>
            <w:vAlign w:val="bottom"/>
          </w:tcPr>
          <w:p>
            <w:pPr>
              <w:ind w:left="60"/>
              <w:spacing w:after="0"/>
              <w:rPr>
                <w:sz w:val="20"/>
                <w:szCs w:val="20"/>
                <w:color w:val="auto"/>
              </w:rPr>
            </w:pPr>
            <w:r>
              <w:rPr>
                <w:rFonts w:ascii="Arial" w:cs="Arial" w:eastAsia="Arial" w:hAnsi="Arial"/>
                <w:sz w:val="12"/>
                <w:szCs w:val="12"/>
                <w:b w:val="1"/>
                <w:bCs w:val="1"/>
                <w:color w:val="2393FF"/>
              </w:rPr>
              <w:t>  Audit-Related Fees</w:t>
            </w:r>
            <w:r>
              <w:rPr>
                <w:rFonts w:ascii="Arial" w:cs="Arial" w:eastAsia="Arial" w:hAnsi="Arial"/>
                <w:sz w:val="18"/>
                <w:szCs w:val="18"/>
                <w:b w:val="1"/>
                <w:bCs w:val="1"/>
                <w:color w:val="2393FF"/>
                <w:vertAlign w:val="superscript"/>
              </w:rPr>
              <w:t>(2)</w:t>
            </w:r>
          </w:p>
        </w:tc>
        <w:tc>
          <w:tcPr>
            <w:tcW w:w="1120" w:type="dxa"/>
            <w:vAlign w:val="bottom"/>
          </w:tcPr>
          <w:p>
            <w:pPr>
              <w:jc w:val="right"/>
              <w:ind w:right="401"/>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w:t>
            </w:r>
          </w:p>
        </w:tc>
      </w:tr>
      <w:tr>
        <w:trPr>
          <w:trHeight w:val="270"/>
        </w:trPr>
        <w:tc>
          <w:tcPr>
            <w:tcW w:w="700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  Tax Fees</w:t>
            </w:r>
            <w:r>
              <w:rPr>
                <w:rFonts w:ascii="Arial" w:cs="Arial" w:eastAsia="Arial" w:hAnsi="Arial"/>
                <w:sz w:val="18"/>
                <w:szCs w:val="18"/>
                <w:b w:val="1"/>
                <w:bCs w:val="1"/>
                <w:color w:val="2393FF"/>
                <w:vertAlign w:val="superscript"/>
              </w:rPr>
              <w:t>(3)</w:t>
            </w:r>
          </w:p>
        </w:tc>
        <w:tc>
          <w:tcPr>
            <w:tcW w:w="1120" w:type="dxa"/>
            <w:vAlign w:val="bottom"/>
            <w:shd w:val="clear" w:color="auto" w:fill="E8F4FF"/>
          </w:tcPr>
          <w:p>
            <w:pPr>
              <w:jc w:val="right"/>
              <w:ind w:right="401"/>
              <w:spacing w:after="0"/>
              <w:rPr>
                <w:sz w:val="20"/>
                <w:szCs w:val="20"/>
                <w:color w:val="auto"/>
              </w:rPr>
            </w:pPr>
            <w:r>
              <w:rPr>
                <w:rFonts w:ascii="Arial" w:cs="Arial" w:eastAsia="Arial" w:hAnsi="Arial"/>
                <w:sz w:val="12"/>
                <w:szCs w:val="12"/>
                <w:color w:val="auto"/>
              </w:rPr>
              <w:t>554,500</w:t>
            </w:r>
          </w:p>
        </w:tc>
        <w:tc>
          <w:tcPr>
            <w:tcW w:w="1080" w:type="dxa"/>
            <w:vAlign w:val="bottom"/>
            <w:shd w:val="clear" w:color="auto" w:fill="E8F4FF"/>
          </w:tcPr>
          <w:p>
            <w:pPr>
              <w:jc w:val="right"/>
              <w:ind w:right="21"/>
              <w:spacing w:after="0"/>
              <w:rPr>
                <w:sz w:val="20"/>
                <w:szCs w:val="20"/>
                <w:color w:val="auto"/>
              </w:rPr>
            </w:pPr>
            <w:r>
              <w:rPr>
                <w:rFonts w:ascii="Arial" w:cs="Arial" w:eastAsia="Arial" w:hAnsi="Arial"/>
                <w:sz w:val="12"/>
                <w:szCs w:val="12"/>
                <w:color w:val="auto"/>
              </w:rPr>
              <w:t>915,000</w:t>
            </w:r>
          </w:p>
        </w:tc>
      </w:tr>
      <w:tr>
        <w:trPr>
          <w:trHeight w:val="270"/>
        </w:trPr>
        <w:tc>
          <w:tcPr>
            <w:tcW w:w="7000" w:type="dxa"/>
            <w:vAlign w:val="bottom"/>
          </w:tcPr>
          <w:p>
            <w:pPr>
              <w:ind w:left="60"/>
              <w:spacing w:after="0"/>
              <w:rPr>
                <w:sz w:val="20"/>
                <w:szCs w:val="20"/>
                <w:color w:val="auto"/>
              </w:rPr>
            </w:pPr>
            <w:r>
              <w:rPr>
                <w:rFonts w:ascii="Arial" w:cs="Arial" w:eastAsia="Arial" w:hAnsi="Arial"/>
                <w:sz w:val="12"/>
                <w:szCs w:val="12"/>
                <w:b w:val="1"/>
                <w:bCs w:val="1"/>
                <w:color w:val="2393FF"/>
              </w:rPr>
              <w:t>  All Other Fees</w:t>
            </w:r>
            <w:r>
              <w:rPr>
                <w:rFonts w:ascii="Arial" w:cs="Arial" w:eastAsia="Arial" w:hAnsi="Arial"/>
                <w:sz w:val="18"/>
                <w:szCs w:val="18"/>
                <w:b w:val="1"/>
                <w:bCs w:val="1"/>
                <w:color w:val="2393FF"/>
                <w:vertAlign w:val="superscript"/>
              </w:rPr>
              <w:t>(4)</w:t>
            </w:r>
          </w:p>
        </w:tc>
        <w:tc>
          <w:tcPr>
            <w:tcW w:w="1120" w:type="dxa"/>
            <w:vAlign w:val="bottom"/>
          </w:tcPr>
          <w:p>
            <w:pPr>
              <w:jc w:val="right"/>
              <w:ind w:right="401"/>
              <w:spacing w:after="0"/>
              <w:rPr>
                <w:sz w:val="20"/>
                <w:szCs w:val="20"/>
                <w:color w:val="auto"/>
              </w:rPr>
            </w:pPr>
            <w:r>
              <w:rPr>
                <w:rFonts w:ascii="Arial" w:cs="Arial" w:eastAsia="Arial" w:hAnsi="Arial"/>
                <w:sz w:val="12"/>
                <w:szCs w:val="12"/>
                <w:color w:val="auto"/>
              </w:rPr>
              <w:t>2,125</w:t>
            </w:r>
          </w:p>
        </w:tc>
        <w:tc>
          <w:tcPr>
            <w:tcW w:w="1080" w:type="dxa"/>
            <w:vAlign w:val="bottom"/>
          </w:tcPr>
          <w:p>
            <w:pPr>
              <w:jc w:val="right"/>
              <w:ind w:right="21"/>
              <w:spacing w:after="0"/>
              <w:rPr>
                <w:sz w:val="20"/>
                <w:szCs w:val="20"/>
                <w:color w:val="auto"/>
              </w:rPr>
            </w:pPr>
            <w:r>
              <w:rPr>
                <w:rFonts w:ascii="Arial" w:cs="Arial" w:eastAsia="Arial" w:hAnsi="Arial"/>
                <w:sz w:val="12"/>
                <w:szCs w:val="12"/>
                <w:color w:val="auto"/>
              </w:rPr>
              <w:t>2,125</w:t>
            </w:r>
          </w:p>
        </w:tc>
      </w:tr>
      <w:tr>
        <w:trPr>
          <w:trHeight w:val="202"/>
        </w:trPr>
        <w:tc>
          <w:tcPr>
            <w:tcW w:w="700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  Total Fees</w:t>
            </w:r>
          </w:p>
        </w:tc>
        <w:tc>
          <w:tcPr>
            <w:tcW w:w="1120" w:type="dxa"/>
            <w:vAlign w:val="bottom"/>
            <w:shd w:val="clear" w:color="auto" w:fill="E8F4FF"/>
          </w:tcPr>
          <w:p>
            <w:pPr>
              <w:jc w:val="right"/>
              <w:ind w:right="401"/>
              <w:spacing w:after="0"/>
              <w:rPr>
                <w:sz w:val="20"/>
                <w:szCs w:val="20"/>
                <w:color w:val="auto"/>
              </w:rPr>
            </w:pPr>
            <w:r>
              <w:rPr>
                <w:rFonts w:ascii="Arial" w:cs="Arial" w:eastAsia="Arial" w:hAnsi="Arial"/>
                <w:sz w:val="12"/>
                <w:szCs w:val="12"/>
                <w:color w:val="auto"/>
              </w:rPr>
              <w:t>4,317,448</w:t>
            </w:r>
          </w:p>
        </w:tc>
        <w:tc>
          <w:tcPr>
            <w:tcW w:w="1080" w:type="dxa"/>
            <w:vAlign w:val="bottom"/>
            <w:shd w:val="clear" w:color="auto" w:fill="E8F4FF"/>
          </w:tcPr>
          <w:p>
            <w:pPr>
              <w:jc w:val="right"/>
              <w:ind w:right="21"/>
              <w:spacing w:after="0"/>
              <w:rPr>
                <w:sz w:val="20"/>
                <w:szCs w:val="20"/>
                <w:color w:val="auto"/>
              </w:rPr>
            </w:pPr>
            <w:r>
              <w:rPr>
                <w:rFonts w:ascii="Arial" w:cs="Arial" w:eastAsia="Arial" w:hAnsi="Arial"/>
                <w:sz w:val="12"/>
                <w:szCs w:val="12"/>
                <w:color w:val="auto"/>
              </w:rPr>
              <w:t>4,187,085</w:t>
            </w:r>
          </w:p>
        </w:tc>
      </w:tr>
      <w:tr>
        <w:trPr>
          <w:trHeight w:val="69"/>
        </w:trPr>
        <w:tc>
          <w:tcPr>
            <w:tcW w:w="7000" w:type="dxa"/>
            <w:vAlign w:val="bottom"/>
            <w:tcBorders>
              <w:bottom w:val="single" w:sz="8" w:color="2393FF"/>
            </w:tcBorders>
            <w:shd w:val="clear" w:color="auto" w:fill="E8F4FF"/>
          </w:tcPr>
          <w:p>
            <w:pPr>
              <w:spacing w:after="0"/>
              <w:rPr>
                <w:sz w:val="5"/>
                <w:szCs w:val="5"/>
                <w:color w:val="auto"/>
              </w:rPr>
            </w:pPr>
          </w:p>
        </w:tc>
        <w:tc>
          <w:tcPr>
            <w:tcW w:w="1120" w:type="dxa"/>
            <w:vAlign w:val="bottom"/>
            <w:tcBorders>
              <w:bottom w:val="single" w:sz="8" w:color="2393FF"/>
            </w:tcBorders>
            <w:shd w:val="clear" w:color="auto" w:fill="E8F4FF"/>
          </w:tcPr>
          <w:p>
            <w:pPr>
              <w:spacing w:after="0"/>
              <w:rPr>
                <w:sz w:val="5"/>
                <w:szCs w:val="5"/>
                <w:color w:val="auto"/>
              </w:rPr>
            </w:pPr>
          </w:p>
        </w:tc>
        <w:tc>
          <w:tcPr>
            <w:tcW w:w="1080" w:type="dxa"/>
            <w:vAlign w:val="bottom"/>
            <w:tcBorders>
              <w:bottom w:val="single" w:sz="8" w:color="2393FF"/>
            </w:tcBorders>
            <w:shd w:val="clear" w:color="auto" w:fill="E8F4FF"/>
          </w:tcPr>
          <w:p>
            <w:pPr>
              <w:spacing w:after="0"/>
              <w:rPr>
                <w:sz w:val="5"/>
                <w:szCs w:val="5"/>
                <w:color w:val="auto"/>
              </w:rPr>
            </w:pPr>
          </w:p>
        </w:tc>
      </w:tr>
    </w:tbl>
    <w:p>
      <w:pPr>
        <w:spacing w:after="0" w:line="53" w:lineRule="exact"/>
        <w:rPr>
          <w:sz w:val="20"/>
          <w:szCs w:val="20"/>
          <w:color w:val="auto"/>
        </w:rPr>
      </w:pPr>
    </w:p>
    <w:p>
      <w:pPr>
        <w:ind w:left="1380" w:right="140" w:hanging="353"/>
        <w:spacing w:after="0" w:line="230" w:lineRule="auto"/>
        <w:tabs>
          <w:tab w:leader="none" w:pos="1380" w:val="left"/>
        </w:tabs>
        <w:numPr>
          <w:ilvl w:val="0"/>
          <w:numId w:val="52"/>
        </w:numPr>
        <w:rPr>
          <w:rFonts w:ascii="Arial" w:cs="Arial" w:eastAsia="Arial" w:hAnsi="Arial"/>
          <w:sz w:val="11"/>
          <w:szCs w:val="11"/>
          <w:color w:val="333333"/>
        </w:rPr>
      </w:pPr>
      <w:r>
        <w:rPr>
          <w:rFonts w:ascii="Arial" w:cs="Arial" w:eastAsia="Arial" w:hAnsi="Arial"/>
          <w:sz w:val="11"/>
          <w:szCs w:val="11"/>
          <w:color w:val="333333"/>
        </w:rPr>
        <w:t>Consists of fees billed for professional services rendered in connection with the annual audit of our consolidated financial statements and internal controls over financial reporting, including audited financial statements presented in the 2025 Annual Report, reviews of our interim unaudited consolidated financial statements included in our quarterly reports, and issuances of consents and services normally provided in connection with regulatory filings.</w:t>
      </w:r>
    </w:p>
    <w:p>
      <w:pPr>
        <w:spacing w:after="0" w:line="41" w:lineRule="exact"/>
        <w:rPr>
          <w:rFonts w:ascii="Arial" w:cs="Arial" w:eastAsia="Arial" w:hAnsi="Arial"/>
          <w:sz w:val="11"/>
          <w:szCs w:val="11"/>
          <w:color w:val="333333"/>
        </w:rPr>
      </w:pPr>
    </w:p>
    <w:p>
      <w:pPr>
        <w:ind w:left="1380" w:right="80" w:hanging="353"/>
        <w:spacing w:after="0" w:line="238" w:lineRule="auto"/>
        <w:tabs>
          <w:tab w:leader="none" w:pos="1380" w:val="left"/>
        </w:tabs>
        <w:numPr>
          <w:ilvl w:val="0"/>
          <w:numId w:val="52"/>
        </w:numPr>
        <w:rPr>
          <w:rFonts w:ascii="Arial" w:cs="Arial" w:eastAsia="Arial" w:hAnsi="Arial"/>
          <w:sz w:val="11"/>
          <w:szCs w:val="11"/>
          <w:color w:val="333333"/>
        </w:rPr>
      </w:pPr>
      <w:r>
        <w:rPr>
          <w:rFonts w:ascii="Arial" w:cs="Arial" w:eastAsia="Arial" w:hAnsi="Arial"/>
          <w:sz w:val="11"/>
          <w:szCs w:val="11"/>
          <w:color w:val="333333"/>
        </w:rPr>
        <w:t>Consists of fees billed for assurance services that are reasonably related to the performance of the audit or review of our consolidated financial statements and are not reported under “Audit Fees”. For the years ended December 31, 2025 and December 31, 2024, there were no audit-related fees incurred for professional services.</w:t>
      </w:r>
    </w:p>
    <w:p>
      <w:pPr>
        <w:spacing w:after="0" w:line="42" w:lineRule="exact"/>
        <w:rPr>
          <w:rFonts w:ascii="Arial" w:cs="Arial" w:eastAsia="Arial" w:hAnsi="Arial"/>
          <w:sz w:val="11"/>
          <w:szCs w:val="11"/>
          <w:color w:val="333333"/>
        </w:rPr>
      </w:pPr>
    </w:p>
    <w:p>
      <w:pPr>
        <w:ind w:left="1380" w:right="360" w:hanging="353"/>
        <w:spacing w:after="0" w:line="238" w:lineRule="auto"/>
        <w:tabs>
          <w:tab w:leader="none" w:pos="1380" w:val="left"/>
        </w:tabs>
        <w:numPr>
          <w:ilvl w:val="0"/>
          <w:numId w:val="52"/>
        </w:numPr>
        <w:rPr>
          <w:rFonts w:ascii="Arial" w:cs="Arial" w:eastAsia="Arial" w:hAnsi="Arial"/>
          <w:sz w:val="11"/>
          <w:szCs w:val="11"/>
          <w:color w:val="333333"/>
        </w:rPr>
      </w:pPr>
      <w:r>
        <w:rPr>
          <w:rFonts w:ascii="Arial" w:cs="Arial" w:eastAsia="Arial" w:hAnsi="Arial"/>
          <w:sz w:val="11"/>
          <w:szCs w:val="11"/>
          <w:color w:val="333333"/>
        </w:rPr>
        <w:t>Consists of fees billed for professional services for tax compliance, tax advice and tax planning. For both the years ended December 31, 2025 and December 31, 2024, these services included assistance regarding federal, state and international tax compliance.</w:t>
      </w:r>
    </w:p>
    <w:p>
      <w:pPr>
        <w:spacing w:after="0" w:line="42" w:lineRule="exact"/>
        <w:rPr>
          <w:rFonts w:ascii="Arial" w:cs="Arial" w:eastAsia="Arial" w:hAnsi="Arial"/>
          <w:sz w:val="11"/>
          <w:szCs w:val="11"/>
          <w:color w:val="333333"/>
        </w:rPr>
      </w:pPr>
    </w:p>
    <w:p>
      <w:pPr>
        <w:ind w:left="1380" w:hanging="353"/>
        <w:spacing w:after="0"/>
        <w:tabs>
          <w:tab w:leader="none" w:pos="1380" w:val="left"/>
        </w:tabs>
        <w:numPr>
          <w:ilvl w:val="0"/>
          <w:numId w:val="52"/>
        </w:numPr>
        <w:rPr>
          <w:rFonts w:ascii="Arial" w:cs="Arial" w:eastAsia="Arial" w:hAnsi="Arial"/>
          <w:sz w:val="11"/>
          <w:szCs w:val="11"/>
          <w:color w:val="333333"/>
        </w:rPr>
      </w:pPr>
      <w:r>
        <w:rPr>
          <w:rFonts w:ascii="Arial" w:cs="Arial" w:eastAsia="Arial" w:hAnsi="Arial"/>
          <w:sz w:val="11"/>
          <w:szCs w:val="11"/>
          <w:color w:val="333333"/>
        </w:rPr>
        <w:t>Consists of fees for permitted products and services other than those that meet the criteria above.</w:t>
      </w:r>
    </w:p>
    <w:p>
      <w:pPr>
        <w:spacing w:after="0" w:line="11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13 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PRE-APPROVAL OF AUDIT AND NON-AUDIT SERVICES</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of the Audit Committee if such approval is needed on a time urgent basis) generally pre-approves of all audit and permissible non-audit services provided by the independent registered public accounting firm. These services may include audit services, audit-related services, tax services and other services.</w:t>
      </w:r>
    </w:p>
    <w:p>
      <w:pPr>
        <w:spacing w:after="0" w:line="12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REQUIRED VOTE AND RECOMMENDATION OF THE BOARD OF DIRECTORS FOR PROPOSAL 2</w:t>
      </w:r>
    </w:p>
    <w:p>
      <w:pPr>
        <w:spacing w:after="0" w:line="159" w:lineRule="exact"/>
        <w:rPr>
          <w:sz w:val="20"/>
          <w:szCs w:val="20"/>
          <w:color w:val="auto"/>
        </w:rPr>
      </w:pPr>
    </w:p>
    <w:p>
      <w:pPr>
        <w:ind w:left="1020" w:right="60"/>
        <w:spacing w:after="0" w:line="246" w:lineRule="auto"/>
        <w:rPr>
          <w:sz w:val="20"/>
          <w:szCs w:val="20"/>
          <w:color w:val="auto"/>
        </w:rPr>
      </w:pPr>
      <w:r>
        <w:rPr>
          <w:rFonts w:ascii="Arial" w:cs="Arial" w:eastAsia="Arial" w:hAnsi="Arial"/>
          <w:sz w:val="14"/>
          <w:szCs w:val="14"/>
          <w:color w:val="auto"/>
        </w:rPr>
        <w:t>If this proposal does not receive a “FOR” vote from the holders of a majority of the shares of common stock present in person or represented by proxy at the Annual Meeting and voted “FOR” or “AGAINST” the proposal, the Audit Committee would reconsider the appointment. Abstentions and broker non-votes will have no effect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107315</wp:posOffset>
            </wp:positionV>
            <wp:extent cx="5838190" cy="357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8190" cy="357505"/>
                    </a:xfrm>
                    <a:prstGeom prst="rect">
                      <a:avLst/>
                    </a:prstGeom>
                    <a:noFill/>
                  </pic:spPr>
                </pic:pic>
              </a:graphicData>
            </a:graphic>
          </wp:anchor>
        </w:drawing>
      </w:r>
    </w:p>
    <w:p>
      <w:pPr>
        <w:spacing w:after="0" w:line="249" w:lineRule="exact"/>
        <w:rPr>
          <w:sz w:val="20"/>
          <w:szCs w:val="20"/>
          <w:color w:val="auto"/>
        </w:rPr>
      </w:pPr>
    </w:p>
    <w:p>
      <w:pPr>
        <w:ind w:left="1400" w:right="380"/>
        <w:spacing w:after="0" w:line="272" w:lineRule="auto"/>
        <w:rPr>
          <w:sz w:val="20"/>
          <w:szCs w:val="20"/>
          <w:color w:val="auto"/>
        </w:rPr>
      </w:pPr>
      <w:r>
        <w:rPr>
          <w:rFonts w:ascii="Arial" w:cs="Arial" w:eastAsia="Arial" w:hAnsi="Arial"/>
          <w:sz w:val="14"/>
          <w:szCs w:val="14"/>
          <w:b w:val="1"/>
          <w:bCs w:val="1"/>
          <w:color w:val="2393FF"/>
        </w:rPr>
        <w:t>Our Board of Directors unanimously recommends a vote “FOR” ratification of the appointment of PricewaterhouseCoopers LLP as our independent registered public accounting firm for the year ending December 31, 2026.</w:t>
      </w:r>
    </w:p>
    <w:p>
      <w:pPr>
        <w:spacing w:after="0" w:line="207"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14 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80"/>
          </w:cols>
          <w:pgMar w:left="320" w:top="425"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2393FF"/>
        </w:rPr>
        <w:t>PROPOSAL THREE:</w:t>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163830</wp:posOffset>
            </wp:positionV>
            <wp:extent cx="583819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86" w:lineRule="exact"/>
        <w:rPr>
          <w:sz w:val="20"/>
          <w:szCs w:val="20"/>
          <w:color w:val="auto"/>
        </w:rPr>
      </w:pPr>
    </w:p>
    <w:p>
      <w:pPr>
        <w:ind w:left="1020"/>
        <w:spacing w:after="0" w:line="287" w:lineRule="auto"/>
        <w:rPr>
          <w:sz w:val="20"/>
          <w:szCs w:val="20"/>
          <w:color w:val="auto"/>
        </w:rPr>
      </w:pPr>
      <w:r>
        <w:rPr>
          <w:rFonts w:ascii="Arial" w:cs="Arial" w:eastAsia="Arial" w:hAnsi="Arial"/>
          <w:sz w:val="12"/>
          <w:szCs w:val="12"/>
          <w:color w:val="auto"/>
        </w:rPr>
        <w:t>In accordance with Section 14A of the Exchange Act and as a matter of good corporate governance, our Board of Directors is providing the stockholders with the opportunity to vote to approve, on a non-binding, advisory basis, the compensation of our named executive officers as described in the section below entitled “Executive Officer Compensation” and accompanying compensation tables, and as discussed in the related narrative disclosure below. This advisory vote is commonly referred to as a “say-on-pay” vote. Stockholders may express their views on the design and effectiveness of our executive compensation program by abstaining or voting “For” or “Against” approval, on a non-binding, advisory basis, of the compensation of our named executive officers. This vote is not intended to address any specific element of compensation, but rather the overall compensation of the named executive officers.</w:t>
      </w:r>
    </w:p>
    <w:p>
      <w:pPr>
        <w:spacing w:after="0" w:line="11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PROGRAM AND PHILOSOPHY</w:t>
      </w:r>
    </w:p>
    <w:p>
      <w:pPr>
        <w:spacing w:after="0" w:line="143" w:lineRule="exact"/>
        <w:rPr>
          <w:sz w:val="20"/>
          <w:szCs w:val="20"/>
          <w:color w:val="auto"/>
        </w:rPr>
      </w:pPr>
    </w:p>
    <w:p>
      <w:pPr>
        <w:ind w:left="1020" w:right="40"/>
        <w:spacing w:after="0"/>
        <w:rPr>
          <w:sz w:val="20"/>
          <w:szCs w:val="20"/>
          <w:color w:val="auto"/>
        </w:rPr>
      </w:pPr>
      <w:r>
        <w:rPr>
          <w:rFonts w:ascii="Arial" w:cs="Arial" w:eastAsia="Arial" w:hAnsi="Arial"/>
          <w:sz w:val="14"/>
          <w:szCs w:val="14"/>
          <w:color w:val="auto"/>
        </w:rPr>
        <w:t>Our executive compensation philosophy and programs are designed to be market-competitive, enabling Flywire to attract and retain top talent in a highly-competitive global technology market. We believe that our executive compensation programs foster a performance-oriented culture that aligns our executives’ interests with those of our stockholders over the long term. We believe that the compensation of our executives is both appropriate for and responsive to the goal of improving stockholder value. Specifically, our total executive compensation is heavily weighted toward equity incentive compensation.</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DISCUSSION AND ANALYSIS</w:t>
      </w:r>
    </w:p>
    <w:p>
      <w:pPr>
        <w:spacing w:after="0" w:line="155" w:lineRule="exact"/>
        <w:rPr>
          <w:sz w:val="20"/>
          <w:szCs w:val="20"/>
          <w:color w:val="auto"/>
        </w:rPr>
      </w:pPr>
    </w:p>
    <w:p>
      <w:pPr>
        <w:ind w:left="1020" w:right="60"/>
        <w:spacing w:after="0" w:line="246" w:lineRule="auto"/>
        <w:rPr>
          <w:sz w:val="20"/>
          <w:szCs w:val="20"/>
          <w:color w:val="auto"/>
        </w:rPr>
      </w:pPr>
      <w:r>
        <w:rPr>
          <w:rFonts w:ascii="Arial" w:cs="Arial" w:eastAsia="Arial" w:hAnsi="Arial"/>
          <w:sz w:val="14"/>
          <w:szCs w:val="14"/>
          <w:color w:val="auto"/>
        </w:rPr>
        <w:t>Stockholders are urged to read the “Compensation Discussion and Analysis” section of this Proxy Statement and the tables and narrative discussion that follow for detail about our executive compensation programs, including information about the fiscal year 2025 compensation of our named executive officers.</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REQUIRED VOTE AND RECOMMENDATION OF THE BOARD OF DIRECTORS FOR PROPOSAL 3</w:t>
      </w:r>
    </w:p>
    <w:p>
      <w:pPr>
        <w:spacing w:after="0" w:line="143" w:lineRule="exact"/>
        <w:rPr>
          <w:sz w:val="20"/>
          <w:szCs w:val="20"/>
          <w:color w:val="auto"/>
        </w:rPr>
      </w:pPr>
    </w:p>
    <w:p>
      <w:pPr>
        <w:ind w:left="1020" w:right="200"/>
        <w:spacing w:after="0" w:line="246" w:lineRule="auto"/>
        <w:rPr>
          <w:sz w:val="20"/>
          <w:szCs w:val="20"/>
          <w:color w:val="auto"/>
        </w:rPr>
      </w:pPr>
      <w:r>
        <w:rPr>
          <w:rFonts w:ascii="Arial" w:cs="Arial" w:eastAsia="Arial" w:hAnsi="Arial"/>
          <w:sz w:val="14"/>
          <w:szCs w:val="14"/>
          <w:color w:val="auto"/>
        </w:rPr>
        <w:t>A “FOR” vote from the holders of a majority of the shares of common stock present in person or represented by proxy at the Annual Meeting and voted “FOR” or “AGAINST” the proposal is required to approve, on a non-binding, advisory basis, the compensation of our named executive officers. Abstentions and broker non-votes will not be counted “For” or “Against” this proposal and will have no effect on this proposal.</w:t>
      </w:r>
    </w:p>
    <w:p>
      <w:pPr>
        <w:spacing w:after="0" w:line="125" w:lineRule="exact"/>
        <w:rPr>
          <w:sz w:val="20"/>
          <w:szCs w:val="20"/>
          <w:color w:val="auto"/>
        </w:rPr>
      </w:pPr>
    </w:p>
    <w:p>
      <w:pPr>
        <w:ind w:left="1020" w:right="140"/>
        <w:spacing w:after="0"/>
        <w:rPr>
          <w:sz w:val="20"/>
          <w:szCs w:val="20"/>
          <w:color w:val="auto"/>
        </w:rPr>
      </w:pPr>
      <w:r>
        <w:rPr>
          <w:rFonts w:ascii="Arial" w:cs="Arial" w:eastAsia="Arial" w:hAnsi="Arial"/>
          <w:sz w:val="14"/>
          <w:szCs w:val="14"/>
          <w:color w:val="auto"/>
        </w:rPr>
        <w:t>Because say-on-pay votes are advisory and non-binding, voting results cannot overrule any decisions made by the Board of Directors or People &amp; Compensation Committee. However, our People &amp; Compensation Committee will take into account the outcome of the vote when considering future compensation arrangements for our named executive officers. During 2025, Flywire conducted targeted stockholder outreach as part of the People &amp; Compensation Committee’s ongoing commitment to strong governance and responsiveness to stockholder feedback regarding 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5838190" cy="365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38190" cy="365125"/>
                    </a:xfrm>
                    <a:prstGeom prst="rect">
                      <a:avLst/>
                    </a:prstGeom>
                    <a:noFill/>
                  </pic:spPr>
                </pic:pic>
              </a:graphicData>
            </a:graphic>
          </wp:anchor>
        </w:drawing>
      </w:r>
    </w:p>
    <w:p>
      <w:pPr>
        <w:spacing w:after="0" w:line="266" w:lineRule="exact"/>
        <w:rPr>
          <w:sz w:val="20"/>
          <w:szCs w:val="20"/>
          <w:color w:val="auto"/>
        </w:rPr>
      </w:pPr>
    </w:p>
    <w:p>
      <w:pPr>
        <w:ind w:left="1400" w:right="380"/>
        <w:spacing w:after="0" w:line="272" w:lineRule="auto"/>
        <w:rPr>
          <w:sz w:val="20"/>
          <w:szCs w:val="20"/>
          <w:color w:val="auto"/>
        </w:rPr>
      </w:pPr>
      <w:r>
        <w:rPr>
          <w:rFonts w:ascii="Arial" w:cs="Arial" w:eastAsia="Arial" w:hAnsi="Arial"/>
          <w:sz w:val="14"/>
          <w:szCs w:val="14"/>
          <w:b w:val="1"/>
          <w:bCs w:val="1"/>
          <w:color w:val="2393FF"/>
        </w:rPr>
        <w:t>The Board of Directors unanimously recommends a vote “FOR” approval, on a non-binding, advisory basis, of the compensation of our named executive officers.</w:t>
      </w:r>
    </w:p>
    <w:p>
      <w:pPr>
        <w:spacing w:after="0" w:line="207"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15 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6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CODE OF CONDUCT</w:t>
      </w:r>
    </w:p>
    <w:p>
      <w:pPr>
        <w:spacing w:after="0" w:line="155" w:lineRule="exact"/>
        <w:rPr>
          <w:sz w:val="20"/>
          <w:szCs w:val="20"/>
          <w:color w:val="auto"/>
        </w:rPr>
      </w:pPr>
    </w:p>
    <w:p>
      <w:pPr>
        <w:ind w:left="1020"/>
        <w:spacing w:after="0" w:line="291" w:lineRule="auto"/>
        <w:rPr>
          <w:sz w:val="20"/>
          <w:szCs w:val="20"/>
          <w:color w:val="auto"/>
        </w:rPr>
      </w:pPr>
      <w:r>
        <w:rPr>
          <w:rFonts w:ascii="Arial" w:cs="Arial" w:eastAsia="Arial" w:hAnsi="Arial"/>
          <w:sz w:val="12"/>
          <w:szCs w:val="12"/>
          <w:color w:val="auto"/>
        </w:rPr>
        <w:t>Our Board of Directors adopted a code of business conduct that applies to each of our directors, officers and employees. The full text of our code of business conduct is posted on the investor relations section of our website at https://ir.flywire.com. Any waiver of the code of business conduct for an executive officer or director may be granted only by our Board of Directors or a committee thereof and must be timely disclosed as required by applicable law. We have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9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GLOBAL IMPACT AT FLYWIRE</w:t>
      </w:r>
    </w:p>
    <w:p>
      <w:pPr>
        <w:spacing w:after="0" w:line="143" w:lineRule="exact"/>
        <w:rPr>
          <w:sz w:val="20"/>
          <w:szCs w:val="20"/>
          <w:color w:val="auto"/>
        </w:rPr>
      </w:pPr>
    </w:p>
    <w:p>
      <w:pPr>
        <w:ind w:left="1020" w:right="180"/>
        <w:spacing w:after="0"/>
        <w:rPr>
          <w:sz w:val="20"/>
          <w:szCs w:val="20"/>
          <w:color w:val="auto"/>
        </w:rPr>
      </w:pPr>
      <w:r>
        <w:rPr>
          <w:rFonts w:ascii="Arial" w:cs="Arial" w:eastAsia="Arial" w:hAnsi="Arial"/>
          <w:sz w:val="14"/>
          <w:szCs w:val="14"/>
          <w:color w:val="auto"/>
        </w:rPr>
        <w:t>In December 2022, we released our inaugural ESG report, a comprehensive summary of how we integrate social impact initiatives into our business strategy, and further updated the report in 2025 (our Impact Report). The Impact Report provides baseline metrics as well as a detailed overview of the core tenets of our ESG program, which are shaped by many defining principles – from social impact and community engagement, to governance and oversight, and much more. Our Impact Report is based on global best practices, and aligns with metrics set forth by the Sustainability Accounting Standards Board standards as well as the Global Reporting Initiative standards.</w:t>
      </w:r>
    </w:p>
    <w:p>
      <w:pPr>
        <w:spacing w:after="0" w:line="14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Our latest Impact Report details our investments across several disciplines, including:</w:t>
      </w:r>
    </w:p>
    <w:p>
      <w:pPr>
        <w:spacing w:after="0" w:line="175" w:lineRule="exact"/>
        <w:rPr>
          <w:sz w:val="20"/>
          <w:szCs w:val="20"/>
          <w:color w:val="auto"/>
        </w:rPr>
      </w:pPr>
    </w:p>
    <w:p>
      <w:pPr>
        <w:ind w:left="1740" w:hanging="353"/>
        <w:spacing w:after="0" w:line="243" w:lineRule="auto"/>
        <w:tabs>
          <w:tab w:leader="none" w:pos="174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Driving financial inclusion through affordability and accessibility: </w:t>
      </w:r>
      <w:r>
        <w:rPr>
          <w:rFonts w:ascii="Arial" w:cs="Arial" w:eastAsia="Arial" w:hAnsi="Arial"/>
          <w:sz w:val="14"/>
          <w:szCs w:val="14"/>
          <w:color w:val="auto"/>
        </w:rPr>
        <w:t>Our payments technology and software enables our clients’ payers to</w:t>
      </w:r>
      <w:r>
        <w:rPr>
          <w:rFonts w:ascii="Arial" w:cs="Arial" w:eastAsia="Arial" w:hAnsi="Arial"/>
          <w:sz w:val="14"/>
          <w:szCs w:val="14"/>
          <w:b w:val="1"/>
          <w:bCs w:val="1"/>
          <w:color w:val="auto"/>
        </w:rPr>
        <w:t xml:space="preserve"> </w:t>
      </w:r>
      <w:r>
        <w:rPr>
          <w:rFonts w:ascii="Arial" w:cs="Arial" w:eastAsia="Arial" w:hAnsi="Arial"/>
          <w:sz w:val="14"/>
          <w:szCs w:val="14"/>
          <w:color w:val="auto"/>
        </w:rPr>
        <w:t>set up payment plans, helping to make high-value transactions like medical bills and education expenses more accessible and affordable. For example, our work with educational institutions in the U.S. has helped collect more than $320.0 million in past-due tuition, a critical effort that helped keep more than 161,000 at-risk students enrolled.</w:t>
      </w:r>
    </w:p>
    <w:p>
      <w:pPr>
        <w:spacing w:after="0" w:line="159" w:lineRule="exact"/>
        <w:rPr>
          <w:rFonts w:ascii="Arial" w:cs="Arial" w:eastAsia="Arial" w:hAnsi="Arial"/>
          <w:sz w:val="14"/>
          <w:szCs w:val="14"/>
          <w:color w:val="auto"/>
        </w:rPr>
      </w:pPr>
    </w:p>
    <w:p>
      <w:pPr>
        <w:ind w:left="1740" w:right="20" w:hanging="353"/>
        <w:spacing w:after="0"/>
        <w:tabs>
          <w:tab w:leader="none" w:pos="174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Global collaboration and belonging: </w:t>
      </w:r>
      <w:r>
        <w:rPr>
          <w:rFonts w:ascii="Arial" w:cs="Arial" w:eastAsia="Arial" w:hAnsi="Arial"/>
          <w:sz w:val="14"/>
          <w:szCs w:val="14"/>
          <w:color w:val="auto"/>
        </w:rPr>
        <w:t>Our employees, who we call FlyMates, represent over 60 nationalities and over 35 spoken languages.</w:t>
      </w:r>
      <w:r>
        <w:rPr>
          <w:rFonts w:ascii="Arial" w:cs="Arial" w:eastAsia="Arial" w:hAnsi="Arial"/>
          <w:sz w:val="14"/>
          <w:szCs w:val="14"/>
          <w:b w:val="1"/>
          <w:bCs w:val="1"/>
          <w:color w:val="auto"/>
        </w:rPr>
        <w:t xml:space="preserve"> </w:t>
      </w:r>
      <w:r>
        <w:rPr>
          <w:rFonts w:ascii="Arial" w:cs="Arial" w:eastAsia="Arial" w:hAnsi="Arial"/>
          <w:sz w:val="14"/>
          <w:szCs w:val="14"/>
          <w:color w:val="auto"/>
        </w:rPr>
        <w:t>Multiple Employee Resource Groups (ERGs) – open to all FlyMates – are devoted to promoting FlyMate collaboration and belonging. Through our ERGs and other supporting programs, we are able to better serve our varied, global community of FlyMates where they live and work, and to deliver rich, compelling and meaningful experiences that engage and care for FlyMates. In addition, our “FlyBrid” model empowers FlyMates to adopt flexible working arrangements between remote and in-office work environments and provides tools and capabilities for remote collaboration.</w:t>
      </w:r>
    </w:p>
    <w:p>
      <w:pPr>
        <w:spacing w:after="0" w:line="160" w:lineRule="exact"/>
        <w:rPr>
          <w:rFonts w:ascii="Arial" w:cs="Arial" w:eastAsia="Arial" w:hAnsi="Arial"/>
          <w:sz w:val="14"/>
          <w:szCs w:val="14"/>
          <w:color w:val="auto"/>
        </w:rPr>
      </w:pPr>
    </w:p>
    <w:p>
      <w:pPr>
        <w:ind w:left="1740" w:hanging="353"/>
        <w:spacing w:after="0" w:line="243" w:lineRule="auto"/>
        <w:tabs>
          <w:tab w:leader="none" w:pos="174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Career development and training: </w:t>
      </w:r>
      <w:r>
        <w:rPr>
          <w:rFonts w:ascii="Arial" w:cs="Arial" w:eastAsia="Arial" w:hAnsi="Arial"/>
          <w:sz w:val="14"/>
          <w:szCs w:val="14"/>
          <w:color w:val="auto"/>
        </w:rPr>
        <w:t>In 2025, FlyMates spent more than 4,500 hours on company-sponsored career development and training</w:t>
      </w:r>
      <w:r>
        <w:rPr>
          <w:rFonts w:ascii="Arial" w:cs="Arial" w:eastAsia="Arial" w:hAnsi="Arial"/>
          <w:sz w:val="14"/>
          <w:szCs w:val="14"/>
          <w:b w:val="1"/>
          <w:bCs w:val="1"/>
          <w:color w:val="auto"/>
        </w:rPr>
        <w:t xml:space="preserve"> </w:t>
      </w:r>
      <w:r>
        <w:rPr>
          <w:rFonts w:ascii="Arial" w:cs="Arial" w:eastAsia="Arial" w:hAnsi="Arial"/>
          <w:sz w:val="14"/>
          <w:szCs w:val="14"/>
          <w:color w:val="auto"/>
        </w:rPr>
        <w:t>programs. These initiatives are available to all FlyMates, including part-time and contract employees. We continue to enhance our career development and skills training policies by offering new programs focused on enriching FlyMates’ careers and growing them both personally and professionally.</w:t>
      </w:r>
    </w:p>
    <w:p>
      <w:pPr>
        <w:spacing w:after="0" w:line="159" w:lineRule="exact"/>
        <w:rPr>
          <w:rFonts w:ascii="Arial" w:cs="Arial" w:eastAsia="Arial" w:hAnsi="Arial"/>
          <w:sz w:val="14"/>
          <w:szCs w:val="14"/>
          <w:color w:val="auto"/>
        </w:rPr>
      </w:pPr>
    </w:p>
    <w:p>
      <w:pPr>
        <w:ind w:left="1740" w:right="120" w:hanging="353"/>
        <w:spacing w:after="0" w:line="241" w:lineRule="auto"/>
        <w:tabs>
          <w:tab w:leader="none" w:pos="174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Social impact and community engagement: </w:t>
      </w:r>
      <w:r>
        <w:rPr>
          <w:rFonts w:ascii="Arial" w:cs="Arial" w:eastAsia="Arial" w:hAnsi="Arial"/>
          <w:sz w:val="14"/>
          <w:szCs w:val="14"/>
          <w:color w:val="auto"/>
        </w:rPr>
        <w:t>A cornerstone of our social impact and community engagement efforts is responding to local</w:t>
      </w:r>
      <w:r>
        <w:rPr>
          <w:rFonts w:ascii="Arial" w:cs="Arial" w:eastAsia="Arial" w:hAnsi="Arial"/>
          <w:sz w:val="14"/>
          <w:szCs w:val="14"/>
          <w:b w:val="1"/>
          <w:bCs w:val="1"/>
          <w:color w:val="auto"/>
        </w:rPr>
        <w:t xml:space="preserve"> </w:t>
      </w:r>
      <w:r>
        <w:rPr>
          <w:rFonts w:ascii="Arial" w:cs="Arial" w:eastAsia="Arial" w:hAnsi="Arial"/>
          <w:sz w:val="14"/>
          <w:szCs w:val="14"/>
          <w:color w:val="auto"/>
        </w:rPr>
        <w:t>community needs during times of crisis and offering volunteering and other resources to communities where FlyMates live and work. We recently established a company-match donation program to foster purposeful philanthropy to non-profit organizations around the world. We also provide paid volunteer time off – “FlyBetter Days” – to positively contribute to the community, enhance work culture and retain talented people.</w:t>
      </w:r>
    </w:p>
    <w:p>
      <w:pPr>
        <w:spacing w:after="0" w:line="160" w:lineRule="exact"/>
        <w:rPr>
          <w:rFonts w:ascii="Arial" w:cs="Arial" w:eastAsia="Arial" w:hAnsi="Arial"/>
          <w:sz w:val="14"/>
          <w:szCs w:val="14"/>
          <w:color w:val="auto"/>
        </w:rPr>
      </w:pPr>
    </w:p>
    <w:p>
      <w:pPr>
        <w:ind w:left="1740" w:right="120" w:hanging="353"/>
        <w:spacing w:after="0" w:line="248" w:lineRule="auto"/>
        <w:tabs>
          <w:tab w:leader="none" w:pos="174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Data privacy, security and compliance: </w:t>
      </w:r>
      <w:r>
        <w:rPr>
          <w:rFonts w:ascii="Arial" w:cs="Arial" w:eastAsia="Arial" w:hAnsi="Arial"/>
          <w:sz w:val="14"/>
          <w:szCs w:val="14"/>
          <w:color w:val="auto"/>
        </w:rPr>
        <w:t>Our dedicated compliance and risk management function, overseen by our Chief Compliance</w:t>
      </w:r>
      <w:r>
        <w:rPr>
          <w:rFonts w:ascii="Arial" w:cs="Arial" w:eastAsia="Arial" w:hAnsi="Arial"/>
          <w:sz w:val="14"/>
          <w:szCs w:val="14"/>
          <w:b w:val="1"/>
          <w:bCs w:val="1"/>
          <w:color w:val="auto"/>
        </w:rPr>
        <w:t xml:space="preserve"> </w:t>
      </w:r>
      <w:r>
        <w:rPr>
          <w:rFonts w:ascii="Arial" w:cs="Arial" w:eastAsia="Arial" w:hAnsi="Arial"/>
          <w:sz w:val="14"/>
          <w:szCs w:val="14"/>
          <w:color w:val="auto"/>
        </w:rPr>
        <w:t>Officer and risk team with Audit Committee and Board-level oversight, has been built over more than a decade, providing payers and clients with confidence in our solutions.</w:t>
      </w:r>
    </w:p>
    <w:p>
      <w:pPr>
        <w:spacing w:after="0" w:line="154" w:lineRule="exact"/>
        <w:rPr>
          <w:rFonts w:ascii="Arial" w:cs="Arial" w:eastAsia="Arial" w:hAnsi="Arial"/>
          <w:sz w:val="14"/>
          <w:szCs w:val="14"/>
          <w:color w:val="auto"/>
        </w:rPr>
      </w:pPr>
    </w:p>
    <w:p>
      <w:pPr>
        <w:ind w:left="1740" w:right="120" w:hanging="353"/>
        <w:spacing w:after="0" w:line="243" w:lineRule="auto"/>
        <w:tabs>
          <w:tab w:leader="none" w:pos="1740" w:val="left"/>
        </w:tabs>
        <w:numPr>
          <w:ilvl w:val="0"/>
          <w:numId w:val="53"/>
        </w:numPr>
        <w:rPr>
          <w:rFonts w:ascii="Arial" w:cs="Arial" w:eastAsia="Arial" w:hAnsi="Arial"/>
          <w:sz w:val="14"/>
          <w:szCs w:val="14"/>
          <w:color w:val="auto"/>
        </w:rPr>
      </w:pPr>
      <w:r>
        <w:rPr>
          <w:rFonts w:ascii="Arial" w:cs="Arial" w:eastAsia="Arial" w:hAnsi="Arial"/>
          <w:sz w:val="14"/>
          <w:szCs w:val="14"/>
          <w:b w:val="1"/>
          <w:bCs w:val="1"/>
          <w:color w:val="auto"/>
        </w:rPr>
        <w:t xml:space="preserve">Governance and ethics: </w:t>
      </w:r>
      <w:r>
        <w:rPr>
          <w:rFonts w:ascii="Arial" w:cs="Arial" w:eastAsia="Arial" w:hAnsi="Arial"/>
          <w:sz w:val="14"/>
          <w:szCs w:val="14"/>
          <w:color w:val="auto"/>
        </w:rPr>
        <w:t>We are committed to ethical and compliant business practices and good corporate governance for the long-term</w:t>
      </w:r>
      <w:r>
        <w:rPr>
          <w:rFonts w:ascii="Arial" w:cs="Arial" w:eastAsia="Arial" w:hAnsi="Arial"/>
          <w:sz w:val="14"/>
          <w:szCs w:val="14"/>
          <w:b w:val="1"/>
          <w:bCs w:val="1"/>
          <w:color w:val="auto"/>
        </w:rPr>
        <w:t xml:space="preserve"> </w:t>
      </w:r>
      <w:r>
        <w:rPr>
          <w:rFonts w:ascii="Arial" w:cs="Arial" w:eastAsia="Arial" w:hAnsi="Arial"/>
          <w:sz w:val="14"/>
          <w:szCs w:val="14"/>
          <w:color w:val="auto"/>
        </w:rPr>
        <w:t>success of Flywire and our stockholders. We have a Code of Conduct that is actively enforced and mandatory training across a spectrum of important topics, including anti-money laundering, anti-corruption, financial controls, confidentiality, sexual harassment and discrimination, and information security best practices.</w:t>
      </w:r>
    </w:p>
    <w:p>
      <w:pPr>
        <w:spacing w:after="0" w:line="10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16 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00"/>
          </w:cols>
          <w:pgMar w:left="320" w:top="425" w:right="1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3" w:lineRule="exact"/>
        <w:rPr>
          <w:sz w:val="20"/>
          <w:szCs w:val="20"/>
          <w:color w:val="auto"/>
        </w:rPr>
      </w:pPr>
    </w:p>
    <w:p>
      <w:pPr>
        <w:ind w:left="1740" w:right="40" w:hanging="353"/>
        <w:spacing w:after="0" w:line="243" w:lineRule="auto"/>
        <w:tabs>
          <w:tab w:leader="none" w:pos="174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 xml:space="preserve">Environmental impact: </w:t>
      </w:r>
      <w:r>
        <w:rPr>
          <w:rFonts w:ascii="Arial" w:cs="Arial" w:eastAsia="Arial" w:hAnsi="Arial"/>
          <w:sz w:val="14"/>
          <w:szCs w:val="14"/>
          <w:color w:val="auto"/>
        </w:rPr>
        <w:t>Flywire conducts an annual greenhouse gas emissions audit, over our own operations and our most significant</w:t>
      </w:r>
      <w:r>
        <w:rPr>
          <w:rFonts w:ascii="Arial" w:cs="Arial" w:eastAsia="Arial" w:hAnsi="Arial"/>
          <w:sz w:val="14"/>
          <w:szCs w:val="14"/>
          <w:b w:val="1"/>
          <w:bCs w:val="1"/>
          <w:color w:val="auto"/>
        </w:rPr>
        <w:t xml:space="preserve"> </w:t>
      </w:r>
      <w:r>
        <w:rPr>
          <w:rFonts w:ascii="Arial" w:cs="Arial" w:eastAsia="Arial" w:hAnsi="Arial"/>
          <w:sz w:val="14"/>
          <w:szCs w:val="14"/>
          <w:color w:val="auto"/>
        </w:rPr>
        <w:t>value-chain emissions with a vision to reduce our carbon-intensive activities and improve overall energy efficiencies. Since 2020, Flywire has also supported Tomorrow’s Air (permanent carbon-removal collective) and the Adventure Travel Conservation Fund, converting financial support into measurable climate and biodiversity gains on four continents.</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BOARD COMPOSITION</w:t>
      </w:r>
    </w:p>
    <w:p>
      <w:pPr>
        <w:spacing w:after="0" w:line="143" w:lineRule="exact"/>
        <w:rPr>
          <w:sz w:val="20"/>
          <w:szCs w:val="20"/>
          <w:color w:val="auto"/>
        </w:rPr>
      </w:pPr>
    </w:p>
    <w:p>
      <w:pPr>
        <w:ind w:left="1020" w:right="100"/>
        <w:spacing w:after="0" w:line="242" w:lineRule="auto"/>
        <w:rPr>
          <w:sz w:val="20"/>
          <w:szCs w:val="20"/>
          <w:color w:val="auto"/>
        </w:rPr>
      </w:pPr>
      <w:r>
        <w:rPr>
          <w:rFonts w:ascii="Arial" w:cs="Arial" w:eastAsia="Arial" w:hAnsi="Arial"/>
          <w:sz w:val="14"/>
          <w:szCs w:val="14"/>
          <w:color w:val="auto"/>
        </w:rPr>
        <w:t>Our business affairs are managed under the direction of our Board of Directors, which is currently composed of nine members. All of our directors, other than Mr. Massaro, are independent within the meaning of the listing rules of The Nasdaq Stock Market (Nasdaq).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39" w:lineRule="exact"/>
        <w:rPr>
          <w:sz w:val="20"/>
          <w:szCs w:val="20"/>
          <w:color w:val="auto"/>
        </w:rPr>
      </w:pPr>
    </w:p>
    <w:p>
      <w:pPr>
        <w:ind w:left="1020" w:right="20"/>
        <w:spacing w:after="0" w:line="296" w:lineRule="auto"/>
        <w:rPr>
          <w:sz w:val="20"/>
          <w:szCs w:val="20"/>
          <w:color w:val="auto"/>
        </w:rPr>
      </w:pPr>
      <w:r>
        <w:rPr>
          <w:rFonts w:ascii="Arial" w:cs="Arial" w:eastAsia="Arial" w:hAnsi="Arial"/>
          <w:sz w:val="12"/>
          <w:szCs w:val="12"/>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 The classification of our Board of Directors may have the effect of delaying or preventing changes in our control or management.</w:t>
      </w:r>
    </w:p>
    <w:p>
      <w:pPr>
        <w:spacing w:after="0" w:line="97" w:lineRule="exact"/>
        <w:rPr>
          <w:sz w:val="20"/>
          <w:szCs w:val="20"/>
          <w:color w:val="auto"/>
        </w:rPr>
      </w:pPr>
    </w:p>
    <w:p>
      <w:pPr>
        <w:ind w:left="1020" w:right="200"/>
        <w:spacing w:after="0" w:line="341" w:lineRule="auto"/>
        <w:rPr>
          <w:sz w:val="20"/>
          <w:szCs w:val="20"/>
          <w:color w:val="auto"/>
        </w:rPr>
      </w:pPr>
      <w:r>
        <w:rPr>
          <w:rFonts w:ascii="Arial" w:cs="Arial" w:eastAsia="Arial" w:hAnsi="Arial"/>
          <w:sz w:val="12"/>
          <w:szCs w:val="12"/>
          <w:color w:val="auto"/>
        </w:rPr>
        <w:t>In determining the composition of our Board, our Board of Directors and Nominating and Corporate Governance Committee are committed to ensuring that our directors maintain effective and independent oversight of our business and can competently represent the interests of our stockholders.</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DIRECTOR INDEPENDENCE</w:t>
      </w:r>
    </w:p>
    <w:p>
      <w:pPr>
        <w:spacing w:after="0" w:line="155" w:lineRule="exact"/>
        <w:rPr>
          <w:sz w:val="20"/>
          <w:szCs w:val="20"/>
          <w:color w:val="auto"/>
        </w:rPr>
      </w:pPr>
    </w:p>
    <w:p>
      <w:pPr>
        <w:ind w:left="1020"/>
        <w:spacing w:after="0" w:line="237" w:lineRule="auto"/>
        <w:rPr>
          <w:sz w:val="20"/>
          <w:szCs w:val="20"/>
          <w:color w:val="auto"/>
        </w:rPr>
      </w:pPr>
      <w:r>
        <w:rPr>
          <w:rFonts w:ascii="Arial" w:cs="Arial" w:eastAsia="Arial" w:hAnsi="Arial"/>
          <w:sz w:val="14"/>
          <w:szCs w:val="14"/>
          <w:color w:val="auto"/>
        </w:rPr>
        <w:t>Our common stock is listed on the Nasdaq Global Select Market. The listing rules of this stock exchange generally require that a majority of the members of a listed company’s Board of Directors be independent. In addition, the rules of Nasdaq require that, subject to specified exceptions, each member of a listed company’s audit, compensation, and nominating and corporate governance committees be independent. The Nasdaq director independence definition includes a series of objective tests, such as that the director is not also one of our employees and has not engaged in various types of business dealings with us. In addition, as further required by Nasdaq rules, our Board of Directors has made a subjective determination as to each non-employee director that no relationships exist (either directly or as a partner, stockholder, officer or affiliate of a stockholder or other organization that has a relationship with us) which, in the opinion of our Board of Directors, would interfere with the exercise of independent judgment in carrying out the responsibilities of a director. In making these determinations, our directors reviewed and discussed information provided by the directors and us with regard to each director’s background, employment, affiliations, including family relationships, and business and personal activities as they may relate to us and our management. In addition, our Board of Directors also considers each director’s beneficial ownership of our common stock in its independence analysis, as set forth under “Security Ownership of Certain Beneficial Owners and Management.” Our Board of Directors believes that stock ownership by directors is positive in that it tends to further align a director’s interests with those of our other stockholders. Please see “Stock Ownership Requirements” for additional information.</w:t>
      </w:r>
    </w:p>
    <w:p>
      <w:pPr>
        <w:spacing w:after="0" w:line="130" w:lineRule="exact"/>
        <w:rPr>
          <w:sz w:val="20"/>
          <w:szCs w:val="20"/>
          <w:color w:val="auto"/>
        </w:rPr>
      </w:pPr>
    </w:p>
    <w:p>
      <w:pPr>
        <w:ind w:left="1020" w:right="160"/>
        <w:spacing w:after="0" w:line="258" w:lineRule="auto"/>
        <w:rPr>
          <w:sz w:val="20"/>
          <w:szCs w:val="20"/>
          <w:color w:val="auto"/>
        </w:rPr>
      </w:pPr>
      <w:r>
        <w:rPr>
          <w:rFonts w:ascii="Arial" w:cs="Arial" w:eastAsia="Arial" w:hAnsi="Arial"/>
          <w:sz w:val="14"/>
          <w:szCs w:val="14"/>
          <w:color w:val="auto"/>
        </w:rPr>
        <w:t>The independent members of our Board of Directors meet in executive session, without Mr. Massaro or other members of management present, during regularly scheduled meetings.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BOARD LEADERSHIP STRUCTURE</w:t>
      </w:r>
    </w:p>
    <w:p>
      <w:pPr>
        <w:spacing w:after="0" w:line="143" w:lineRule="exact"/>
        <w:rPr>
          <w:sz w:val="20"/>
          <w:szCs w:val="20"/>
          <w:color w:val="auto"/>
        </w:rPr>
      </w:pPr>
    </w:p>
    <w:p>
      <w:pPr>
        <w:ind w:left="1020" w:right="80"/>
        <w:spacing w:after="0" w:line="291" w:lineRule="auto"/>
        <w:rPr>
          <w:sz w:val="20"/>
          <w:szCs w:val="20"/>
          <w:color w:val="auto"/>
        </w:rPr>
      </w:pPr>
      <w:r>
        <w:rPr>
          <w:rFonts w:ascii="Arial" w:cs="Arial" w:eastAsia="Arial" w:hAnsi="Arial"/>
          <w:sz w:val="12"/>
          <w:szCs w:val="12"/>
          <w:color w:val="auto"/>
        </w:rPr>
        <w:t>Our Board of Directors is currently led by its Chair, Phillip Riese. Our Board of Directors recognizes that it is important to determine an optimal board leadership structure to ensure the independent oversight of management as we continue to grow. We separate the roles of Chief Executive Officer and Chair of the Board of Directors in recognition of the differences between the two roles. The Chief Executive Officer is responsible for setting our strategic direction and our day-to-day leadership and performance, while the Chair of the Board of Directors presides over meetings of the full Board of Directors. We believe that this separation of responsibilities provides a balanced approach to managing the Board of Directors and overseeing our operations.</w:t>
      </w:r>
    </w:p>
    <w:p>
      <w:pPr>
        <w:spacing w:after="0" w:line="110" w:lineRule="exact"/>
        <w:rPr>
          <w:sz w:val="20"/>
          <w:szCs w:val="20"/>
          <w:color w:val="auto"/>
        </w:rPr>
      </w:pPr>
    </w:p>
    <w:p>
      <w:pPr>
        <w:ind w:left="1020" w:right="260"/>
        <w:spacing w:after="0" w:line="258" w:lineRule="auto"/>
        <w:rPr>
          <w:sz w:val="20"/>
          <w:szCs w:val="20"/>
          <w:color w:val="auto"/>
        </w:rPr>
      </w:pPr>
      <w:r>
        <w:rPr>
          <w:rFonts w:ascii="Arial" w:cs="Arial" w:eastAsia="Arial" w:hAnsi="Arial"/>
          <w:sz w:val="14"/>
          <w:szCs w:val="14"/>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89"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17 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00"/>
          </w:cols>
          <w:pgMar w:left="320" w:top="425" w:right="1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BOARD COMMITTEES</w:t>
      </w:r>
    </w:p>
    <w:p>
      <w:pPr>
        <w:spacing w:after="0" w:line="143" w:lineRule="exact"/>
        <w:rPr>
          <w:sz w:val="20"/>
          <w:szCs w:val="20"/>
          <w:color w:val="auto"/>
        </w:rPr>
      </w:pPr>
    </w:p>
    <w:p>
      <w:pPr>
        <w:ind w:left="1020" w:right="120"/>
        <w:spacing w:after="0" w:line="242" w:lineRule="auto"/>
        <w:rPr>
          <w:sz w:val="20"/>
          <w:szCs w:val="20"/>
          <w:color w:val="auto"/>
        </w:rPr>
      </w:pPr>
      <w:r>
        <w:rPr>
          <w:rFonts w:ascii="Arial" w:cs="Arial" w:eastAsia="Arial" w:hAnsi="Arial"/>
          <w:sz w:val="14"/>
          <w:szCs w:val="14"/>
          <w:color w:val="auto"/>
        </w:rPr>
        <w:t>Our Board of Directors has established an Audit Committee, a People &amp; Compensation Committee and a Nominating and Corporate Governance Committee. The composition of these committees meets the criteria for independence under, and the functioning of these committees comply with, the applicable requirements of the Sarbanes-Oxley Act of 2002, the current rules of Nasdaq and SEC rules and regulations. We intend to comply with future requirements as they become applicable to us. Each committee has the composition and responsibilities described below.</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AUDIT COMMITTEE</w:t>
      </w:r>
    </w:p>
    <w:p>
      <w:pPr>
        <w:spacing w:after="0" w:line="155" w:lineRule="exact"/>
        <w:rPr>
          <w:sz w:val="20"/>
          <w:szCs w:val="20"/>
          <w:color w:val="auto"/>
        </w:rPr>
      </w:pPr>
    </w:p>
    <w:p>
      <w:pPr>
        <w:ind w:left="1020" w:right="220"/>
        <w:spacing w:after="0" w:line="242" w:lineRule="auto"/>
        <w:rPr>
          <w:sz w:val="20"/>
          <w:szCs w:val="20"/>
          <w:color w:val="auto"/>
        </w:rPr>
      </w:pPr>
      <w:r>
        <w:rPr>
          <w:rFonts w:ascii="Arial" w:cs="Arial" w:eastAsia="Arial" w:hAnsi="Arial"/>
          <w:sz w:val="14"/>
          <w:szCs w:val="14"/>
          <w:color w:val="auto"/>
        </w:rPr>
        <w:t>During the year ended December 31, 2025, our Audit Committee held four formal meetings. The current members of our Audit Committee are Edwin Santos, Alex Finkelstein, Carleigh Jaques, Christine Katziff and Phillip Riese, each of whom is a non-employee member of the Board of Directors. Ms. Katziff joined the Audit Committee upon her appointment to our Board of Directors on March 25, 2026. Mr. Santos serves as the Chair of the Audit Committee.</w:t>
      </w:r>
    </w:p>
    <w:p>
      <w:pPr>
        <w:spacing w:after="0" w:line="128" w:lineRule="exact"/>
        <w:rPr>
          <w:sz w:val="20"/>
          <w:szCs w:val="20"/>
          <w:color w:val="auto"/>
        </w:rPr>
      </w:pPr>
    </w:p>
    <w:p>
      <w:pPr>
        <w:ind w:left="1020" w:right="160"/>
        <w:spacing w:after="0" w:line="242" w:lineRule="auto"/>
        <w:rPr>
          <w:sz w:val="20"/>
          <w:szCs w:val="20"/>
          <w:color w:val="auto"/>
        </w:rPr>
      </w:pPr>
      <w:r>
        <w:rPr>
          <w:rFonts w:ascii="Arial" w:cs="Arial" w:eastAsia="Arial" w:hAnsi="Arial"/>
          <w:sz w:val="14"/>
          <w:szCs w:val="14"/>
          <w:color w:val="auto"/>
        </w:rPr>
        <w:t>Our Audit Committee’s main function is to oversee our accounting and financial reporting processes, our internal audit function, internal systems of control, independent registered public accounting firm relationships and the audits of our financial statements. The full text of the Audit Committee’s amended and restated charter is posted on the corporate governance section of our website at https://ir.flywire.com/corporate-governance/governance-overview. Pursuant to the Audit Committee charter, the functions of the Audit Committee include, among other things:</w:t>
      </w:r>
    </w:p>
    <w:p>
      <w:pPr>
        <w:spacing w:after="0" w:line="162" w:lineRule="exact"/>
        <w:rPr>
          <w:sz w:val="20"/>
          <w:szCs w:val="20"/>
          <w:color w:val="auto"/>
        </w:rPr>
      </w:pPr>
    </w:p>
    <w:p>
      <w:pPr>
        <w:ind w:left="1740" w:hanging="353"/>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appointing, approving the compensation of, and assessing the independence of our registered public accounting firm;</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overseeing the work of our registered public accounting firm, including through the receipt and consideration of reports from such firm;</w:t>
      </w:r>
    </w:p>
    <w:p>
      <w:pPr>
        <w:spacing w:after="0" w:line="177" w:lineRule="exact"/>
        <w:rPr>
          <w:rFonts w:ascii="Arial" w:cs="Arial" w:eastAsia="Arial" w:hAnsi="Arial"/>
          <w:sz w:val="14"/>
          <w:szCs w:val="14"/>
          <w:color w:val="auto"/>
        </w:rPr>
      </w:pPr>
    </w:p>
    <w:p>
      <w:pPr>
        <w:ind w:left="1740" w:right="400" w:hanging="353"/>
        <w:spacing w:after="0" w:line="258" w:lineRule="auto"/>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reviewing and discussing with management and the registered public accounting firm our annual and quarterly financial statements and related disclosures;</w:t>
      </w:r>
    </w:p>
    <w:p>
      <w:pPr>
        <w:spacing w:after="0" w:line="149" w:lineRule="exact"/>
        <w:rPr>
          <w:rFonts w:ascii="Arial" w:cs="Arial" w:eastAsia="Arial" w:hAnsi="Arial"/>
          <w:sz w:val="14"/>
          <w:szCs w:val="14"/>
          <w:color w:val="auto"/>
        </w:rPr>
      </w:pPr>
    </w:p>
    <w:p>
      <w:pPr>
        <w:ind w:left="1740" w:hanging="353"/>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monitoring our internal control over financial reporting and our disclosure controls and procedures;</w:t>
      </w:r>
    </w:p>
    <w:p>
      <w:pPr>
        <w:spacing w:after="0" w:line="177" w:lineRule="exact"/>
        <w:rPr>
          <w:rFonts w:ascii="Arial" w:cs="Arial" w:eastAsia="Arial" w:hAnsi="Arial"/>
          <w:sz w:val="14"/>
          <w:szCs w:val="14"/>
          <w:color w:val="auto"/>
        </w:rPr>
      </w:pPr>
    </w:p>
    <w:p>
      <w:pPr>
        <w:ind w:left="1740" w:right="400" w:hanging="353"/>
        <w:spacing w:after="0" w:line="258" w:lineRule="auto"/>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overseeing the internal audit function, including the annual internal audit plan, internal audit charter and the responsibilities, budget and staffing of our internal audit function;</w:t>
      </w:r>
    </w:p>
    <w:p>
      <w:pPr>
        <w:spacing w:after="0" w:line="149" w:lineRule="exact"/>
        <w:rPr>
          <w:rFonts w:ascii="Arial" w:cs="Arial" w:eastAsia="Arial" w:hAnsi="Arial"/>
          <w:sz w:val="14"/>
          <w:szCs w:val="14"/>
          <w:color w:val="auto"/>
        </w:rPr>
      </w:pPr>
    </w:p>
    <w:p>
      <w:pPr>
        <w:ind w:left="1740" w:hanging="353"/>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meeting independently with our registered public accounting firm and management;</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preparing the Audit Committee report required by SEC rules;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reviewing and approving or ratifying any related person transactions; and</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overseeing our risk assessment and risk management policies, including among other matters, financial, compliance and cybersecurity.</w:t>
      </w:r>
    </w:p>
    <w:p>
      <w:pPr>
        <w:spacing w:after="0" w:line="143" w:lineRule="exact"/>
        <w:rPr>
          <w:sz w:val="20"/>
          <w:szCs w:val="20"/>
          <w:color w:val="auto"/>
        </w:rPr>
      </w:pPr>
    </w:p>
    <w:p>
      <w:pPr>
        <w:ind w:left="1020" w:right="80"/>
        <w:spacing w:after="0" w:line="291" w:lineRule="auto"/>
        <w:rPr>
          <w:sz w:val="20"/>
          <w:szCs w:val="20"/>
          <w:color w:val="auto"/>
        </w:rPr>
      </w:pPr>
      <w:r>
        <w:rPr>
          <w:rFonts w:ascii="Arial" w:cs="Arial" w:eastAsia="Arial" w:hAnsi="Arial"/>
          <w:sz w:val="12"/>
          <w:szCs w:val="12"/>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Each of Messrs. Santos, Finkelstein and Riese and Mss. Jaques and Katziff qualify as an independent director pursuant to Rule 10A-3.</w:t>
      </w:r>
    </w:p>
    <w:p>
      <w:pPr>
        <w:spacing w:after="0" w:line="110" w:lineRule="exact"/>
        <w:rPr>
          <w:sz w:val="20"/>
          <w:szCs w:val="20"/>
          <w:color w:val="auto"/>
        </w:rPr>
      </w:pPr>
    </w:p>
    <w:p>
      <w:pPr>
        <w:ind w:left="1020"/>
        <w:spacing w:after="0" w:line="239" w:lineRule="auto"/>
        <w:rPr>
          <w:sz w:val="20"/>
          <w:szCs w:val="20"/>
          <w:color w:val="auto"/>
        </w:rPr>
      </w:pPr>
      <w:r>
        <w:rPr>
          <w:rFonts w:ascii="Arial" w:cs="Arial" w:eastAsia="Arial" w:hAnsi="Arial"/>
          <w:sz w:val="14"/>
          <w:szCs w:val="14"/>
          <w:color w:val="auto"/>
        </w:rPr>
        <w:t>All members of our Audit Committee meet the requirements for financial literacy under the applicable rules and regulations of the SEC and Nasdaq. Our Board of Directors has determined that Mr. Santos is an “audit committee financial expert” as defined by applicable SEC rules and has the requisite financial sophistication as defined under the applicable Nasdaq rules and regulations. The designation does not impose on Mr. Santos any duties, obligations or liability that are greater than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w:t>
      </w:r>
    </w:p>
    <w:p>
      <w:pPr>
        <w:spacing w:after="0" w:line="104"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18 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PEOPLE &amp; COMPENSATION COMMITTEE</w:t>
      </w:r>
    </w:p>
    <w:p>
      <w:pPr>
        <w:spacing w:after="0" w:line="143" w:lineRule="exact"/>
        <w:rPr>
          <w:sz w:val="20"/>
          <w:szCs w:val="20"/>
          <w:color w:val="auto"/>
        </w:rPr>
      </w:pPr>
    </w:p>
    <w:p>
      <w:pPr>
        <w:ind w:left="1020" w:right="220"/>
        <w:spacing w:after="0" w:line="307" w:lineRule="auto"/>
        <w:rPr>
          <w:sz w:val="20"/>
          <w:szCs w:val="20"/>
          <w:color w:val="auto"/>
        </w:rPr>
      </w:pPr>
      <w:r>
        <w:rPr>
          <w:rFonts w:ascii="Arial" w:cs="Arial" w:eastAsia="Arial" w:hAnsi="Arial"/>
          <w:sz w:val="12"/>
          <w:szCs w:val="12"/>
          <w:color w:val="auto"/>
        </w:rPr>
        <w:t>During the year ended December 31, 2025, our People &amp; Compensation Committee had a number of ad hoc discussions with its compensation consultant and management, held five formal meetings and acted by written consent five times. The current members of our People &amp; Compensation Committee are Diane Offereins, Matthew Harris and Gretchen Howard. Ms. Offereins serves as the Chair of our People &amp; Compensation Committee.</w:t>
      </w:r>
    </w:p>
    <w:p>
      <w:pPr>
        <w:spacing w:after="0" w:line="90" w:lineRule="exact"/>
        <w:rPr>
          <w:sz w:val="20"/>
          <w:szCs w:val="20"/>
          <w:color w:val="auto"/>
        </w:rPr>
      </w:pPr>
    </w:p>
    <w:p>
      <w:pPr>
        <w:ind w:left="1020"/>
        <w:spacing w:after="0" w:line="242" w:lineRule="auto"/>
        <w:rPr>
          <w:sz w:val="20"/>
          <w:szCs w:val="20"/>
          <w:color w:val="auto"/>
        </w:rPr>
      </w:pPr>
      <w:r>
        <w:rPr>
          <w:rFonts w:ascii="Arial" w:cs="Arial" w:eastAsia="Arial" w:hAnsi="Arial"/>
          <w:sz w:val="14"/>
          <w:szCs w:val="14"/>
          <w:color w:val="auto"/>
        </w:rPr>
        <w:t>Our People &amp; Compensation Committee’s main function is to review and recommend policies relating to compensation and benefits of our officers, directors and employees. The full text of our People &amp; Compensation Committee’s amended and restated charter is posted on the corporate governance section of our website at https://ir.flywire.com/corporate-governance/governance-overview. Pursuant to our People &amp; Compensation Committee charter, the functions of this committee include:</w:t>
      </w:r>
    </w:p>
    <w:p>
      <w:pPr>
        <w:spacing w:after="0" w:line="162" w:lineRule="exact"/>
        <w:rPr>
          <w:sz w:val="20"/>
          <w:szCs w:val="20"/>
          <w:color w:val="auto"/>
        </w:rPr>
      </w:pPr>
    </w:p>
    <w:p>
      <w:pPr>
        <w:ind w:left="1740" w:right="20" w:hanging="353"/>
        <w:spacing w:after="0" w:line="258" w:lineRule="auto"/>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evaluating the performance of our Chief Executive Officer and determining the Chief Executive Officer’s salary and contingent compensation based on his or her performance and other relevant criteria;</w:t>
      </w:r>
    </w:p>
    <w:p>
      <w:pPr>
        <w:spacing w:after="0" w:line="149"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identifying the corporate and individual objectives governing the Chief Executive Officer’s compensation;</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 consultation with the Chief Executive Officer, determining the compensation of our other officers;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making recommendations to our Board of Directors with respect to director compensation;</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reviewing and approving the terms of material agreements with our executive officers;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overseeing our equity incentive plans and employee benefit plans;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reviewing and approving policies and procedures relating to the perquisites and expense accounts of our executive officers;</w:t>
      </w:r>
    </w:p>
    <w:p>
      <w:pPr>
        <w:spacing w:after="0" w:line="177" w:lineRule="exact"/>
        <w:rPr>
          <w:rFonts w:ascii="Arial" w:cs="Arial" w:eastAsia="Arial" w:hAnsi="Arial"/>
          <w:sz w:val="14"/>
          <w:szCs w:val="14"/>
          <w:color w:val="auto"/>
        </w:rPr>
      </w:pPr>
    </w:p>
    <w:p>
      <w:pPr>
        <w:ind w:left="1740" w:right="360" w:hanging="353"/>
        <w:spacing w:after="0" w:line="258" w:lineRule="auto"/>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administering the Company’s Policy for the Recovery of Erroneously Awarded Compensation and Executive Officer and Director Stock Ownership Guidelines;</w:t>
      </w:r>
    </w:p>
    <w:p>
      <w:pPr>
        <w:spacing w:after="0" w:line="149"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overseeing our strategies and policies related to other organization and people matters, including people management practices;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and as applicable, furnishing the annual People &amp; Compensation Committee report required by SEC rules; and</w:t>
      </w:r>
    </w:p>
    <w:p>
      <w:pPr>
        <w:spacing w:after="0" w:line="177" w:lineRule="exact"/>
        <w:rPr>
          <w:rFonts w:ascii="Arial" w:cs="Arial" w:eastAsia="Arial" w:hAnsi="Arial"/>
          <w:sz w:val="14"/>
          <w:szCs w:val="14"/>
          <w:color w:val="auto"/>
        </w:rPr>
      </w:pPr>
    </w:p>
    <w:p>
      <w:pPr>
        <w:ind w:left="1740" w:right="320" w:hanging="353"/>
        <w:spacing w:after="0" w:line="258" w:lineRule="auto"/>
        <w:tabs>
          <w:tab w:leader="none" w:pos="1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conducting a review of executive officer succession planning, as necessary, reporting its findings and recommendations to our Board of Directors, and working with the Board of Directors in evaluating potential successors to executive officer positions.</w:t>
      </w:r>
    </w:p>
    <w:p>
      <w:pPr>
        <w:spacing w:after="0" w:line="127" w:lineRule="exact"/>
        <w:rPr>
          <w:sz w:val="20"/>
          <w:szCs w:val="20"/>
          <w:color w:val="auto"/>
        </w:rPr>
      </w:pPr>
    </w:p>
    <w:p>
      <w:pPr>
        <w:ind w:left="1020" w:right="60"/>
        <w:spacing w:after="0" w:line="258" w:lineRule="auto"/>
        <w:rPr>
          <w:sz w:val="20"/>
          <w:szCs w:val="20"/>
          <w:color w:val="auto"/>
        </w:rPr>
      </w:pPr>
      <w:r>
        <w:rPr>
          <w:rFonts w:ascii="Arial" w:cs="Arial" w:eastAsia="Arial" w:hAnsi="Arial"/>
          <w:sz w:val="14"/>
          <w:szCs w:val="14"/>
          <w:color w:val="auto"/>
        </w:rPr>
        <w:t>Our Board of Directors has determined that each of Mr. Harris, Ms. Howard and Ms. Offereins is independent under the applicable rules and regulations of Nasdaq, and is a “non-employee director” as defined in Rule 16b-3 promulgated under the Exchange Act.</w:t>
      </w:r>
    </w:p>
    <w:p>
      <w:pPr>
        <w:spacing w:after="0" w:line="116" w:lineRule="exact"/>
        <w:rPr>
          <w:sz w:val="20"/>
          <w:szCs w:val="20"/>
          <w:color w:val="auto"/>
        </w:rPr>
      </w:pPr>
    </w:p>
    <w:p>
      <w:pPr>
        <w:ind w:left="1020" w:right="40"/>
        <w:spacing w:after="0" w:line="287" w:lineRule="auto"/>
        <w:rPr>
          <w:sz w:val="20"/>
          <w:szCs w:val="20"/>
          <w:color w:val="auto"/>
        </w:rPr>
      </w:pPr>
      <w:r>
        <w:rPr>
          <w:rFonts w:ascii="Arial" w:cs="Arial" w:eastAsia="Arial" w:hAnsi="Arial"/>
          <w:sz w:val="12"/>
          <w:szCs w:val="12"/>
          <w:color w:val="auto"/>
        </w:rPr>
        <w:t>Our Chief Executive Officer, President and Chief Operating Officer, Chief Financial Officer and Chief People Officer assist our People &amp; Compensation Committee in carrying out its functions, although they do not participate in deliberations or decisions with respect to their own compensation. During the second half of 2022, our People &amp; Compensation Committee engaged ClearBridge Compensation Group (ClearBridge) to replace its prior independent compensation consultant. ClearBridge reports directly to our People &amp; Compensation Committee. ClearBridge does not provide any services to us other than the services ClearBridge provides to our People &amp; Compensation Committee. Our People &amp; Compensation Committee believes that ClearBridge does not have any conflicts of interest in advising our People &amp; Compensation Committee under applicable SEC rules or Nasdaq listing standards.</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NOMINATING AND CORPORATE GOVERNANCE COMMITTEE</w:t>
      </w:r>
    </w:p>
    <w:p>
      <w:pPr>
        <w:spacing w:after="0" w:line="155" w:lineRule="exact"/>
        <w:rPr>
          <w:sz w:val="20"/>
          <w:szCs w:val="20"/>
          <w:color w:val="auto"/>
        </w:rPr>
      </w:pPr>
    </w:p>
    <w:p>
      <w:pPr>
        <w:ind w:left="1020" w:right="120"/>
        <w:spacing w:after="0" w:line="246" w:lineRule="auto"/>
        <w:rPr>
          <w:sz w:val="20"/>
          <w:szCs w:val="20"/>
          <w:color w:val="auto"/>
        </w:rPr>
      </w:pPr>
      <w:r>
        <w:rPr>
          <w:rFonts w:ascii="Arial" w:cs="Arial" w:eastAsia="Arial" w:hAnsi="Arial"/>
          <w:sz w:val="14"/>
          <w:szCs w:val="14"/>
          <w:color w:val="auto"/>
        </w:rPr>
        <w:t>During the year ended December 31, 2025, our Nominating and Corporate Governance Committee held four formal meetings. The current members of our Nominating and Corporate Governance Committee are Phillip Riese and Edwin Santos. Mr. Riese serves as the Chair of the Nominating and Corporate Governance Committee.</w:t>
      </w:r>
    </w:p>
    <w:p>
      <w:pPr>
        <w:spacing w:after="0" w:line="98"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19 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40"/>
          </w:cols>
          <w:pgMar w:left="320" w:top="425" w:right="1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120"/>
        <w:spacing w:after="0" w:line="246" w:lineRule="auto"/>
        <w:rPr>
          <w:sz w:val="20"/>
          <w:szCs w:val="20"/>
          <w:color w:val="auto"/>
        </w:rPr>
      </w:pPr>
      <w:r>
        <w:rPr>
          <w:rFonts w:ascii="Arial" w:cs="Arial" w:eastAsia="Arial" w:hAnsi="Arial"/>
          <w:sz w:val="14"/>
          <w:szCs w:val="14"/>
          <w:color w:val="auto"/>
        </w:rPr>
        <w:t>The full text of the Nominating and Corporate Governance Committee’s amended and restated charter is posted on the corporate governance section of our website at https://ir.flywire.com/corporate-governance/governance-overview. Pursuant to the Nominating and Corporate Governance Committee charter, the functions of this committee include, among other things:</w:t>
      </w:r>
    </w:p>
    <w:p>
      <w:pPr>
        <w:spacing w:after="0" w:line="158" w:lineRule="exact"/>
        <w:rPr>
          <w:sz w:val="20"/>
          <w:szCs w:val="20"/>
          <w:color w:val="auto"/>
        </w:rPr>
      </w:pPr>
    </w:p>
    <w:p>
      <w:pPr>
        <w:ind w:left="1740" w:right="80" w:hanging="353"/>
        <w:spacing w:after="0" w:line="258" w:lineRule="auto"/>
        <w:tabs>
          <w:tab w:leader="none" w:pos="1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identifying, evaluating, and making recommendations to our Board of Directors and our stockholders concerning nominees for election to our Board of Directors, to each of its committees and committee chairs;</w:t>
      </w:r>
    </w:p>
    <w:p>
      <w:pPr>
        <w:spacing w:after="0" w:line="149" w:lineRule="exact"/>
        <w:rPr>
          <w:rFonts w:ascii="Arial" w:cs="Arial" w:eastAsia="Arial" w:hAnsi="Arial"/>
          <w:sz w:val="14"/>
          <w:szCs w:val="14"/>
          <w:color w:val="auto"/>
        </w:rPr>
      </w:pPr>
    </w:p>
    <w:p>
      <w:pPr>
        <w:ind w:left="1740" w:right="260" w:hanging="353"/>
        <w:spacing w:after="0" w:line="258" w:lineRule="auto"/>
        <w:tabs>
          <w:tab w:leader="none" w:pos="1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annually reviewing the performance and effectiveness of our Board of Directors and developing and overseeing a performance evaluation process;</w:t>
      </w:r>
    </w:p>
    <w:p>
      <w:pPr>
        <w:spacing w:after="0" w:line="149" w:lineRule="exact"/>
        <w:rPr>
          <w:rFonts w:ascii="Arial" w:cs="Arial" w:eastAsia="Arial" w:hAnsi="Arial"/>
          <w:sz w:val="14"/>
          <w:szCs w:val="14"/>
          <w:color w:val="auto"/>
        </w:rPr>
      </w:pPr>
    </w:p>
    <w:p>
      <w:pPr>
        <w:ind w:left="1740" w:right="180" w:hanging="353"/>
        <w:spacing w:after="0" w:line="258" w:lineRule="auto"/>
        <w:tabs>
          <w:tab w:leader="none" w:pos="1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annually evaluating the performance of management, our Board of Directors and each of its committees against their respective duties and responsibilities relating to corporate governance;</w:t>
      </w:r>
    </w:p>
    <w:p>
      <w:pPr>
        <w:spacing w:after="0" w:line="149" w:lineRule="exact"/>
        <w:rPr>
          <w:rFonts w:ascii="Arial" w:cs="Arial" w:eastAsia="Arial" w:hAnsi="Arial"/>
          <w:sz w:val="14"/>
          <w:szCs w:val="14"/>
          <w:color w:val="auto"/>
        </w:rPr>
      </w:pPr>
    </w:p>
    <w:p>
      <w:pPr>
        <w:ind w:left="1740" w:hanging="353"/>
        <w:spacing w:after="0"/>
        <w:tabs>
          <w:tab w:leader="none" w:pos="1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periodically reviewing and assessing our programs, practices and strategies relating to corporate responsibility and governance matters;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annually evaluating adequacy of our corporate governance structure, policies, and procedures; and</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generally advising our Board of Directors on corporate governance matters.</w:t>
      </w:r>
    </w:p>
    <w:p>
      <w:pPr>
        <w:spacing w:after="0" w:line="143" w:lineRule="exact"/>
        <w:rPr>
          <w:sz w:val="20"/>
          <w:szCs w:val="20"/>
          <w:color w:val="auto"/>
        </w:rPr>
      </w:pPr>
    </w:p>
    <w:p>
      <w:pPr>
        <w:ind w:left="1020" w:right="120"/>
        <w:spacing w:after="0" w:line="246" w:lineRule="auto"/>
        <w:rPr>
          <w:sz w:val="20"/>
          <w:szCs w:val="20"/>
          <w:color w:val="auto"/>
        </w:rPr>
      </w:pPr>
      <w:r>
        <w:rPr>
          <w:rFonts w:ascii="Arial" w:cs="Arial" w:eastAsia="Arial" w:hAnsi="Arial"/>
          <w:sz w:val="14"/>
          <w:szCs w:val="14"/>
          <w:color w:val="auto"/>
        </w:rPr>
        <w:t>Our Nominating and Corporate Governance Committee believes that candidates for director should have certain minimum qualifications, including being able to read and understand basic financial statements and having a general understanding of our industry and market. Our Nominating and Corporate Governance Committee also considers other factors it deems appropriate, including, but not limited to:</w:t>
      </w:r>
    </w:p>
    <w:p>
      <w:pPr>
        <w:spacing w:after="0" w:line="158" w:lineRule="exact"/>
        <w:rPr>
          <w:sz w:val="20"/>
          <w:szCs w:val="20"/>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candidate’s relevant expertise and experience upon which to offer advice and guidance to management;</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candidate having sufficient time to devote to the affairs of Flywire;</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candidate having a proven track record in his or her field;</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candidate’s ability to exercise sound business judgment;</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candidate’s commitment to vigorously represent the long-term interests of our stockholders;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whether or not a conflict of interest exists between the candidate and our business;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whether the candidate would be considered independent under applicable Nasdaq and SEC standards;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current composition of our Board of Directors; and</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operating requirements of Flywire.</w:t>
      </w:r>
    </w:p>
    <w:p>
      <w:pPr>
        <w:spacing w:after="0" w:line="143" w:lineRule="exact"/>
        <w:rPr>
          <w:sz w:val="20"/>
          <w:szCs w:val="20"/>
          <w:color w:val="auto"/>
        </w:rPr>
      </w:pPr>
    </w:p>
    <w:p>
      <w:pPr>
        <w:ind w:left="1020" w:right="60"/>
        <w:spacing w:after="0" w:line="239" w:lineRule="auto"/>
        <w:rPr>
          <w:sz w:val="20"/>
          <w:szCs w:val="20"/>
          <w:color w:val="auto"/>
        </w:rPr>
      </w:pPr>
      <w:r>
        <w:rPr>
          <w:rFonts w:ascii="Arial" w:cs="Arial" w:eastAsia="Arial" w:hAnsi="Arial"/>
          <w:sz w:val="14"/>
          <w:szCs w:val="14"/>
          <w:color w:val="auto"/>
        </w:rPr>
        <w:t>In conducting this assessment, the Nominating and Corporate Governance Committee considers knowledge, experience, skills and such other factors as it deems appropriate given the then-current needs of our Board of Directors and Flywire. In addition, our Nominating and Corporate Governance Committee strives to maintain a balance of tenure on our Board, as longer serving Directors bring helpful experience and institutional knowledge, while newer Directors add fresh perspectives and direction. While the variety of experiences and viewpoints represented on our Board of Directors should always be considered, the Nominating and Corporate Governance Committee believes that a director nominee should not be chosen nor excluded because of race, color, gender, national origin or sexual orientation or identity.</w:t>
      </w:r>
    </w:p>
    <w:p>
      <w:pPr>
        <w:spacing w:after="0" w:line="142" w:lineRule="exact"/>
        <w:rPr>
          <w:sz w:val="20"/>
          <w:szCs w:val="20"/>
          <w:color w:val="auto"/>
        </w:rPr>
      </w:pPr>
    </w:p>
    <w:p>
      <w:pPr>
        <w:ind w:left="1020" w:right="80"/>
        <w:spacing w:after="0" w:line="246" w:lineRule="auto"/>
        <w:rPr>
          <w:sz w:val="20"/>
          <w:szCs w:val="20"/>
          <w:color w:val="auto"/>
        </w:rPr>
      </w:pPr>
      <w:r>
        <w:rPr>
          <w:rFonts w:ascii="Arial" w:cs="Arial" w:eastAsia="Arial" w:hAnsi="Arial"/>
          <w:sz w:val="14"/>
          <w:szCs w:val="14"/>
          <w:color w:val="auto"/>
        </w:rPr>
        <w:t>In the case of incumbent directors whose terms of office are set to expire, the Nominating and Corporate Governance Committee reviews such directors’ overall service to Flywire during their term, including the number of meetings attended, level of participation, quality of performance, and any other relationships and transactions that might impair such directors’ independence.</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When there is a vacancy on our Board of Directors,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our Board of Directors. The Nominating and Corporate Governance Committee meets to discuss and consider such candidates’ qualifications and then selects a nominee for recommendation to our Board of Directors by majority vote.</w:t>
      </w:r>
    </w:p>
    <w:p>
      <w:pPr>
        <w:spacing w:after="0" w:line="103"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20 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120"/>
        <w:spacing w:after="0"/>
        <w:rPr>
          <w:sz w:val="20"/>
          <w:szCs w:val="20"/>
          <w:color w:val="auto"/>
        </w:rPr>
      </w:pPr>
      <w:r>
        <w:rPr>
          <w:rFonts w:ascii="Arial" w:cs="Arial" w:eastAsia="Arial" w:hAnsi="Arial"/>
          <w:sz w:val="14"/>
          <w:szCs w:val="14"/>
          <w:color w:val="auto"/>
        </w:rPr>
        <w:t>Our Nominating and Corporate Governance Committee will consider director candidates recommended by stockholders and evaluate them using the same criteria as candidates identified by our Board of Directors or the Nominating and Corporate Governance Committee for consideration. If one of our stockholders wishes to recommend a director candidate for consideration by the Nominating and Corporate Governance Committee, the stockholder recommendation should be delivered to our Corporate Secretary at our principal executive offices and must include information regarding the candidate and the stockholder making the recommendation as required by our Bylaws.</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PEOPLE &amp; COMPENSATION COMMITTEE INTERLOCKS AND INSIDER PARTICIPATION</w:t>
      </w:r>
    </w:p>
    <w:p>
      <w:pPr>
        <w:spacing w:after="0" w:line="143" w:lineRule="exact"/>
        <w:rPr>
          <w:sz w:val="20"/>
          <w:szCs w:val="20"/>
          <w:color w:val="auto"/>
        </w:rPr>
      </w:pPr>
    </w:p>
    <w:p>
      <w:pPr>
        <w:ind w:left="1020" w:right="180"/>
        <w:spacing w:after="0" w:line="246" w:lineRule="auto"/>
        <w:rPr>
          <w:sz w:val="20"/>
          <w:szCs w:val="20"/>
          <w:color w:val="auto"/>
        </w:rPr>
      </w:pPr>
      <w:r>
        <w:rPr>
          <w:rFonts w:ascii="Arial" w:cs="Arial" w:eastAsia="Arial" w:hAnsi="Arial"/>
          <w:sz w:val="14"/>
          <w:szCs w:val="14"/>
          <w:color w:val="auto"/>
        </w:rPr>
        <w:t>None of the members of our People &amp; Compensation Committee during 2025 is serving or has served as an officer or employee of ours. None of our executive officers currently serves, or in the past year has served, as a member of the Board of Directors or People &amp; Compensation Committee of any entity that has one or more executive officers serving on our Board of Directors or People &amp; Compensation Committee.</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RISK</w:t>
      </w:r>
    </w:p>
    <w:p>
      <w:pPr>
        <w:spacing w:after="0" w:line="143" w:lineRule="exact"/>
        <w:rPr>
          <w:sz w:val="20"/>
          <w:szCs w:val="20"/>
          <w:color w:val="auto"/>
        </w:rPr>
      </w:pPr>
    </w:p>
    <w:p>
      <w:pPr>
        <w:ind w:left="1020" w:right="60"/>
        <w:spacing w:after="0" w:line="239" w:lineRule="auto"/>
        <w:rPr>
          <w:sz w:val="20"/>
          <w:szCs w:val="20"/>
          <w:color w:val="auto"/>
        </w:rPr>
      </w:pPr>
      <w:r>
        <w:rPr>
          <w:rFonts w:ascii="Arial" w:cs="Arial" w:eastAsia="Arial" w:hAnsi="Arial"/>
          <w:sz w:val="14"/>
          <w:szCs w:val="14"/>
          <w:color w:val="auto"/>
        </w:rPr>
        <w:t>Our People &amp; Compensation Committee conducted a risk assessment of its compensation policies and practices, including those related to executive compensation programs for our named executive officers. The risk assessment included an analysis of our executive compensation programs and broader employee incentive compensation plans. Our People &amp; Compensation Committee also considered how these programs compare, from a design perspective, to programs maintained by other companies. Based on this assessment, it was determined that our executive compensation programs are balanced and appropriately incentivize employees, and any risks arising from the compensation policies and practices are not reasonably likely to have a material adverse effect on Flywire.</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MEETINGS OF THE BOARD OF DIRECTORS</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Board of Directors held six meetings and acted by written consent two times during our year ended December 31, 2025. No director attended fewer than 75% of the total number of meetings of the Board of Directors and any committees of the Board of Directors of which he or she was a member during our year ended December 31, 2025. Our policy is to invite and encourage each member of our Board of Directors to be present at our annual meetings of stockholders. All of our then serving members of our Board of Directors attended our 2025 annual meeting of stockholders in their capacity as directors of Flywire.</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BOARD OVERSIGHT OF RISK</w:t>
      </w:r>
    </w:p>
    <w:p>
      <w:pPr>
        <w:spacing w:after="0" w:line="143" w:lineRule="exact"/>
        <w:rPr>
          <w:sz w:val="20"/>
          <w:szCs w:val="20"/>
          <w:color w:val="auto"/>
        </w:rPr>
      </w:pPr>
    </w:p>
    <w:p>
      <w:pPr>
        <w:jc w:val="both"/>
        <w:ind w:left="1020" w:right="140"/>
        <w:spacing w:after="0"/>
        <w:rPr>
          <w:sz w:val="20"/>
          <w:szCs w:val="20"/>
          <w:color w:val="auto"/>
        </w:rPr>
      </w:pPr>
      <w:r>
        <w:rPr>
          <w:rFonts w:ascii="Arial" w:cs="Arial" w:eastAsia="Arial" w:hAnsi="Arial"/>
          <w:sz w:val="14"/>
          <w:szCs w:val="14"/>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130" w:lineRule="exact"/>
        <w:rPr>
          <w:sz w:val="20"/>
          <w:szCs w:val="20"/>
          <w:color w:val="auto"/>
        </w:rPr>
      </w:pPr>
    </w:p>
    <w:p>
      <w:pPr>
        <w:ind w:left="1020" w:right="120"/>
        <w:spacing w:after="0" w:line="238" w:lineRule="auto"/>
        <w:rPr>
          <w:sz w:val="20"/>
          <w:szCs w:val="20"/>
          <w:color w:val="auto"/>
        </w:rPr>
      </w:pPr>
      <w:r>
        <w:rPr>
          <w:rFonts w:ascii="Arial" w:cs="Arial" w:eastAsia="Arial" w:hAnsi="Arial"/>
          <w:sz w:val="14"/>
          <w:szCs w:val="14"/>
          <w:color w:val="auto"/>
        </w:rPr>
        <w:t>Our Audit Committee reviews information regarding liquidity and operations, and oversees our management of financial, compliance and cybersecurity risks. Periodically, our Audit Committee reviews our policies with respect to risk assessment, risk management, loss prevention and regulatory compliance. Oversight by our Audit Committee includes direct communication with our external auditors, and discussions with management regarding significant risk exposures and the actions management has taken to limit, monitor or control such exposures. Our People &amp; Compensation Committee is responsible for assessing whether any of our compensation policies or programs has the potential to encourage excessive risk-taking. Our Nominating and Corporate Governance Committee manages risks associated with the independence of the Board of Directors, corporate disclosure practices, potential conflicts of interest and corporate governance and responsibility. While each committee is responsible for evaluating certain risks and overseeing the management of such risks, the entire Board of Directors is regularly informed through committee reports about such risks. Matters of significant strategic risk are considered and discussed by our Board of Directors as a whole.</w:t>
      </w:r>
    </w:p>
    <w:p>
      <w:pPr>
        <w:spacing w:after="0" w:line="102"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21 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DIRECTOR COMPENSATION</w:t>
      </w:r>
    </w:p>
    <w:p>
      <w:pPr>
        <w:spacing w:after="0" w:line="143" w:lineRule="exact"/>
        <w:rPr>
          <w:sz w:val="20"/>
          <w:szCs w:val="20"/>
          <w:color w:val="auto"/>
        </w:rPr>
      </w:pPr>
    </w:p>
    <w:p>
      <w:pPr>
        <w:ind w:left="1020" w:right="80"/>
        <w:spacing w:after="0"/>
        <w:rPr>
          <w:sz w:val="20"/>
          <w:szCs w:val="20"/>
          <w:color w:val="auto"/>
        </w:rPr>
      </w:pPr>
      <w:r>
        <w:rPr>
          <w:rFonts w:ascii="Arial" w:cs="Arial" w:eastAsia="Arial" w:hAnsi="Arial"/>
          <w:sz w:val="14"/>
          <w:szCs w:val="14"/>
          <w:color w:val="auto"/>
        </w:rPr>
        <w:t>The following table sets forth information about the compensation of the non-employee members of our Board of Directors who served as a director during our year ended December 31, 2025. Other than as set forth in the table and described more fully below, during our year ended December 31, 2025, we did not pay any fees to, make any equity awards or non-equity awards to, or pay any other compensation to the non-employee members of our Board of Directors. Mr. Massaro, our Chief Executive Officer, receives no compensation for his service as a director, and is not included in the table below. Mr. Riese currently serves as Chair of our Board of Directors.</w:t>
      </w:r>
    </w:p>
    <w:p>
      <w:pPr>
        <w:spacing w:after="0" w:line="168"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4620" w:type="dxa"/>
            <w:vAlign w:val="bottom"/>
          </w:tcPr>
          <w:p>
            <w:pPr>
              <w:spacing w:after="0"/>
              <w:rPr>
                <w:sz w:val="10"/>
                <w:szCs w:val="10"/>
                <w:color w:val="auto"/>
              </w:rPr>
            </w:pPr>
          </w:p>
        </w:tc>
        <w:tc>
          <w:tcPr>
            <w:tcW w:w="1740" w:type="dxa"/>
            <w:vAlign w:val="bottom"/>
          </w:tcPr>
          <w:p>
            <w:pPr>
              <w:jc w:val="right"/>
              <w:ind w:right="222"/>
              <w:spacing w:after="0"/>
              <w:rPr>
                <w:sz w:val="20"/>
                <w:szCs w:val="20"/>
                <w:color w:val="auto"/>
              </w:rPr>
            </w:pPr>
            <w:r>
              <w:rPr>
                <w:rFonts w:ascii="Arial" w:cs="Arial" w:eastAsia="Arial" w:hAnsi="Arial"/>
                <w:sz w:val="11"/>
                <w:szCs w:val="11"/>
                <w:b w:val="1"/>
                <w:bCs w:val="1"/>
                <w:color w:val="auto"/>
              </w:rPr>
              <w:t>FEES EARNED OR</w:t>
            </w:r>
          </w:p>
        </w:tc>
        <w:tc>
          <w:tcPr>
            <w:tcW w:w="18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95"/>
        </w:trPr>
        <w:tc>
          <w:tcPr>
            <w:tcW w:w="4620" w:type="dxa"/>
            <w:vAlign w:val="bottom"/>
          </w:tcPr>
          <w:p>
            <w:pPr>
              <w:spacing w:after="0"/>
              <w:rPr>
                <w:sz w:val="16"/>
                <w:szCs w:val="16"/>
                <w:color w:val="auto"/>
              </w:rPr>
            </w:pPr>
          </w:p>
        </w:tc>
        <w:tc>
          <w:tcPr>
            <w:tcW w:w="1740" w:type="dxa"/>
            <w:vAlign w:val="bottom"/>
          </w:tcPr>
          <w:p>
            <w:pPr>
              <w:jc w:val="right"/>
              <w:ind w:right="222"/>
              <w:spacing w:after="0"/>
              <w:rPr>
                <w:sz w:val="20"/>
                <w:szCs w:val="20"/>
                <w:color w:val="auto"/>
              </w:rPr>
            </w:pPr>
            <w:r>
              <w:rPr>
                <w:rFonts w:ascii="Arial" w:cs="Arial" w:eastAsia="Arial" w:hAnsi="Arial"/>
                <w:sz w:val="11"/>
                <w:szCs w:val="11"/>
                <w:b w:val="1"/>
                <w:bCs w:val="1"/>
                <w:color w:val="auto"/>
              </w:rPr>
              <w:t>PAID IN CASH ($)</w:t>
            </w:r>
          </w:p>
        </w:tc>
        <w:tc>
          <w:tcPr>
            <w:tcW w:w="1820" w:type="dxa"/>
            <w:vAlign w:val="bottom"/>
          </w:tcPr>
          <w:p>
            <w:pPr>
              <w:jc w:val="right"/>
              <w:ind w:right="161"/>
              <w:spacing w:after="0"/>
              <w:rPr>
                <w:sz w:val="20"/>
                <w:szCs w:val="20"/>
                <w:color w:val="auto"/>
              </w:rPr>
            </w:pPr>
            <w:r>
              <w:rPr>
                <w:rFonts w:ascii="Arial" w:cs="Arial" w:eastAsia="Arial" w:hAnsi="Arial"/>
                <w:sz w:val="11"/>
                <w:szCs w:val="11"/>
                <w:b w:val="1"/>
                <w:bCs w:val="1"/>
                <w:color w:val="auto"/>
              </w:rPr>
              <w:t>   STOCK AWARDS ($)</w:t>
            </w:r>
            <w:r>
              <w:rPr>
                <w:rFonts w:ascii="Arial" w:cs="Arial" w:eastAsia="Arial" w:hAnsi="Arial"/>
                <w:sz w:val="15"/>
                <w:szCs w:val="15"/>
                <w:b w:val="1"/>
                <w:bCs w:val="1"/>
                <w:color w:val="auto"/>
                <w:vertAlign w:val="superscript"/>
              </w:rPr>
              <w:t>(1)(2)</w:t>
            </w:r>
          </w:p>
        </w:tc>
        <w:tc>
          <w:tcPr>
            <w:tcW w:w="1020" w:type="dxa"/>
            <w:vAlign w:val="bottom"/>
          </w:tcPr>
          <w:p>
            <w:pPr>
              <w:jc w:val="right"/>
              <w:ind w:right="101"/>
              <w:spacing w:after="0"/>
              <w:rPr>
                <w:sz w:val="20"/>
                <w:szCs w:val="20"/>
                <w:color w:val="auto"/>
              </w:rPr>
            </w:pPr>
            <w:r>
              <w:rPr>
                <w:rFonts w:ascii="Arial" w:cs="Arial" w:eastAsia="Arial" w:hAnsi="Arial"/>
                <w:sz w:val="11"/>
                <w:szCs w:val="11"/>
                <w:b w:val="1"/>
                <w:bCs w:val="1"/>
                <w:color w:val="auto"/>
              </w:rPr>
              <w:t>    TOTAL ($)</w:t>
            </w:r>
          </w:p>
        </w:tc>
      </w:tr>
      <w:tr>
        <w:trPr>
          <w:trHeight w:val="270"/>
        </w:trPr>
        <w:tc>
          <w:tcPr>
            <w:tcW w:w="46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Matthew Harris</w:t>
            </w:r>
          </w:p>
        </w:tc>
        <w:tc>
          <w:tcPr>
            <w:tcW w:w="1740" w:type="dxa"/>
            <w:vAlign w:val="bottom"/>
            <w:shd w:val="clear" w:color="auto" w:fill="E8F4FF"/>
          </w:tcPr>
          <w:p>
            <w:pPr>
              <w:jc w:val="right"/>
              <w:ind w:right="222"/>
              <w:spacing w:after="0"/>
              <w:rPr>
                <w:sz w:val="20"/>
                <w:szCs w:val="20"/>
                <w:color w:val="auto"/>
              </w:rPr>
            </w:pPr>
            <w:r>
              <w:rPr>
                <w:rFonts w:ascii="Arial" w:cs="Arial" w:eastAsia="Arial" w:hAnsi="Arial"/>
                <w:sz w:val="12"/>
                <w:szCs w:val="12"/>
                <w:color w:val="auto"/>
              </w:rPr>
              <w:t>41,000</w:t>
            </w:r>
          </w:p>
        </w:tc>
        <w:tc>
          <w:tcPr>
            <w:tcW w:w="1820" w:type="dxa"/>
            <w:vAlign w:val="bottom"/>
            <w:shd w:val="clear" w:color="auto" w:fill="E8F4FF"/>
          </w:tcPr>
          <w:p>
            <w:pPr>
              <w:jc w:val="right"/>
              <w:ind w:right="161"/>
              <w:spacing w:after="0"/>
              <w:rPr>
                <w:sz w:val="20"/>
                <w:szCs w:val="20"/>
                <w:color w:val="auto"/>
              </w:rPr>
            </w:pPr>
            <w:r>
              <w:rPr>
                <w:rFonts w:ascii="Arial" w:cs="Arial" w:eastAsia="Arial" w:hAnsi="Arial"/>
                <w:sz w:val="12"/>
                <w:szCs w:val="12"/>
                <w:color w:val="auto"/>
              </w:rPr>
              <w:t>174,997</w:t>
            </w:r>
            <w:r>
              <w:rPr>
                <w:rFonts w:ascii="Arial" w:cs="Arial" w:eastAsia="Arial" w:hAnsi="Arial"/>
                <w:sz w:val="18"/>
                <w:szCs w:val="18"/>
                <w:color w:val="auto"/>
                <w:vertAlign w:val="superscript"/>
              </w:rPr>
              <w:t>(3)</w:t>
            </w:r>
          </w:p>
        </w:tc>
        <w:tc>
          <w:tcPr>
            <w:tcW w:w="1020" w:type="dxa"/>
            <w:vAlign w:val="bottom"/>
            <w:shd w:val="clear" w:color="auto" w:fill="E8F4FF"/>
          </w:tcPr>
          <w:p>
            <w:pPr>
              <w:jc w:val="right"/>
              <w:ind w:right="101"/>
              <w:spacing w:after="0"/>
              <w:rPr>
                <w:sz w:val="20"/>
                <w:szCs w:val="20"/>
                <w:color w:val="auto"/>
              </w:rPr>
            </w:pPr>
            <w:r>
              <w:rPr>
                <w:rFonts w:ascii="Arial" w:cs="Arial" w:eastAsia="Arial" w:hAnsi="Arial"/>
                <w:sz w:val="12"/>
                <w:szCs w:val="12"/>
                <w:color w:val="auto"/>
              </w:rPr>
              <w:t>215,997</w:t>
            </w:r>
          </w:p>
        </w:tc>
      </w:tr>
      <w:tr>
        <w:trPr>
          <w:trHeight w:val="270"/>
        </w:trPr>
        <w:tc>
          <w:tcPr>
            <w:tcW w:w="4620" w:type="dxa"/>
            <w:vAlign w:val="bottom"/>
          </w:tcPr>
          <w:p>
            <w:pPr>
              <w:ind w:left="60"/>
              <w:spacing w:after="0"/>
              <w:rPr>
                <w:sz w:val="20"/>
                <w:szCs w:val="20"/>
                <w:color w:val="auto"/>
              </w:rPr>
            </w:pPr>
            <w:r>
              <w:rPr>
                <w:rFonts w:ascii="Arial" w:cs="Arial" w:eastAsia="Arial" w:hAnsi="Arial"/>
                <w:sz w:val="12"/>
                <w:szCs w:val="12"/>
                <w:b w:val="1"/>
                <w:bCs w:val="1"/>
                <w:color w:val="2393FF"/>
              </w:rPr>
              <w:t>Gretchen Howard</w:t>
            </w:r>
          </w:p>
        </w:tc>
        <w:tc>
          <w:tcPr>
            <w:tcW w:w="1740" w:type="dxa"/>
            <w:vAlign w:val="bottom"/>
          </w:tcPr>
          <w:p>
            <w:pPr>
              <w:jc w:val="right"/>
              <w:ind w:right="222"/>
              <w:spacing w:after="0"/>
              <w:rPr>
                <w:sz w:val="20"/>
                <w:szCs w:val="20"/>
                <w:color w:val="auto"/>
              </w:rPr>
            </w:pPr>
            <w:r>
              <w:rPr>
                <w:rFonts w:ascii="Arial" w:cs="Arial" w:eastAsia="Arial" w:hAnsi="Arial"/>
                <w:sz w:val="12"/>
                <w:szCs w:val="12"/>
                <w:color w:val="auto"/>
              </w:rPr>
              <w:t>41,000</w:t>
            </w:r>
          </w:p>
        </w:tc>
        <w:tc>
          <w:tcPr>
            <w:tcW w:w="1820" w:type="dxa"/>
            <w:vAlign w:val="bottom"/>
          </w:tcPr>
          <w:p>
            <w:pPr>
              <w:jc w:val="right"/>
              <w:ind w:right="161"/>
              <w:spacing w:after="0"/>
              <w:rPr>
                <w:sz w:val="20"/>
                <w:szCs w:val="20"/>
                <w:color w:val="auto"/>
              </w:rPr>
            </w:pPr>
            <w:r>
              <w:rPr>
                <w:rFonts w:ascii="Arial" w:cs="Arial" w:eastAsia="Arial" w:hAnsi="Arial"/>
                <w:sz w:val="12"/>
                <w:szCs w:val="12"/>
                <w:color w:val="auto"/>
              </w:rPr>
              <w:t>174,997</w:t>
            </w:r>
            <w:r>
              <w:rPr>
                <w:rFonts w:ascii="Arial" w:cs="Arial" w:eastAsia="Arial" w:hAnsi="Arial"/>
                <w:sz w:val="18"/>
                <w:szCs w:val="18"/>
                <w:color w:val="auto"/>
                <w:vertAlign w:val="superscript"/>
              </w:rPr>
              <w:t>(3)</w:t>
            </w: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215,997</w:t>
            </w:r>
          </w:p>
        </w:tc>
      </w:tr>
      <w:tr>
        <w:trPr>
          <w:trHeight w:val="270"/>
        </w:trPr>
        <w:tc>
          <w:tcPr>
            <w:tcW w:w="46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Alex Finkelstein</w:t>
            </w:r>
          </w:p>
        </w:tc>
        <w:tc>
          <w:tcPr>
            <w:tcW w:w="1740" w:type="dxa"/>
            <w:vAlign w:val="bottom"/>
            <w:shd w:val="clear" w:color="auto" w:fill="E8F4FF"/>
          </w:tcPr>
          <w:p>
            <w:pPr>
              <w:jc w:val="right"/>
              <w:ind w:right="222"/>
              <w:spacing w:after="0"/>
              <w:rPr>
                <w:sz w:val="20"/>
                <w:szCs w:val="20"/>
                <w:color w:val="auto"/>
              </w:rPr>
            </w:pPr>
            <w:r>
              <w:rPr>
                <w:rFonts w:ascii="Arial" w:cs="Arial" w:eastAsia="Arial" w:hAnsi="Arial"/>
                <w:sz w:val="12"/>
                <w:szCs w:val="12"/>
                <w:color w:val="auto"/>
              </w:rPr>
              <w:t>45,000</w:t>
            </w:r>
          </w:p>
        </w:tc>
        <w:tc>
          <w:tcPr>
            <w:tcW w:w="1820" w:type="dxa"/>
            <w:vAlign w:val="bottom"/>
            <w:shd w:val="clear" w:color="auto" w:fill="E8F4FF"/>
          </w:tcPr>
          <w:p>
            <w:pPr>
              <w:jc w:val="right"/>
              <w:ind w:right="161"/>
              <w:spacing w:after="0"/>
              <w:rPr>
                <w:sz w:val="20"/>
                <w:szCs w:val="20"/>
                <w:color w:val="auto"/>
              </w:rPr>
            </w:pPr>
            <w:r>
              <w:rPr>
                <w:rFonts w:ascii="Arial" w:cs="Arial" w:eastAsia="Arial" w:hAnsi="Arial"/>
                <w:sz w:val="12"/>
                <w:szCs w:val="12"/>
                <w:color w:val="auto"/>
              </w:rPr>
              <w:t>174,997</w:t>
            </w:r>
            <w:r>
              <w:rPr>
                <w:rFonts w:ascii="Arial" w:cs="Arial" w:eastAsia="Arial" w:hAnsi="Arial"/>
                <w:sz w:val="18"/>
                <w:szCs w:val="18"/>
                <w:color w:val="auto"/>
                <w:vertAlign w:val="superscript"/>
              </w:rPr>
              <w:t>(3)</w:t>
            </w:r>
          </w:p>
        </w:tc>
        <w:tc>
          <w:tcPr>
            <w:tcW w:w="1020" w:type="dxa"/>
            <w:vAlign w:val="bottom"/>
            <w:shd w:val="clear" w:color="auto" w:fill="E8F4FF"/>
          </w:tcPr>
          <w:p>
            <w:pPr>
              <w:jc w:val="right"/>
              <w:ind w:right="101"/>
              <w:spacing w:after="0"/>
              <w:rPr>
                <w:sz w:val="20"/>
                <w:szCs w:val="20"/>
                <w:color w:val="auto"/>
              </w:rPr>
            </w:pPr>
            <w:r>
              <w:rPr>
                <w:rFonts w:ascii="Arial" w:cs="Arial" w:eastAsia="Arial" w:hAnsi="Arial"/>
                <w:sz w:val="12"/>
                <w:szCs w:val="12"/>
                <w:color w:val="auto"/>
              </w:rPr>
              <w:t>219,997</w:t>
            </w:r>
          </w:p>
        </w:tc>
      </w:tr>
      <w:tr>
        <w:trPr>
          <w:trHeight w:val="270"/>
        </w:trPr>
        <w:tc>
          <w:tcPr>
            <w:tcW w:w="4620" w:type="dxa"/>
            <w:vAlign w:val="bottom"/>
          </w:tcPr>
          <w:p>
            <w:pPr>
              <w:ind w:left="60"/>
              <w:spacing w:after="0"/>
              <w:rPr>
                <w:sz w:val="20"/>
                <w:szCs w:val="20"/>
                <w:color w:val="auto"/>
              </w:rPr>
            </w:pPr>
            <w:r>
              <w:rPr>
                <w:rFonts w:ascii="Arial" w:cs="Arial" w:eastAsia="Arial" w:hAnsi="Arial"/>
                <w:sz w:val="12"/>
                <w:szCs w:val="12"/>
                <w:b w:val="1"/>
                <w:bCs w:val="1"/>
                <w:color w:val="2393FF"/>
              </w:rPr>
              <w:t>Carleigh Jaques</w:t>
            </w:r>
          </w:p>
        </w:tc>
        <w:tc>
          <w:tcPr>
            <w:tcW w:w="1740" w:type="dxa"/>
            <w:vAlign w:val="bottom"/>
          </w:tcPr>
          <w:p>
            <w:pPr>
              <w:jc w:val="right"/>
              <w:ind w:right="222"/>
              <w:spacing w:after="0"/>
              <w:rPr>
                <w:sz w:val="20"/>
                <w:szCs w:val="20"/>
                <w:color w:val="auto"/>
              </w:rPr>
            </w:pPr>
            <w:r>
              <w:rPr>
                <w:rFonts w:ascii="Arial" w:cs="Arial" w:eastAsia="Arial" w:hAnsi="Arial"/>
                <w:sz w:val="12"/>
                <w:szCs w:val="12"/>
                <w:color w:val="auto"/>
              </w:rPr>
              <w:t>45,000</w:t>
            </w:r>
          </w:p>
        </w:tc>
        <w:tc>
          <w:tcPr>
            <w:tcW w:w="1820" w:type="dxa"/>
            <w:vAlign w:val="bottom"/>
          </w:tcPr>
          <w:p>
            <w:pPr>
              <w:jc w:val="right"/>
              <w:ind w:right="161"/>
              <w:spacing w:after="0"/>
              <w:rPr>
                <w:sz w:val="20"/>
                <w:szCs w:val="20"/>
                <w:color w:val="auto"/>
              </w:rPr>
            </w:pPr>
            <w:r>
              <w:rPr>
                <w:rFonts w:ascii="Arial" w:cs="Arial" w:eastAsia="Arial" w:hAnsi="Arial"/>
                <w:sz w:val="12"/>
                <w:szCs w:val="12"/>
                <w:color w:val="auto"/>
              </w:rPr>
              <w:t>174,997</w:t>
            </w:r>
            <w:r>
              <w:rPr>
                <w:rFonts w:ascii="Arial" w:cs="Arial" w:eastAsia="Arial" w:hAnsi="Arial"/>
                <w:sz w:val="18"/>
                <w:szCs w:val="18"/>
                <w:color w:val="auto"/>
                <w:vertAlign w:val="superscript"/>
              </w:rPr>
              <w:t>(3)</w:t>
            </w: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219,997</w:t>
            </w:r>
          </w:p>
        </w:tc>
      </w:tr>
      <w:tr>
        <w:trPr>
          <w:trHeight w:val="270"/>
        </w:trPr>
        <w:tc>
          <w:tcPr>
            <w:tcW w:w="46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Diane Offereins</w:t>
            </w:r>
          </w:p>
        </w:tc>
        <w:tc>
          <w:tcPr>
            <w:tcW w:w="1740" w:type="dxa"/>
            <w:vAlign w:val="bottom"/>
            <w:shd w:val="clear" w:color="auto" w:fill="E8F4FF"/>
          </w:tcPr>
          <w:p>
            <w:pPr>
              <w:jc w:val="right"/>
              <w:ind w:right="222"/>
              <w:spacing w:after="0"/>
              <w:rPr>
                <w:sz w:val="20"/>
                <w:szCs w:val="20"/>
                <w:color w:val="auto"/>
              </w:rPr>
            </w:pPr>
            <w:r>
              <w:rPr>
                <w:rFonts w:ascii="Arial" w:cs="Arial" w:eastAsia="Arial" w:hAnsi="Arial"/>
                <w:sz w:val="12"/>
                <w:szCs w:val="12"/>
                <w:color w:val="auto"/>
              </w:rPr>
              <w:t>47,000</w:t>
            </w:r>
          </w:p>
        </w:tc>
        <w:tc>
          <w:tcPr>
            <w:tcW w:w="1820" w:type="dxa"/>
            <w:vAlign w:val="bottom"/>
            <w:shd w:val="clear" w:color="auto" w:fill="E8F4FF"/>
          </w:tcPr>
          <w:p>
            <w:pPr>
              <w:jc w:val="right"/>
              <w:ind w:right="161"/>
              <w:spacing w:after="0"/>
              <w:rPr>
                <w:sz w:val="20"/>
                <w:szCs w:val="20"/>
                <w:color w:val="auto"/>
              </w:rPr>
            </w:pPr>
            <w:r>
              <w:rPr>
                <w:rFonts w:ascii="Arial" w:cs="Arial" w:eastAsia="Arial" w:hAnsi="Arial"/>
                <w:sz w:val="12"/>
                <w:szCs w:val="12"/>
                <w:color w:val="auto"/>
              </w:rPr>
              <w:t>174,997</w:t>
            </w:r>
            <w:r>
              <w:rPr>
                <w:rFonts w:ascii="Arial" w:cs="Arial" w:eastAsia="Arial" w:hAnsi="Arial"/>
                <w:sz w:val="18"/>
                <w:szCs w:val="18"/>
                <w:color w:val="auto"/>
                <w:vertAlign w:val="superscript"/>
              </w:rPr>
              <w:t>(3)</w:t>
            </w:r>
          </w:p>
        </w:tc>
        <w:tc>
          <w:tcPr>
            <w:tcW w:w="1020" w:type="dxa"/>
            <w:vAlign w:val="bottom"/>
            <w:shd w:val="clear" w:color="auto" w:fill="E8F4FF"/>
          </w:tcPr>
          <w:p>
            <w:pPr>
              <w:jc w:val="right"/>
              <w:ind w:right="101"/>
              <w:spacing w:after="0"/>
              <w:rPr>
                <w:sz w:val="20"/>
                <w:szCs w:val="20"/>
                <w:color w:val="auto"/>
              </w:rPr>
            </w:pPr>
            <w:r>
              <w:rPr>
                <w:rFonts w:ascii="Arial" w:cs="Arial" w:eastAsia="Arial" w:hAnsi="Arial"/>
                <w:sz w:val="12"/>
                <w:szCs w:val="12"/>
                <w:color w:val="auto"/>
              </w:rPr>
              <w:t>221,997</w:t>
            </w:r>
          </w:p>
        </w:tc>
      </w:tr>
      <w:tr>
        <w:trPr>
          <w:trHeight w:val="270"/>
        </w:trPr>
        <w:tc>
          <w:tcPr>
            <w:tcW w:w="4620" w:type="dxa"/>
            <w:vAlign w:val="bottom"/>
          </w:tcPr>
          <w:p>
            <w:pPr>
              <w:ind w:left="60"/>
              <w:spacing w:after="0"/>
              <w:rPr>
                <w:sz w:val="20"/>
                <w:szCs w:val="20"/>
                <w:color w:val="auto"/>
              </w:rPr>
            </w:pPr>
            <w:r>
              <w:rPr>
                <w:rFonts w:ascii="Arial" w:cs="Arial" w:eastAsia="Arial" w:hAnsi="Arial"/>
                <w:sz w:val="12"/>
                <w:szCs w:val="12"/>
                <w:b w:val="1"/>
                <w:bCs w:val="1"/>
                <w:color w:val="2393FF"/>
              </w:rPr>
              <w:t>Phillip Riese</w:t>
            </w:r>
          </w:p>
        </w:tc>
        <w:tc>
          <w:tcPr>
            <w:tcW w:w="1740" w:type="dxa"/>
            <w:vAlign w:val="bottom"/>
          </w:tcPr>
          <w:p>
            <w:pPr>
              <w:jc w:val="right"/>
              <w:ind w:right="222"/>
              <w:spacing w:after="0"/>
              <w:rPr>
                <w:sz w:val="20"/>
                <w:szCs w:val="20"/>
                <w:color w:val="auto"/>
              </w:rPr>
            </w:pPr>
            <w:r>
              <w:rPr>
                <w:rFonts w:ascii="Arial" w:cs="Arial" w:eastAsia="Arial" w:hAnsi="Arial"/>
                <w:sz w:val="12"/>
                <w:szCs w:val="12"/>
                <w:color w:val="auto"/>
              </w:rPr>
              <w:t>83,000</w:t>
            </w:r>
          </w:p>
        </w:tc>
        <w:tc>
          <w:tcPr>
            <w:tcW w:w="1820" w:type="dxa"/>
            <w:vAlign w:val="bottom"/>
          </w:tcPr>
          <w:p>
            <w:pPr>
              <w:jc w:val="right"/>
              <w:ind w:right="161"/>
              <w:spacing w:after="0"/>
              <w:rPr>
                <w:sz w:val="20"/>
                <w:szCs w:val="20"/>
                <w:color w:val="auto"/>
              </w:rPr>
            </w:pPr>
            <w:r>
              <w:rPr>
                <w:rFonts w:ascii="Arial" w:cs="Arial" w:eastAsia="Arial" w:hAnsi="Arial"/>
                <w:sz w:val="12"/>
                <w:szCs w:val="12"/>
                <w:color w:val="auto"/>
              </w:rPr>
              <w:t>174,997</w:t>
            </w:r>
            <w:r>
              <w:rPr>
                <w:rFonts w:ascii="Arial" w:cs="Arial" w:eastAsia="Arial" w:hAnsi="Arial"/>
                <w:sz w:val="18"/>
                <w:szCs w:val="18"/>
                <w:color w:val="auto"/>
                <w:vertAlign w:val="superscript"/>
              </w:rPr>
              <w:t>(3)</w:t>
            </w:r>
          </w:p>
        </w:tc>
        <w:tc>
          <w:tcPr>
            <w:tcW w:w="1020" w:type="dxa"/>
            <w:vAlign w:val="bottom"/>
          </w:tcPr>
          <w:p>
            <w:pPr>
              <w:jc w:val="right"/>
              <w:ind w:right="101"/>
              <w:spacing w:after="0"/>
              <w:rPr>
                <w:sz w:val="20"/>
                <w:szCs w:val="20"/>
                <w:color w:val="auto"/>
              </w:rPr>
            </w:pPr>
            <w:r>
              <w:rPr>
                <w:rFonts w:ascii="Arial" w:cs="Arial" w:eastAsia="Arial" w:hAnsi="Arial"/>
                <w:sz w:val="12"/>
                <w:szCs w:val="12"/>
                <w:color w:val="auto"/>
              </w:rPr>
              <w:t>257,997</w:t>
            </w:r>
          </w:p>
        </w:tc>
      </w:tr>
      <w:tr>
        <w:trPr>
          <w:trHeight w:val="270"/>
        </w:trPr>
        <w:tc>
          <w:tcPr>
            <w:tcW w:w="4620" w:type="dxa"/>
            <w:vAlign w:val="bottom"/>
            <w:tcBorders>
              <w:bottom w:val="single" w:sz="8" w:color="2393FF"/>
            </w:tcBorders>
            <w:shd w:val="clear" w:color="auto" w:fill="E8F4FF"/>
          </w:tcPr>
          <w:p>
            <w:pPr>
              <w:ind w:left="60"/>
              <w:spacing w:after="0"/>
              <w:rPr>
                <w:sz w:val="20"/>
                <w:szCs w:val="20"/>
                <w:color w:val="auto"/>
              </w:rPr>
            </w:pPr>
            <w:r>
              <w:rPr>
                <w:rFonts w:ascii="Arial" w:cs="Arial" w:eastAsia="Arial" w:hAnsi="Arial"/>
                <w:sz w:val="12"/>
                <w:szCs w:val="12"/>
                <w:b w:val="1"/>
                <w:bCs w:val="1"/>
                <w:color w:val="2393FF"/>
              </w:rPr>
              <w:t>Edwin Santos</w:t>
            </w:r>
          </w:p>
        </w:tc>
        <w:tc>
          <w:tcPr>
            <w:tcW w:w="1740" w:type="dxa"/>
            <w:vAlign w:val="bottom"/>
            <w:tcBorders>
              <w:bottom w:val="single" w:sz="8" w:color="2393FF"/>
            </w:tcBorders>
            <w:shd w:val="clear" w:color="auto" w:fill="E8F4FF"/>
          </w:tcPr>
          <w:p>
            <w:pPr>
              <w:jc w:val="right"/>
              <w:ind w:right="222"/>
              <w:spacing w:after="0"/>
              <w:rPr>
                <w:sz w:val="20"/>
                <w:szCs w:val="20"/>
                <w:color w:val="auto"/>
              </w:rPr>
            </w:pPr>
            <w:r>
              <w:rPr>
                <w:rFonts w:ascii="Arial" w:cs="Arial" w:eastAsia="Arial" w:hAnsi="Arial"/>
                <w:sz w:val="12"/>
                <w:szCs w:val="12"/>
                <w:color w:val="auto"/>
              </w:rPr>
              <w:t>59,000</w:t>
            </w:r>
          </w:p>
        </w:tc>
        <w:tc>
          <w:tcPr>
            <w:tcW w:w="1820" w:type="dxa"/>
            <w:vAlign w:val="bottom"/>
            <w:tcBorders>
              <w:bottom w:val="single" w:sz="8" w:color="2393FF"/>
            </w:tcBorders>
            <w:shd w:val="clear" w:color="auto" w:fill="E8F4FF"/>
          </w:tcPr>
          <w:p>
            <w:pPr>
              <w:jc w:val="right"/>
              <w:ind w:right="161"/>
              <w:spacing w:after="0"/>
              <w:rPr>
                <w:sz w:val="20"/>
                <w:szCs w:val="20"/>
                <w:color w:val="auto"/>
              </w:rPr>
            </w:pPr>
            <w:r>
              <w:rPr>
                <w:rFonts w:ascii="Arial" w:cs="Arial" w:eastAsia="Arial" w:hAnsi="Arial"/>
                <w:sz w:val="12"/>
                <w:szCs w:val="12"/>
                <w:color w:val="auto"/>
              </w:rPr>
              <w:t>174,997</w:t>
            </w:r>
            <w:r>
              <w:rPr>
                <w:rFonts w:ascii="Arial" w:cs="Arial" w:eastAsia="Arial" w:hAnsi="Arial"/>
                <w:sz w:val="18"/>
                <w:szCs w:val="18"/>
                <w:color w:val="auto"/>
                <w:vertAlign w:val="superscript"/>
              </w:rPr>
              <w:t>(3)</w:t>
            </w:r>
          </w:p>
        </w:tc>
        <w:tc>
          <w:tcPr>
            <w:tcW w:w="1020" w:type="dxa"/>
            <w:vAlign w:val="bottom"/>
            <w:tcBorders>
              <w:bottom w:val="single" w:sz="8" w:color="2393FF"/>
            </w:tcBorders>
            <w:shd w:val="clear" w:color="auto" w:fill="E8F4FF"/>
          </w:tcPr>
          <w:p>
            <w:pPr>
              <w:jc w:val="right"/>
              <w:ind w:right="101"/>
              <w:spacing w:after="0"/>
              <w:rPr>
                <w:sz w:val="20"/>
                <w:szCs w:val="20"/>
                <w:color w:val="auto"/>
              </w:rPr>
            </w:pPr>
            <w:r>
              <w:rPr>
                <w:rFonts w:ascii="Arial" w:cs="Arial" w:eastAsia="Arial" w:hAnsi="Arial"/>
                <w:sz w:val="12"/>
                <w:szCs w:val="12"/>
                <w:color w:val="auto"/>
              </w:rPr>
              <w:t>233,997</w:t>
            </w:r>
          </w:p>
        </w:tc>
      </w:tr>
    </w:tbl>
    <w:p>
      <w:pPr>
        <w:spacing w:after="0" w:line="19" w:lineRule="exact"/>
        <w:rPr>
          <w:sz w:val="20"/>
          <w:szCs w:val="20"/>
          <w:color w:val="auto"/>
        </w:rPr>
      </w:pPr>
    </w:p>
    <w:p>
      <w:pPr>
        <w:jc w:val="both"/>
        <w:ind w:left="1380" w:right="140" w:hanging="353"/>
        <w:spacing w:after="0" w:line="230" w:lineRule="auto"/>
        <w:tabs>
          <w:tab w:leader="none" w:pos="1380" w:val="left"/>
        </w:tabs>
        <w:numPr>
          <w:ilvl w:val="0"/>
          <w:numId w:val="59"/>
        </w:numPr>
        <w:rPr>
          <w:rFonts w:ascii="Arial" w:cs="Arial" w:eastAsia="Arial" w:hAnsi="Arial"/>
          <w:sz w:val="11"/>
          <w:szCs w:val="11"/>
          <w:color w:val="333333"/>
        </w:rPr>
      </w:pPr>
      <w:r>
        <w:rPr>
          <w:rFonts w:ascii="Arial" w:cs="Arial" w:eastAsia="Arial" w:hAnsi="Arial"/>
          <w:sz w:val="11"/>
          <w:szCs w:val="11"/>
          <w:color w:val="333333"/>
        </w:rPr>
        <w:t>The amounts in this column represent the aggregate grant date fair value of stock awards granted to the director during our fiscal year ended December 31, 2025, computed in accordance with FASB ASC Topic 718. See Note 14 to our financial statements included in the 2024 Annual Report for a discussion of our assumptions in determining the ASC 718 values of our stock awards.</w:t>
      </w:r>
    </w:p>
    <w:p>
      <w:pPr>
        <w:spacing w:after="0" w:line="75" w:lineRule="exact"/>
        <w:rPr>
          <w:rFonts w:ascii="Arial" w:cs="Arial" w:eastAsia="Arial" w:hAnsi="Arial"/>
          <w:sz w:val="11"/>
          <w:szCs w:val="11"/>
          <w:color w:val="333333"/>
        </w:rPr>
      </w:pPr>
    </w:p>
    <w:p>
      <w:pPr>
        <w:ind w:left="1380" w:hanging="353"/>
        <w:spacing w:after="0"/>
        <w:tabs>
          <w:tab w:leader="none" w:pos="1380" w:val="left"/>
        </w:tabs>
        <w:numPr>
          <w:ilvl w:val="0"/>
          <w:numId w:val="59"/>
        </w:numPr>
        <w:rPr>
          <w:rFonts w:ascii="Arial" w:cs="Arial" w:eastAsia="Arial" w:hAnsi="Arial"/>
          <w:sz w:val="11"/>
          <w:szCs w:val="11"/>
          <w:color w:val="333333"/>
        </w:rPr>
      </w:pPr>
      <w:r>
        <w:rPr>
          <w:rFonts w:ascii="Arial" w:cs="Arial" w:eastAsia="Arial" w:hAnsi="Arial"/>
          <w:sz w:val="11"/>
          <w:szCs w:val="11"/>
          <w:color w:val="333333"/>
        </w:rPr>
        <w:t>As of December 31, 2025, our non-employee directors held options and RSUs to acquire the following number of shares of common stock:</w:t>
      </w:r>
    </w:p>
    <w:p>
      <w:pPr>
        <w:spacing w:after="0" w:line="220"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tcPr>
          <w:p>
            <w:pPr>
              <w:jc w:val="center"/>
              <w:ind w:left="306"/>
              <w:spacing w:after="0"/>
              <w:rPr>
                <w:sz w:val="20"/>
                <w:szCs w:val="20"/>
                <w:color w:val="auto"/>
              </w:rPr>
            </w:pPr>
            <w:r>
              <w:rPr>
                <w:rFonts w:ascii="Arial" w:cs="Arial" w:eastAsia="Arial" w:hAnsi="Arial"/>
                <w:sz w:val="11"/>
                <w:szCs w:val="11"/>
                <w:b w:val="1"/>
                <w:bCs w:val="1"/>
                <w:color w:val="auto"/>
                <w:w w:val="95"/>
              </w:rPr>
              <w:t>NUMBER OF SHARES</w:t>
            </w:r>
          </w:p>
        </w:tc>
        <w:tc>
          <w:tcPr>
            <w:tcW w:w="480" w:type="dxa"/>
            <w:vAlign w:val="bottom"/>
          </w:tcPr>
          <w:p>
            <w:pPr>
              <w:spacing w:after="0"/>
              <w:rPr>
                <w:sz w:val="10"/>
                <w:szCs w:val="10"/>
                <w:color w:val="auto"/>
              </w:rPr>
            </w:pPr>
          </w:p>
        </w:tc>
      </w:tr>
      <w:tr>
        <w:trPr>
          <w:trHeight w:val="113"/>
        </w:trPr>
        <w:tc>
          <w:tcPr>
            <w:tcW w:w="6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3"/>
          </w:tcPr>
          <w:p>
            <w:pPr>
              <w:jc w:val="center"/>
              <w:ind w:right="1"/>
              <w:spacing w:after="0" w:line="113" w:lineRule="exact"/>
              <w:rPr>
                <w:sz w:val="20"/>
                <w:szCs w:val="20"/>
                <w:color w:val="auto"/>
              </w:rPr>
            </w:pPr>
            <w:r>
              <w:rPr>
                <w:rFonts w:ascii="Arial" w:cs="Arial" w:eastAsia="Arial" w:hAnsi="Arial"/>
                <w:sz w:val="11"/>
                <w:szCs w:val="11"/>
                <w:b w:val="1"/>
                <w:bCs w:val="1"/>
                <w:color w:val="auto"/>
                <w:w w:val="94"/>
              </w:rPr>
              <w:t>UNDERLYING OUTSTANDING</w:t>
            </w:r>
          </w:p>
        </w:tc>
      </w:tr>
      <w:tr>
        <w:trPr>
          <w:trHeight w:val="128"/>
        </w:trPr>
        <w:tc>
          <w:tcPr>
            <w:tcW w:w="6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2393FF"/>
            </w:tcBorders>
          </w:tcPr>
          <w:p>
            <w:pPr>
              <w:spacing w:after="0"/>
              <w:rPr>
                <w:sz w:val="11"/>
                <w:szCs w:val="11"/>
                <w:color w:val="auto"/>
              </w:rPr>
            </w:pPr>
          </w:p>
        </w:tc>
        <w:tc>
          <w:tcPr>
            <w:tcW w:w="900" w:type="dxa"/>
            <w:vAlign w:val="bottom"/>
            <w:tcBorders>
              <w:bottom w:val="single" w:sz="8" w:color="2393FF"/>
            </w:tcBorders>
          </w:tcPr>
          <w:p>
            <w:pPr>
              <w:jc w:val="center"/>
              <w:ind w:right="384"/>
              <w:spacing w:after="0"/>
              <w:rPr>
                <w:sz w:val="20"/>
                <w:szCs w:val="20"/>
                <w:color w:val="auto"/>
              </w:rPr>
            </w:pPr>
            <w:r>
              <w:rPr>
                <w:rFonts w:ascii="Arial" w:cs="Arial" w:eastAsia="Arial" w:hAnsi="Arial"/>
                <w:sz w:val="11"/>
                <w:szCs w:val="11"/>
                <w:b w:val="1"/>
                <w:bCs w:val="1"/>
                <w:color w:val="auto"/>
                <w:w w:val="92"/>
              </w:rPr>
              <w:t>AWARDS</w:t>
            </w:r>
          </w:p>
        </w:tc>
        <w:tc>
          <w:tcPr>
            <w:tcW w:w="480" w:type="dxa"/>
            <w:vAlign w:val="bottom"/>
            <w:tcBorders>
              <w:bottom w:val="single" w:sz="8" w:color="2393FF"/>
            </w:tcBorders>
          </w:tcPr>
          <w:p>
            <w:pPr>
              <w:spacing w:after="0"/>
              <w:rPr>
                <w:sz w:val="11"/>
                <w:szCs w:val="11"/>
                <w:color w:val="auto"/>
              </w:rPr>
            </w:pPr>
          </w:p>
        </w:tc>
      </w:tr>
      <w:tr>
        <w:trPr>
          <w:trHeight w:val="168"/>
        </w:trPr>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OPTION</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54"/>
        </w:trPr>
        <w:tc>
          <w:tcPr>
            <w:tcW w:w="6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AWARDS</w:t>
            </w:r>
          </w:p>
        </w:tc>
        <w:tc>
          <w:tcPr>
            <w:tcW w:w="900" w:type="dxa"/>
            <w:vAlign w:val="bottom"/>
          </w:tcPr>
          <w:p>
            <w:pPr>
              <w:spacing w:after="0"/>
              <w:rPr>
                <w:sz w:val="13"/>
                <w:szCs w:val="13"/>
                <w:color w:val="auto"/>
              </w:rPr>
            </w:pPr>
          </w:p>
        </w:tc>
        <w:tc>
          <w:tcPr>
            <w:tcW w:w="480" w:type="dxa"/>
            <w:vAlign w:val="bottom"/>
          </w:tcPr>
          <w:p>
            <w:pPr>
              <w:jc w:val="right"/>
              <w:ind w:right="21"/>
              <w:spacing w:after="0"/>
              <w:rPr>
                <w:sz w:val="20"/>
                <w:szCs w:val="20"/>
                <w:color w:val="auto"/>
              </w:rPr>
            </w:pPr>
            <w:r>
              <w:rPr>
                <w:rFonts w:ascii="Arial" w:cs="Arial" w:eastAsia="Arial" w:hAnsi="Arial"/>
                <w:sz w:val="11"/>
                <w:szCs w:val="11"/>
                <w:b w:val="1"/>
                <w:bCs w:val="1"/>
                <w:color w:val="auto"/>
              </w:rPr>
              <w:t>RSUS</w:t>
            </w:r>
          </w:p>
        </w:tc>
      </w:tr>
      <w:tr>
        <w:trPr>
          <w:trHeight w:val="41"/>
        </w:trPr>
        <w:tc>
          <w:tcPr>
            <w:tcW w:w="6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02"/>
        </w:trPr>
        <w:tc>
          <w:tcPr>
            <w:tcW w:w="65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Matthew Harris</w:t>
            </w:r>
          </w:p>
        </w:tc>
        <w:tc>
          <w:tcPr>
            <w:tcW w:w="920" w:type="dxa"/>
            <w:vAlign w:val="bottom"/>
            <w:gridSpan w:val="2"/>
            <w:shd w:val="clear" w:color="auto" w:fill="E8F4FF"/>
          </w:tcPr>
          <w:p>
            <w:pPr>
              <w:jc w:val="right"/>
              <w:spacing w:after="0"/>
              <w:rPr>
                <w:sz w:val="20"/>
                <w:szCs w:val="20"/>
                <w:color w:val="auto"/>
              </w:rPr>
            </w:pPr>
            <w:r>
              <w:rPr>
                <w:rFonts w:ascii="Arial" w:cs="Arial" w:eastAsia="Arial" w:hAnsi="Arial"/>
                <w:sz w:val="12"/>
                <w:szCs w:val="12"/>
                <w:color w:val="auto"/>
              </w:rPr>
              <w:t>0</w:t>
            </w:r>
          </w:p>
        </w:tc>
        <w:tc>
          <w:tcPr>
            <w:tcW w:w="900" w:type="dxa"/>
            <w:vAlign w:val="bottom"/>
            <w:shd w:val="clear" w:color="auto" w:fill="E8F4FF"/>
          </w:tcPr>
          <w:p>
            <w:pPr>
              <w:ind w:left="220"/>
              <w:spacing w:after="0"/>
              <w:rPr>
                <w:sz w:val="20"/>
                <w:szCs w:val="20"/>
                <w:color w:val="auto"/>
              </w:rPr>
            </w:pPr>
            <w:r>
              <w:rPr>
                <w:rFonts w:ascii="Arial" w:cs="Arial" w:eastAsia="Arial" w:hAnsi="Arial"/>
                <w:sz w:val="12"/>
                <w:szCs w:val="12"/>
                <w:color w:val="auto"/>
              </w:rPr>
              <w:t xml:space="preserve">                </w:t>
            </w:r>
          </w:p>
        </w:tc>
        <w:tc>
          <w:tcPr>
            <w:tcW w:w="480" w:type="dxa"/>
            <w:vAlign w:val="bottom"/>
            <w:shd w:val="clear" w:color="auto" w:fill="E8F4FF"/>
          </w:tcPr>
          <w:p>
            <w:pPr>
              <w:jc w:val="right"/>
              <w:ind w:right="21"/>
              <w:spacing w:after="0"/>
              <w:rPr>
                <w:sz w:val="20"/>
                <w:szCs w:val="20"/>
                <w:color w:val="auto"/>
              </w:rPr>
            </w:pPr>
            <w:r>
              <w:rPr>
                <w:rFonts w:ascii="Arial" w:cs="Arial" w:eastAsia="Arial" w:hAnsi="Arial"/>
                <w:sz w:val="12"/>
                <w:szCs w:val="12"/>
                <w:color w:val="auto"/>
              </w:rPr>
              <w:t>16,990</w:t>
            </w:r>
          </w:p>
        </w:tc>
      </w:tr>
      <w:tr>
        <w:trPr>
          <w:trHeight w:val="69"/>
        </w:trPr>
        <w:tc>
          <w:tcPr>
            <w:tcW w:w="6520" w:type="dxa"/>
            <w:vAlign w:val="bottom"/>
            <w:shd w:val="clear" w:color="auto" w:fill="E8F4FF"/>
          </w:tcPr>
          <w:p>
            <w:pPr>
              <w:spacing w:after="0"/>
              <w:rPr>
                <w:sz w:val="5"/>
                <w:szCs w:val="5"/>
                <w:color w:val="auto"/>
              </w:rPr>
            </w:pPr>
          </w:p>
        </w:tc>
        <w:tc>
          <w:tcPr>
            <w:tcW w:w="80" w:type="dxa"/>
            <w:vAlign w:val="bottom"/>
            <w:shd w:val="clear" w:color="auto" w:fill="E8F4FF"/>
          </w:tcPr>
          <w:p>
            <w:pPr>
              <w:spacing w:after="0"/>
              <w:rPr>
                <w:sz w:val="5"/>
                <w:szCs w:val="5"/>
                <w:color w:val="auto"/>
              </w:rPr>
            </w:pPr>
          </w:p>
        </w:tc>
        <w:tc>
          <w:tcPr>
            <w:tcW w:w="840" w:type="dxa"/>
            <w:vAlign w:val="bottom"/>
            <w:shd w:val="clear" w:color="auto" w:fill="E8F4FF"/>
          </w:tcPr>
          <w:p>
            <w:pPr>
              <w:spacing w:after="0"/>
              <w:rPr>
                <w:sz w:val="5"/>
                <w:szCs w:val="5"/>
                <w:color w:val="auto"/>
              </w:rPr>
            </w:pPr>
          </w:p>
        </w:tc>
        <w:tc>
          <w:tcPr>
            <w:tcW w:w="900" w:type="dxa"/>
            <w:vAlign w:val="bottom"/>
            <w:shd w:val="clear" w:color="auto" w:fill="E8F4FF"/>
          </w:tcPr>
          <w:p>
            <w:pPr>
              <w:spacing w:after="0"/>
              <w:rPr>
                <w:sz w:val="5"/>
                <w:szCs w:val="5"/>
                <w:color w:val="auto"/>
              </w:rPr>
            </w:pPr>
          </w:p>
        </w:tc>
        <w:tc>
          <w:tcPr>
            <w:tcW w:w="480" w:type="dxa"/>
            <w:vAlign w:val="bottom"/>
            <w:shd w:val="clear" w:color="auto" w:fill="E8F4FF"/>
          </w:tcPr>
          <w:p>
            <w:pPr>
              <w:spacing w:after="0"/>
              <w:rPr>
                <w:sz w:val="5"/>
                <w:szCs w:val="5"/>
                <w:color w:val="auto"/>
              </w:rPr>
            </w:pPr>
          </w:p>
        </w:tc>
      </w:tr>
      <w:tr>
        <w:trPr>
          <w:trHeight w:val="202"/>
        </w:trPr>
        <w:tc>
          <w:tcPr>
            <w:tcW w:w="6520" w:type="dxa"/>
            <w:vAlign w:val="bottom"/>
          </w:tcPr>
          <w:p>
            <w:pPr>
              <w:ind w:left="60"/>
              <w:spacing w:after="0"/>
              <w:rPr>
                <w:sz w:val="20"/>
                <w:szCs w:val="20"/>
                <w:color w:val="auto"/>
              </w:rPr>
            </w:pPr>
            <w:r>
              <w:rPr>
                <w:rFonts w:ascii="Arial" w:cs="Arial" w:eastAsia="Arial" w:hAnsi="Arial"/>
                <w:sz w:val="12"/>
                <w:szCs w:val="12"/>
                <w:b w:val="1"/>
                <w:bCs w:val="1"/>
                <w:color w:val="2393FF"/>
              </w:rPr>
              <w:t>Gretchen Howard</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900" w:type="dxa"/>
            <w:vAlign w:val="bottom"/>
          </w:tcPr>
          <w:p>
            <w:pPr>
              <w:spacing w:after="0"/>
              <w:rPr>
                <w:sz w:val="17"/>
                <w:szCs w:val="17"/>
                <w:color w:val="auto"/>
              </w:rPr>
            </w:pPr>
          </w:p>
        </w:tc>
        <w:tc>
          <w:tcPr>
            <w:tcW w:w="480" w:type="dxa"/>
            <w:vAlign w:val="bottom"/>
          </w:tcPr>
          <w:p>
            <w:pPr>
              <w:jc w:val="right"/>
              <w:ind w:right="21"/>
              <w:spacing w:after="0"/>
              <w:rPr>
                <w:sz w:val="20"/>
                <w:szCs w:val="20"/>
                <w:color w:val="auto"/>
              </w:rPr>
            </w:pPr>
            <w:r>
              <w:rPr>
                <w:rFonts w:ascii="Arial" w:cs="Arial" w:eastAsia="Arial" w:hAnsi="Arial"/>
                <w:sz w:val="12"/>
                <w:szCs w:val="12"/>
                <w:color w:val="auto"/>
              </w:rPr>
              <w:t>20,795</w:t>
            </w:r>
          </w:p>
        </w:tc>
      </w:tr>
      <w:tr>
        <w:trPr>
          <w:trHeight w:val="69"/>
        </w:trPr>
        <w:tc>
          <w:tcPr>
            <w:tcW w:w="6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r>
      <w:tr>
        <w:trPr>
          <w:trHeight w:val="202"/>
        </w:trPr>
        <w:tc>
          <w:tcPr>
            <w:tcW w:w="65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Alex Finkelstein</w:t>
            </w:r>
          </w:p>
        </w:tc>
        <w:tc>
          <w:tcPr>
            <w:tcW w:w="920" w:type="dxa"/>
            <w:vAlign w:val="bottom"/>
            <w:gridSpan w:val="2"/>
            <w:shd w:val="clear" w:color="auto" w:fill="E8F4FF"/>
          </w:tcPr>
          <w:p>
            <w:pPr>
              <w:jc w:val="right"/>
              <w:spacing w:after="0"/>
              <w:rPr>
                <w:sz w:val="20"/>
                <w:szCs w:val="20"/>
                <w:color w:val="auto"/>
              </w:rPr>
            </w:pPr>
            <w:r>
              <w:rPr>
                <w:rFonts w:ascii="Arial" w:cs="Arial" w:eastAsia="Arial" w:hAnsi="Arial"/>
                <w:sz w:val="12"/>
                <w:szCs w:val="12"/>
                <w:color w:val="auto"/>
              </w:rPr>
              <w:t>0</w:t>
            </w:r>
          </w:p>
        </w:tc>
        <w:tc>
          <w:tcPr>
            <w:tcW w:w="900" w:type="dxa"/>
            <w:vAlign w:val="bottom"/>
            <w:shd w:val="clear" w:color="auto" w:fill="E8F4FF"/>
          </w:tcPr>
          <w:p>
            <w:pPr>
              <w:spacing w:after="0"/>
              <w:rPr>
                <w:sz w:val="17"/>
                <w:szCs w:val="17"/>
                <w:color w:val="auto"/>
              </w:rPr>
            </w:pPr>
          </w:p>
        </w:tc>
        <w:tc>
          <w:tcPr>
            <w:tcW w:w="480" w:type="dxa"/>
            <w:vAlign w:val="bottom"/>
            <w:shd w:val="clear" w:color="auto" w:fill="E8F4FF"/>
          </w:tcPr>
          <w:p>
            <w:pPr>
              <w:jc w:val="right"/>
              <w:ind w:right="21"/>
              <w:spacing w:after="0"/>
              <w:rPr>
                <w:sz w:val="20"/>
                <w:szCs w:val="20"/>
                <w:color w:val="auto"/>
              </w:rPr>
            </w:pPr>
            <w:r>
              <w:rPr>
                <w:rFonts w:ascii="Arial" w:cs="Arial" w:eastAsia="Arial" w:hAnsi="Arial"/>
                <w:sz w:val="12"/>
                <w:szCs w:val="12"/>
                <w:color w:val="auto"/>
              </w:rPr>
              <w:t>16,990</w:t>
            </w:r>
          </w:p>
        </w:tc>
      </w:tr>
      <w:tr>
        <w:trPr>
          <w:trHeight w:val="69"/>
        </w:trPr>
        <w:tc>
          <w:tcPr>
            <w:tcW w:w="6520" w:type="dxa"/>
            <w:vAlign w:val="bottom"/>
            <w:shd w:val="clear" w:color="auto" w:fill="E8F4FF"/>
          </w:tcPr>
          <w:p>
            <w:pPr>
              <w:spacing w:after="0"/>
              <w:rPr>
                <w:sz w:val="5"/>
                <w:szCs w:val="5"/>
                <w:color w:val="auto"/>
              </w:rPr>
            </w:pPr>
          </w:p>
        </w:tc>
        <w:tc>
          <w:tcPr>
            <w:tcW w:w="80" w:type="dxa"/>
            <w:vAlign w:val="bottom"/>
            <w:shd w:val="clear" w:color="auto" w:fill="E8F4FF"/>
          </w:tcPr>
          <w:p>
            <w:pPr>
              <w:spacing w:after="0"/>
              <w:rPr>
                <w:sz w:val="5"/>
                <w:szCs w:val="5"/>
                <w:color w:val="auto"/>
              </w:rPr>
            </w:pPr>
          </w:p>
        </w:tc>
        <w:tc>
          <w:tcPr>
            <w:tcW w:w="840" w:type="dxa"/>
            <w:vAlign w:val="bottom"/>
            <w:shd w:val="clear" w:color="auto" w:fill="E8F4FF"/>
          </w:tcPr>
          <w:p>
            <w:pPr>
              <w:spacing w:after="0"/>
              <w:rPr>
                <w:sz w:val="5"/>
                <w:szCs w:val="5"/>
                <w:color w:val="auto"/>
              </w:rPr>
            </w:pPr>
          </w:p>
        </w:tc>
        <w:tc>
          <w:tcPr>
            <w:tcW w:w="900" w:type="dxa"/>
            <w:vAlign w:val="bottom"/>
            <w:shd w:val="clear" w:color="auto" w:fill="E8F4FF"/>
          </w:tcPr>
          <w:p>
            <w:pPr>
              <w:spacing w:after="0"/>
              <w:rPr>
                <w:sz w:val="5"/>
                <w:szCs w:val="5"/>
                <w:color w:val="auto"/>
              </w:rPr>
            </w:pPr>
          </w:p>
        </w:tc>
        <w:tc>
          <w:tcPr>
            <w:tcW w:w="480" w:type="dxa"/>
            <w:vAlign w:val="bottom"/>
            <w:shd w:val="clear" w:color="auto" w:fill="E8F4FF"/>
          </w:tcPr>
          <w:p>
            <w:pPr>
              <w:spacing w:after="0"/>
              <w:rPr>
                <w:sz w:val="5"/>
                <w:szCs w:val="5"/>
                <w:color w:val="auto"/>
              </w:rPr>
            </w:pPr>
          </w:p>
        </w:tc>
      </w:tr>
      <w:tr>
        <w:trPr>
          <w:trHeight w:val="202"/>
        </w:trPr>
        <w:tc>
          <w:tcPr>
            <w:tcW w:w="6520" w:type="dxa"/>
            <w:vAlign w:val="bottom"/>
          </w:tcPr>
          <w:p>
            <w:pPr>
              <w:ind w:left="60"/>
              <w:spacing w:after="0"/>
              <w:rPr>
                <w:sz w:val="20"/>
                <w:szCs w:val="20"/>
                <w:color w:val="auto"/>
              </w:rPr>
            </w:pPr>
            <w:r>
              <w:rPr>
                <w:rFonts w:ascii="Arial" w:cs="Arial" w:eastAsia="Arial" w:hAnsi="Arial"/>
                <w:sz w:val="12"/>
                <w:szCs w:val="12"/>
                <w:b w:val="1"/>
                <w:bCs w:val="1"/>
                <w:color w:val="2393FF"/>
              </w:rPr>
              <w:t>Carleigh Jaques</w:t>
            </w: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900" w:type="dxa"/>
            <w:vAlign w:val="bottom"/>
          </w:tcPr>
          <w:p>
            <w:pPr>
              <w:spacing w:after="0"/>
              <w:rPr>
                <w:sz w:val="17"/>
                <w:szCs w:val="17"/>
                <w:color w:val="auto"/>
              </w:rPr>
            </w:pPr>
          </w:p>
        </w:tc>
        <w:tc>
          <w:tcPr>
            <w:tcW w:w="480" w:type="dxa"/>
            <w:vAlign w:val="bottom"/>
          </w:tcPr>
          <w:p>
            <w:pPr>
              <w:jc w:val="right"/>
              <w:ind w:right="21"/>
              <w:spacing w:after="0"/>
              <w:rPr>
                <w:sz w:val="20"/>
                <w:szCs w:val="20"/>
                <w:color w:val="auto"/>
              </w:rPr>
            </w:pPr>
            <w:r>
              <w:rPr>
                <w:rFonts w:ascii="Arial" w:cs="Arial" w:eastAsia="Arial" w:hAnsi="Arial"/>
                <w:sz w:val="12"/>
                <w:szCs w:val="12"/>
                <w:color w:val="auto"/>
              </w:rPr>
              <w:t>27,393</w:t>
            </w:r>
          </w:p>
        </w:tc>
      </w:tr>
      <w:tr>
        <w:trPr>
          <w:trHeight w:val="69"/>
        </w:trPr>
        <w:tc>
          <w:tcPr>
            <w:tcW w:w="6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r>
      <w:tr>
        <w:trPr>
          <w:trHeight w:val="202"/>
        </w:trPr>
        <w:tc>
          <w:tcPr>
            <w:tcW w:w="65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Diane Offereins</w:t>
            </w:r>
          </w:p>
        </w:tc>
        <w:tc>
          <w:tcPr>
            <w:tcW w:w="920" w:type="dxa"/>
            <w:vAlign w:val="bottom"/>
            <w:gridSpan w:val="2"/>
            <w:shd w:val="clear" w:color="auto" w:fill="E8F4FF"/>
          </w:tcPr>
          <w:p>
            <w:pPr>
              <w:jc w:val="right"/>
              <w:spacing w:after="0"/>
              <w:rPr>
                <w:sz w:val="20"/>
                <w:szCs w:val="20"/>
                <w:color w:val="auto"/>
              </w:rPr>
            </w:pPr>
            <w:r>
              <w:rPr>
                <w:rFonts w:ascii="Arial" w:cs="Arial" w:eastAsia="Arial" w:hAnsi="Arial"/>
                <w:sz w:val="12"/>
                <w:szCs w:val="12"/>
                <w:color w:val="auto"/>
              </w:rPr>
              <w:t>0</w:t>
            </w:r>
          </w:p>
        </w:tc>
        <w:tc>
          <w:tcPr>
            <w:tcW w:w="900" w:type="dxa"/>
            <w:vAlign w:val="bottom"/>
            <w:shd w:val="clear" w:color="auto" w:fill="E8F4FF"/>
          </w:tcPr>
          <w:p>
            <w:pPr>
              <w:spacing w:after="0"/>
              <w:rPr>
                <w:sz w:val="17"/>
                <w:szCs w:val="17"/>
                <w:color w:val="auto"/>
              </w:rPr>
            </w:pPr>
          </w:p>
        </w:tc>
        <w:tc>
          <w:tcPr>
            <w:tcW w:w="480" w:type="dxa"/>
            <w:vAlign w:val="bottom"/>
            <w:shd w:val="clear" w:color="auto" w:fill="E8F4FF"/>
          </w:tcPr>
          <w:p>
            <w:pPr>
              <w:jc w:val="right"/>
              <w:ind w:right="21"/>
              <w:spacing w:after="0"/>
              <w:rPr>
                <w:sz w:val="20"/>
                <w:szCs w:val="20"/>
                <w:color w:val="auto"/>
              </w:rPr>
            </w:pPr>
            <w:r>
              <w:rPr>
                <w:rFonts w:ascii="Arial" w:cs="Arial" w:eastAsia="Arial" w:hAnsi="Arial"/>
                <w:sz w:val="12"/>
                <w:szCs w:val="12"/>
                <w:color w:val="auto"/>
              </w:rPr>
              <w:t>21,716</w:t>
            </w:r>
          </w:p>
        </w:tc>
      </w:tr>
      <w:tr>
        <w:trPr>
          <w:trHeight w:val="69"/>
        </w:trPr>
        <w:tc>
          <w:tcPr>
            <w:tcW w:w="6520" w:type="dxa"/>
            <w:vAlign w:val="bottom"/>
            <w:shd w:val="clear" w:color="auto" w:fill="E8F4FF"/>
          </w:tcPr>
          <w:p>
            <w:pPr>
              <w:spacing w:after="0"/>
              <w:rPr>
                <w:sz w:val="5"/>
                <w:szCs w:val="5"/>
                <w:color w:val="auto"/>
              </w:rPr>
            </w:pPr>
          </w:p>
        </w:tc>
        <w:tc>
          <w:tcPr>
            <w:tcW w:w="80" w:type="dxa"/>
            <w:vAlign w:val="bottom"/>
            <w:shd w:val="clear" w:color="auto" w:fill="E8F4FF"/>
          </w:tcPr>
          <w:p>
            <w:pPr>
              <w:spacing w:after="0"/>
              <w:rPr>
                <w:sz w:val="5"/>
                <w:szCs w:val="5"/>
                <w:color w:val="auto"/>
              </w:rPr>
            </w:pPr>
          </w:p>
        </w:tc>
        <w:tc>
          <w:tcPr>
            <w:tcW w:w="840" w:type="dxa"/>
            <w:vAlign w:val="bottom"/>
            <w:shd w:val="clear" w:color="auto" w:fill="E8F4FF"/>
          </w:tcPr>
          <w:p>
            <w:pPr>
              <w:spacing w:after="0"/>
              <w:rPr>
                <w:sz w:val="5"/>
                <w:szCs w:val="5"/>
                <w:color w:val="auto"/>
              </w:rPr>
            </w:pPr>
          </w:p>
        </w:tc>
        <w:tc>
          <w:tcPr>
            <w:tcW w:w="900" w:type="dxa"/>
            <w:vAlign w:val="bottom"/>
            <w:shd w:val="clear" w:color="auto" w:fill="E8F4FF"/>
          </w:tcPr>
          <w:p>
            <w:pPr>
              <w:spacing w:after="0"/>
              <w:rPr>
                <w:sz w:val="5"/>
                <w:szCs w:val="5"/>
                <w:color w:val="auto"/>
              </w:rPr>
            </w:pPr>
          </w:p>
        </w:tc>
        <w:tc>
          <w:tcPr>
            <w:tcW w:w="480" w:type="dxa"/>
            <w:vAlign w:val="bottom"/>
            <w:shd w:val="clear" w:color="auto" w:fill="E8F4FF"/>
          </w:tcPr>
          <w:p>
            <w:pPr>
              <w:spacing w:after="0"/>
              <w:rPr>
                <w:sz w:val="5"/>
                <w:szCs w:val="5"/>
                <w:color w:val="auto"/>
              </w:rPr>
            </w:pPr>
          </w:p>
        </w:tc>
      </w:tr>
      <w:tr>
        <w:trPr>
          <w:trHeight w:val="202"/>
        </w:trPr>
        <w:tc>
          <w:tcPr>
            <w:tcW w:w="6520" w:type="dxa"/>
            <w:vAlign w:val="bottom"/>
          </w:tcPr>
          <w:p>
            <w:pPr>
              <w:ind w:left="60"/>
              <w:spacing w:after="0"/>
              <w:rPr>
                <w:sz w:val="20"/>
                <w:szCs w:val="20"/>
                <w:color w:val="auto"/>
              </w:rPr>
            </w:pPr>
            <w:r>
              <w:rPr>
                <w:rFonts w:ascii="Arial" w:cs="Arial" w:eastAsia="Arial" w:hAnsi="Arial"/>
                <w:sz w:val="12"/>
                <w:szCs w:val="12"/>
                <w:b w:val="1"/>
                <w:bCs w:val="1"/>
                <w:color w:val="2393FF"/>
              </w:rPr>
              <w:t>Phillip Riese</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        197,533</w:t>
            </w:r>
          </w:p>
        </w:tc>
        <w:tc>
          <w:tcPr>
            <w:tcW w:w="900" w:type="dxa"/>
            <w:vAlign w:val="bottom"/>
          </w:tcPr>
          <w:p>
            <w:pPr>
              <w:spacing w:after="0"/>
              <w:rPr>
                <w:sz w:val="17"/>
                <w:szCs w:val="17"/>
                <w:color w:val="auto"/>
              </w:rPr>
            </w:pPr>
          </w:p>
        </w:tc>
        <w:tc>
          <w:tcPr>
            <w:tcW w:w="480" w:type="dxa"/>
            <w:vAlign w:val="bottom"/>
          </w:tcPr>
          <w:p>
            <w:pPr>
              <w:jc w:val="right"/>
              <w:ind w:right="21"/>
              <w:spacing w:after="0"/>
              <w:rPr>
                <w:sz w:val="20"/>
                <w:szCs w:val="20"/>
                <w:color w:val="auto"/>
              </w:rPr>
            </w:pPr>
            <w:r>
              <w:rPr>
                <w:rFonts w:ascii="Arial" w:cs="Arial" w:eastAsia="Arial" w:hAnsi="Arial"/>
                <w:sz w:val="12"/>
                <w:szCs w:val="12"/>
                <w:color w:val="auto"/>
              </w:rPr>
              <w:t>16,990</w:t>
            </w:r>
          </w:p>
        </w:tc>
      </w:tr>
      <w:tr>
        <w:trPr>
          <w:trHeight w:val="69"/>
        </w:trPr>
        <w:tc>
          <w:tcPr>
            <w:tcW w:w="6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r>
      <w:tr>
        <w:trPr>
          <w:trHeight w:val="202"/>
        </w:trPr>
        <w:tc>
          <w:tcPr>
            <w:tcW w:w="65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Edwin Santos</w:t>
            </w:r>
          </w:p>
        </w:tc>
        <w:tc>
          <w:tcPr>
            <w:tcW w:w="920" w:type="dxa"/>
            <w:vAlign w:val="bottom"/>
            <w:gridSpan w:val="2"/>
            <w:shd w:val="clear" w:color="auto" w:fill="E8F4FF"/>
          </w:tcPr>
          <w:p>
            <w:pPr>
              <w:jc w:val="right"/>
              <w:spacing w:after="0"/>
              <w:rPr>
                <w:sz w:val="20"/>
                <w:szCs w:val="20"/>
                <w:color w:val="auto"/>
              </w:rPr>
            </w:pPr>
            <w:r>
              <w:rPr>
                <w:rFonts w:ascii="Arial" w:cs="Arial" w:eastAsia="Arial" w:hAnsi="Arial"/>
                <w:sz w:val="12"/>
                <w:szCs w:val="12"/>
                <w:color w:val="auto"/>
              </w:rPr>
              <w:t>0</w:t>
            </w:r>
          </w:p>
        </w:tc>
        <w:tc>
          <w:tcPr>
            <w:tcW w:w="900" w:type="dxa"/>
            <w:vAlign w:val="bottom"/>
            <w:shd w:val="clear" w:color="auto" w:fill="E8F4FF"/>
          </w:tcPr>
          <w:p>
            <w:pPr>
              <w:spacing w:after="0"/>
              <w:rPr>
                <w:sz w:val="17"/>
                <w:szCs w:val="17"/>
                <w:color w:val="auto"/>
              </w:rPr>
            </w:pPr>
          </w:p>
        </w:tc>
        <w:tc>
          <w:tcPr>
            <w:tcW w:w="480" w:type="dxa"/>
            <w:vAlign w:val="bottom"/>
            <w:shd w:val="clear" w:color="auto" w:fill="E8F4FF"/>
          </w:tcPr>
          <w:p>
            <w:pPr>
              <w:jc w:val="right"/>
              <w:ind w:right="21"/>
              <w:spacing w:after="0"/>
              <w:rPr>
                <w:sz w:val="20"/>
                <w:szCs w:val="20"/>
                <w:color w:val="auto"/>
              </w:rPr>
            </w:pPr>
            <w:r>
              <w:rPr>
                <w:rFonts w:ascii="Arial" w:cs="Arial" w:eastAsia="Arial" w:hAnsi="Arial"/>
                <w:sz w:val="12"/>
                <w:szCs w:val="12"/>
                <w:color w:val="auto"/>
              </w:rPr>
              <w:t>16,990</w:t>
            </w:r>
          </w:p>
        </w:tc>
      </w:tr>
      <w:tr>
        <w:trPr>
          <w:trHeight w:val="69"/>
        </w:trPr>
        <w:tc>
          <w:tcPr>
            <w:tcW w:w="6520" w:type="dxa"/>
            <w:vAlign w:val="bottom"/>
            <w:tcBorders>
              <w:bottom w:val="single" w:sz="8" w:color="2393FF"/>
            </w:tcBorders>
            <w:shd w:val="clear" w:color="auto" w:fill="E8F4FF"/>
          </w:tcPr>
          <w:p>
            <w:pPr>
              <w:spacing w:after="0"/>
              <w:rPr>
                <w:sz w:val="5"/>
                <w:szCs w:val="5"/>
                <w:color w:val="auto"/>
              </w:rPr>
            </w:pPr>
          </w:p>
        </w:tc>
        <w:tc>
          <w:tcPr>
            <w:tcW w:w="80" w:type="dxa"/>
            <w:vAlign w:val="bottom"/>
            <w:tcBorders>
              <w:bottom w:val="single" w:sz="8" w:color="2393FF"/>
            </w:tcBorders>
            <w:shd w:val="clear" w:color="auto" w:fill="E8F4FF"/>
          </w:tcPr>
          <w:p>
            <w:pPr>
              <w:spacing w:after="0"/>
              <w:rPr>
                <w:sz w:val="5"/>
                <w:szCs w:val="5"/>
                <w:color w:val="auto"/>
              </w:rPr>
            </w:pPr>
          </w:p>
        </w:tc>
        <w:tc>
          <w:tcPr>
            <w:tcW w:w="840" w:type="dxa"/>
            <w:vAlign w:val="bottom"/>
            <w:tcBorders>
              <w:bottom w:val="single" w:sz="8" w:color="2393FF"/>
            </w:tcBorders>
            <w:shd w:val="clear" w:color="auto" w:fill="E8F4FF"/>
          </w:tcPr>
          <w:p>
            <w:pPr>
              <w:spacing w:after="0"/>
              <w:rPr>
                <w:sz w:val="5"/>
                <w:szCs w:val="5"/>
                <w:color w:val="auto"/>
              </w:rPr>
            </w:pPr>
          </w:p>
        </w:tc>
        <w:tc>
          <w:tcPr>
            <w:tcW w:w="900" w:type="dxa"/>
            <w:vAlign w:val="bottom"/>
            <w:tcBorders>
              <w:bottom w:val="single" w:sz="8" w:color="2393FF"/>
            </w:tcBorders>
            <w:shd w:val="clear" w:color="auto" w:fill="E8F4FF"/>
          </w:tcPr>
          <w:p>
            <w:pPr>
              <w:spacing w:after="0"/>
              <w:rPr>
                <w:sz w:val="5"/>
                <w:szCs w:val="5"/>
                <w:color w:val="auto"/>
              </w:rPr>
            </w:pPr>
          </w:p>
        </w:tc>
        <w:tc>
          <w:tcPr>
            <w:tcW w:w="480" w:type="dxa"/>
            <w:vAlign w:val="bottom"/>
            <w:tcBorders>
              <w:bottom w:val="single" w:sz="8" w:color="2393FF"/>
            </w:tcBorders>
            <w:shd w:val="clear" w:color="auto" w:fill="E8F4FF"/>
          </w:tcPr>
          <w:p>
            <w:pPr>
              <w:spacing w:after="0"/>
              <w:rPr>
                <w:sz w:val="5"/>
                <w:szCs w:val="5"/>
                <w:color w:val="auto"/>
              </w:rPr>
            </w:pPr>
          </w:p>
        </w:tc>
      </w:tr>
    </w:tbl>
    <w:p>
      <w:pPr>
        <w:spacing w:after="0" w:line="19" w:lineRule="exact"/>
        <w:rPr>
          <w:sz w:val="20"/>
          <w:szCs w:val="20"/>
          <w:color w:val="auto"/>
        </w:rPr>
      </w:pPr>
    </w:p>
    <w:p>
      <w:pPr>
        <w:ind w:left="1380" w:right="140" w:hanging="353"/>
        <w:spacing w:after="0" w:line="238" w:lineRule="auto"/>
        <w:tabs>
          <w:tab w:leader="none" w:pos="1380" w:val="left"/>
        </w:tabs>
        <w:numPr>
          <w:ilvl w:val="0"/>
          <w:numId w:val="60"/>
        </w:numPr>
        <w:rPr>
          <w:rFonts w:ascii="Arial" w:cs="Arial" w:eastAsia="Arial" w:hAnsi="Arial"/>
          <w:sz w:val="11"/>
          <w:szCs w:val="11"/>
          <w:color w:val="333333"/>
        </w:rPr>
      </w:pPr>
      <w:r>
        <w:rPr>
          <w:rFonts w:ascii="Arial" w:cs="Arial" w:eastAsia="Arial" w:hAnsi="Arial"/>
          <w:sz w:val="11"/>
          <w:szCs w:val="11"/>
          <w:color w:val="333333"/>
        </w:rPr>
        <w:t>On June 3, 2025, all of our then serving non-employee directors were granted an annual RSU for 16,990 shares of our common stock pursuant to our non-employee director compensation plan.</w:t>
      </w:r>
    </w:p>
    <w:p>
      <w:pPr>
        <w:spacing w:after="0" w:line="98"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22 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NON-EMPLOYEE DIRECTOR COMPENSATION</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For the year ended December 31, 2025, pursuant to our non-employee director compensation plan, each non-employee member of our Board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Directors received the following cash and equity compensation for board services, as applicable:</w:t>
      </w:r>
    </w:p>
    <w:p>
      <w:pPr>
        <w:spacing w:after="0" w:line="16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ind w:left="320"/>
              <w:spacing w:after="0"/>
              <w:rPr>
                <w:sz w:val="20"/>
                <w:szCs w:val="20"/>
                <w:color w:val="auto"/>
              </w:rPr>
            </w:pPr>
            <w:r>
              <w:rPr>
                <w:rFonts w:ascii="Arial" w:cs="Arial" w:eastAsia="Arial" w:hAnsi="Arial"/>
                <w:sz w:val="8"/>
                <w:szCs w:val="8"/>
                <w:b w:val="1"/>
                <w:bCs w:val="1"/>
                <w:color w:val="auto"/>
                <w:w w:val="74"/>
              </w:rPr>
              <w:t> </w:t>
            </w:r>
          </w:p>
        </w:tc>
        <w:tc>
          <w:tcPr>
            <w:tcW w:w="1660" w:type="dxa"/>
            <w:vAlign w:val="bottom"/>
          </w:tcPr>
          <w:p>
            <w:pPr>
              <w:jc w:val="center"/>
              <w:ind w:right="121"/>
              <w:spacing w:after="0"/>
              <w:rPr>
                <w:sz w:val="20"/>
                <w:szCs w:val="20"/>
                <w:color w:val="auto"/>
              </w:rPr>
            </w:pPr>
            <w:r>
              <w:rPr>
                <w:rFonts w:ascii="Arial" w:cs="Arial" w:eastAsia="Arial" w:hAnsi="Arial"/>
                <w:sz w:val="11"/>
                <w:szCs w:val="11"/>
                <w:b w:val="1"/>
                <w:bCs w:val="1"/>
                <w:color w:val="auto"/>
              </w:rPr>
              <w:t xml:space="preserve">       ANNUAL CASH         </w:t>
            </w:r>
          </w:p>
        </w:tc>
        <w:tc>
          <w:tcPr>
            <w:tcW w:w="2040" w:type="dxa"/>
            <w:vAlign w:val="bottom"/>
          </w:tcPr>
          <w:p>
            <w:pPr>
              <w:ind w:left="200"/>
              <w:spacing w:after="0"/>
              <w:rPr>
                <w:sz w:val="20"/>
                <w:szCs w:val="20"/>
                <w:color w:val="auto"/>
              </w:rPr>
            </w:pPr>
            <w:r>
              <w:rPr>
                <w:rFonts w:ascii="Arial" w:cs="Arial" w:eastAsia="Arial" w:hAnsi="Arial"/>
                <w:sz w:val="11"/>
                <w:szCs w:val="11"/>
                <w:b w:val="1"/>
                <w:bCs w:val="1"/>
                <w:color w:val="auto"/>
              </w:rPr>
              <w:t xml:space="preserve">          INITIAL EQUITY           </w:t>
            </w:r>
          </w:p>
        </w:tc>
        <w:tc>
          <w:tcPr>
            <w:tcW w:w="1800" w:type="dxa"/>
            <w:vAlign w:val="bottom"/>
          </w:tcPr>
          <w:p>
            <w:pPr>
              <w:ind w:left="200"/>
              <w:spacing w:after="0"/>
              <w:rPr>
                <w:sz w:val="20"/>
                <w:szCs w:val="20"/>
                <w:color w:val="auto"/>
              </w:rPr>
            </w:pPr>
            <w:r>
              <w:rPr>
                <w:rFonts w:ascii="Arial" w:cs="Arial" w:eastAsia="Arial" w:hAnsi="Arial"/>
                <w:sz w:val="11"/>
                <w:szCs w:val="11"/>
                <w:b w:val="1"/>
                <w:bCs w:val="1"/>
                <w:color w:val="auto"/>
              </w:rPr>
              <w:t xml:space="preserve">      ANNUAL EQUITY        </w:t>
            </w:r>
          </w:p>
        </w:tc>
      </w:tr>
      <w:tr>
        <w:trPr>
          <w:trHeight w:val="173"/>
        </w:trPr>
        <w:tc>
          <w:tcPr>
            <w:tcW w:w="2520" w:type="dxa"/>
            <w:vAlign w:val="bottom"/>
          </w:tcPr>
          <w:p>
            <w:pPr>
              <w:spacing w:after="0"/>
              <w:rPr>
                <w:sz w:val="15"/>
                <w:szCs w:val="15"/>
                <w:color w:val="auto"/>
              </w:rPr>
            </w:pPr>
          </w:p>
        </w:tc>
        <w:tc>
          <w:tcPr>
            <w:tcW w:w="1180" w:type="dxa"/>
            <w:vAlign w:val="bottom"/>
            <w:gridSpan w:val="2"/>
          </w:tcPr>
          <w:p>
            <w:pPr>
              <w:jc w:val="center"/>
              <w:ind w:right="38"/>
              <w:spacing w:after="0"/>
              <w:rPr>
                <w:sz w:val="20"/>
                <w:szCs w:val="20"/>
                <w:color w:val="auto"/>
              </w:rPr>
            </w:pPr>
            <w:r>
              <w:rPr>
                <w:rFonts w:ascii="Arial" w:cs="Arial" w:eastAsia="Arial" w:hAnsi="Arial"/>
                <w:sz w:val="11"/>
                <w:szCs w:val="11"/>
                <w:b w:val="1"/>
                <w:bCs w:val="1"/>
                <w:color w:val="auto"/>
                <w:w w:val="98"/>
              </w:rPr>
              <w:t>ROLE</w:t>
            </w:r>
          </w:p>
        </w:tc>
        <w:tc>
          <w:tcPr>
            <w:tcW w:w="1660" w:type="dxa"/>
            <w:vAlign w:val="bottom"/>
          </w:tcPr>
          <w:p>
            <w:pPr>
              <w:jc w:val="center"/>
              <w:ind w:right="141"/>
              <w:spacing w:after="0"/>
              <w:rPr>
                <w:sz w:val="20"/>
                <w:szCs w:val="20"/>
                <w:color w:val="auto"/>
              </w:rPr>
            </w:pPr>
            <w:r>
              <w:rPr>
                <w:rFonts w:ascii="Arial" w:cs="Arial" w:eastAsia="Arial" w:hAnsi="Arial"/>
                <w:sz w:val="11"/>
                <w:szCs w:val="11"/>
                <w:b w:val="1"/>
                <w:bCs w:val="1"/>
                <w:color w:val="auto"/>
                <w:w w:val="90"/>
              </w:rPr>
              <w:t>RETAINER</w:t>
            </w:r>
            <w:r>
              <w:rPr>
                <w:rFonts w:ascii="Arial" w:cs="Arial" w:eastAsia="Arial" w:hAnsi="Arial"/>
                <w:sz w:val="15"/>
                <w:szCs w:val="15"/>
                <w:b w:val="1"/>
                <w:bCs w:val="1"/>
                <w:color w:val="auto"/>
                <w:w w:val="90"/>
                <w:vertAlign w:val="superscript"/>
              </w:rPr>
              <w:t>(1)</w:t>
            </w:r>
          </w:p>
        </w:tc>
        <w:tc>
          <w:tcPr>
            <w:tcW w:w="2040" w:type="dxa"/>
            <w:vAlign w:val="bottom"/>
          </w:tcPr>
          <w:p>
            <w:pPr>
              <w:jc w:val="center"/>
              <w:ind w:left="27"/>
              <w:spacing w:after="0" w:line="173" w:lineRule="exact"/>
              <w:rPr>
                <w:sz w:val="20"/>
                <w:szCs w:val="20"/>
                <w:color w:val="auto"/>
              </w:rPr>
            </w:pPr>
            <w:r>
              <w:rPr>
                <w:rFonts w:ascii="Arial" w:cs="Arial" w:eastAsia="Arial" w:hAnsi="Arial"/>
                <w:sz w:val="20"/>
                <w:szCs w:val="20"/>
                <w:b w:val="1"/>
                <w:bCs w:val="1"/>
                <w:color w:val="auto"/>
                <w:w w:val="83"/>
                <w:vertAlign w:val="subscript"/>
              </w:rPr>
              <w:t>GRANT</w:t>
            </w:r>
            <w:r>
              <w:rPr>
                <w:rFonts w:ascii="Arial" w:cs="Arial" w:eastAsia="Arial" w:hAnsi="Arial"/>
                <w:sz w:val="8"/>
                <w:szCs w:val="8"/>
                <w:b w:val="1"/>
                <w:bCs w:val="1"/>
                <w:color w:val="auto"/>
                <w:w w:val="83"/>
              </w:rPr>
              <w:t>(2)(3)</w:t>
            </w:r>
          </w:p>
        </w:tc>
        <w:tc>
          <w:tcPr>
            <w:tcW w:w="1800" w:type="dxa"/>
            <w:vAlign w:val="bottom"/>
          </w:tcPr>
          <w:p>
            <w:pPr>
              <w:jc w:val="center"/>
              <w:ind w:left="147"/>
              <w:spacing w:after="0" w:line="173" w:lineRule="exact"/>
              <w:rPr>
                <w:sz w:val="20"/>
                <w:szCs w:val="20"/>
                <w:color w:val="auto"/>
              </w:rPr>
            </w:pPr>
            <w:r>
              <w:rPr>
                <w:rFonts w:ascii="Arial" w:cs="Arial" w:eastAsia="Arial" w:hAnsi="Arial"/>
                <w:sz w:val="20"/>
                <w:szCs w:val="20"/>
                <w:b w:val="1"/>
                <w:bCs w:val="1"/>
                <w:color w:val="auto"/>
                <w:w w:val="83"/>
                <w:vertAlign w:val="subscript"/>
              </w:rPr>
              <w:t>GRANT</w:t>
            </w:r>
            <w:r>
              <w:rPr>
                <w:rFonts w:ascii="Arial" w:cs="Arial" w:eastAsia="Arial" w:hAnsi="Arial"/>
                <w:sz w:val="8"/>
                <w:szCs w:val="8"/>
                <w:b w:val="1"/>
                <w:bCs w:val="1"/>
                <w:color w:val="auto"/>
                <w:w w:val="83"/>
              </w:rPr>
              <w:t>(3)(4)</w:t>
            </w:r>
          </w:p>
        </w:tc>
      </w:tr>
      <w:tr>
        <w:trPr>
          <w:trHeight w:val="172"/>
        </w:trPr>
        <w:tc>
          <w:tcPr>
            <w:tcW w:w="2520" w:type="dxa"/>
            <w:vAlign w:val="bottom"/>
            <w:shd w:val="clear" w:color="auto" w:fill="E8F4FF"/>
          </w:tcPr>
          <w:p>
            <w:pPr>
              <w:spacing w:after="0"/>
              <w:rPr>
                <w:sz w:val="20"/>
                <w:szCs w:val="20"/>
                <w:color w:val="auto"/>
              </w:rPr>
            </w:pPr>
            <w:r>
              <w:rPr>
                <w:rFonts w:ascii="Arial" w:cs="Arial" w:eastAsia="Arial" w:hAnsi="Arial"/>
                <w:sz w:val="12"/>
                <w:szCs w:val="12"/>
                <w:b w:val="1"/>
                <w:bCs w:val="1"/>
                <w:color w:val="2393FF"/>
              </w:rPr>
              <w:t>  Board of Directors</w:t>
            </w:r>
          </w:p>
        </w:tc>
        <w:tc>
          <w:tcPr>
            <w:tcW w:w="780" w:type="dxa"/>
            <w:vAlign w:val="bottom"/>
            <w:shd w:val="clear" w:color="auto" w:fill="E8F4FF"/>
          </w:tcPr>
          <w:p>
            <w:pPr>
              <w:jc w:val="center"/>
              <w:ind w:left="261"/>
              <w:spacing w:after="0"/>
              <w:rPr>
                <w:sz w:val="20"/>
                <w:szCs w:val="20"/>
                <w:color w:val="auto"/>
              </w:rPr>
            </w:pPr>
            <w:r>
              <w:rPr>
                <w:rFonts w:ascii="Arial" w:cs="Arial" w:eastAsia="Arial" w:hAnsi="Arial"/>
                <w:sz w:val="12"/>
                <w:szCs w:val="12"/>
                <w:color w:val="auto"/>
                <w:w w:val="99"/>
              </w:rPr>
              <w:t>Director</w:t>
            </w:r>
          </w:p>
        </w:tc>
        <w:tc>
          <w:tcPr>
            <w:tcW w:w="400" w:type="dxa"/>
            <w:vAlign w:val="bottom"/>
            <w:shd w:val="clear" w:color="auto" w:fill="E8F4FF"/>
          </w:tcPr>
          <w:p>
            <w:pPr>
              <w:spacing w:after="0"/>
              <w:rPr>
                <w:sz w:val="14"/>
                <w:szCs w:val="14"/>
                <w:color w:val="auto"/>
              </w:rPr>
            </w:pPr>
          </w:p>
        </w:tc>
        <w:tc>
          <w:tcPr>
            <w:tcW w:w="1660" w:type="dxa"/>
            <w:vAlign w:val="bottom"/>
            <w:shd w:val="clear" w:color="auto" w:fill="E8F4FF"/>
          </w:tcPr>
          <w:p>
            <w:pPr>
              <w:jc w:val="center"/>
              <w:ind w:right="141"/>
              <w:spacing w:after="0"/>
              <w:rPr>
                <w:sz w:val="20"/>
                <w:szCs w:val="20"/>
                <w:color w:val="auto"/>
              </w:rPr>
            </w:pPr>
            <w:r>
              <w:rPr>
                <w:rFonts w:ascii="Arial" w:cs="Arial" w:eastAsia="Arial" w:hAnsi="Arial"/>
                <w:sz w:val="12"/>
                <w:szCs w:val="12"/>
                <w:color w:val="auto"/>
                <w:w w:val="96"/>
              </w:rPr>
              <w:t>$35,000</w:t>
            </w:r>
          </w:p>
        </w:tc>
        <w:tc>
          <w:tcPr>
            <w:tcW w:w="2040" w:type="dxa"/>
            <w:vAlign w:val="bottom"/>
            <w:shd w:val="clear" w:color="auto" w:fill="E8F4FF"/>
          </w:tcPr>
          <w:p>
            <w:pPr>
              <w:jc w:val="center"/>
              <w:ind w:left="27"/>
              <w:spacing w:after="0"/>
              <w:rPr>
                <w:sz w:val="20"/>
                <w:szCs w:val="20"/>
                <w:color w:val="auto"/>
              </w:rPr>
            </w:pPr>
            <w:r>
              <w:rPr>
                <w:rFonts w:ascii="Arial" w:cs="Arial" w:eastAsia="Arial" w:hAnsi="Arial"/>
                <w:sz w:val="12"/>
                <w:szCs w:val="12"/>
                <w:color w:val="auto"/>
                <w:w w:val="99"/>
              </w:rPr>
              <w:t>Restricted Stock Unit</w:t>
            </w:r>
          </w:p>
        </w:tc>
        <w:tc>
          <w:tcPr>
            <w:tcW w:w="1800" w:type="dxa"/>
            <w:vAlign w:val="bottom"/>
            <w:shd w:val="clear" w:color="auto" w:fill="E8F4FF"/>
          </w:tcPr>
          <w:p>
            <w:pPr>
              <w:jc w:val="center"/>
              <w:ind w:left="147"/>
              <w:spacing w:after="0"/>
              <w:rPr>
                <w:sz w:val="20"/>
                <w:szCs w:val="20"/>
                <w:color w:val="auto"/>
              </w:rPr>
            </w:pPr>
            <w:r>
              <w:rPr>
                <w:rFonts w:ascii="Arial" w:cs="Arial" w:eastAsia="Arial" w:hAnsi="Arial"/>
                <w:sz w:val="12"/>
                <w:szCs w:val="12"/>
                <w:color w:val="auto"/>
                <w:w w:val="99"/>
              </w:rPr>
              <w:t>Restricted Stock Unit</w:t>
            </w:r>
          </w:p>
        </w:tc>
      </w:tr>
      <w:tr>
        <w:trPr>
          <w:trHeight w:val="143"/>
        </w:trPr>
        <w:tc>
          <w:tcPr>
            <w:tcW w:w="2520" w:type="dxa"/>
            <w:vAlign w:val="bottom"/>
            <w:shd w:val="clear" w:color="auto" w:fill="E8F4FF"/>
          </w:tcPr>
          <w:p>
            <w:pPr>
              <w:spacing w:after="0"/>
              <w:rPr>
                <w:sz w:val="12"/>
                <w:szCs w:val="12"/>
                <w:color w:val="auto"/>
              </w:rPr>
            </w:pPr>
          </w:p>
        </w:tc>
        <w:tc>
          <w:tcPr>
            <w:tcW w:w="780" w:type="dxa"/>
            <w:vAlign w:val="bottom"/>
            <w:shd w:val="clear" w:color="auto" w:fill="E8F4FF"/>
          </w:tcPr>
          <w:p>
            <w:pPr>
              <w:spacing w:after="0"/>
              <w:rPr>
                <w:sz w:val="12"/>
                <w:szCs w:val="12"/>
                <w:color w:val="auto"/>
              </w:rPr>
            </w:pPr>
          </w:p>
        </w:tc>
        <w:tc>
          <w:tcPr>
            <w:tcW w:w="400" w:type="dxa"/>
            <w:vAlign w:val="bottom"/>
            <w:shd w:val="clear" w:color="auto" w:fill="E8F4FF"/>
          </w:tcPr>
          <w:p>
            <w:pPr>
              <w:spacing w:after="0"/>
              <w:rPr>
                <w:sz w:val="12"/>
                <w:szCs w:val="12"/>
                <w:color w:val="auto"/>
              </w:rPr>
            </w:pPr>
          </w:p>
        </w:tc>
        <w:tc>
          <w:tcPr>
            <w:tcW w:w="1660" w:type="dxa"/>
            <w:vAlign w:val="bottom"/>
            <w:shd w:val="clear" w:color="auto" w:fill="E8F4FF"/>
          </w:tcPr>
          <w:p>
            <w:pPr>
              <w:spacing w:after="0"/>
              <w:rPr>
                <w:sz w:val="12"/>
                <w:szCs w:val="12"/>
                <w:color w:val="auto"/>
              </w:rPr>
            </w:pPr>
          </w:p>
        </w:tc>
        <w:tc>
          <w:tcPr>
            <w:tcW w:w="2040" w:type="dxa"/>
            <w:vAlign w:val="bottom"/>
            <w:shd w:val="clear" w:color="auto" w:fill="E8F4FF"/>
          </w:tcPr>
          <w:p>
            <w:pPr>
              <w:jc w:val="center"/>
              <w:ind w:left="27"/>
              <w:spacing w:after="0"/>
              <w:rPr>
                <w:sz w:val="20"/>
                <w:szCs w:val="20"/>
                <w:color w:val="auto"/>
              </w:rPr>
            </w:pPr>
            <w:r>
              <w:rPr>
                <w:rFonts w:ascii="Arial" w:cs="Arial" w:eastAsia="Arial" w:hAnsi="Arial"/>
                <w:sz w:val="12"/>
                <w:szCs w:val="12"/>
                <w:color w:val="auto"/>
              </w:rPr>
              <w:t>Award valued at $350,000</w:t>
            </w:r>
          </w:p>
        </w:tc>
        <w:tc>
          <w:tcPr>
            <w:tcW w:w="1800" w:type="dxa"/>
            <w:vAlign w:val="bottom"/>
            <w:shd w:val="clear" w:color="auto" w:fill="E8F4FF"/>
          </w:tcPr>
          <w:p>
            <w:pPr>
              <w:jc w:val="center"/>
              <w:ind w:left="147"/>
              <w:spacing w:after="0"/>
              <w:rPr>
                <w:sz w:val="20"/>
                <w:szCs w:val="20"/>
                <w:color w:val="auto"/>
              </w:rPr>
            </w:pPr>
            <w:r>
              <w:rPr>
                <w:rFonts w:ascii="Arial" w:cs="Arial" w:eastAsia="Arial" w:hAnsi="Arial"/>
                <w:sz w:val="12"/>
                <w:szCs w:val="12"/>
                <w:color w:val="auto"/>
              </w:rPr>
              <w:t>Award valued at $175,000</w:t>
            </w:r>
          </w:p>
        </w:tc>
      </w:tr>
      <w:tr>
        <w:trPr>
          <w:trHeight w:val="250"/>
        </w:trPr>
        <w:tc>
          <w:tcPr>
            <w:tcW w:w="2520" w:type="dxa"/>
            <w:vAlign w:val="bottom"/>
            <w:tcBorders>
              <w:bottom w:val="single" w:sz="8" w:color="E8F4FF"/>
            </w:tcBorders>
            <w:shd w:val="clear" w:color="auto" w:fill="E8F4FF"/>
          </w:tcPr>
          <w:p>
            <w:pPr>
              <w:spacing w:after="0"/>
              <w:rPr>
                <w:sz w:val="21"/>
                <w:szCs w:val="21"/>
                <w:color w:val="auto"/>
              </w:rPr>
            </w:pPr>
          </w:p>
        </w:tc>
        <w:tc>
          <w:tcPr>
            <w:tcW w:w="780" w:type="dxa"/>
            <w:vAlign w:val="bottom"/>
            <w:tcBorders>
              <w:bottom w:val="single" w:sz="8" w:color="E8F4FF"/>
            </w:tcBorders>
            <w:shd w:val="clear" w:color="auto" w:fill="E8F4FF"/>
          </w:tcPr>
          <w:p>
            <w:pPr>
              <w:jc w:val="center"/>
              <w:ind w:left="261"/>
              <w:spacing w:after="0"/>
              <w:rPr>
                <w:sz w:val="20"/>
                <w:szCs w:val="20"/>
                <w:color w:val="auto"/>
              </w:rPr>
            </w:pPr>
            <w:r>
              <w:rPr>
                <w:rFonts w:ascii="Arial" w:cs="Arial" w:eastAsia="Arial" w:hAnsi="Arial"/>
                <w:sz w:val="12"/>
                <w:szCs w:val="12"/>
                <w:color w:val="auto"/>
              </w:rPr>
              <w:t>Chair</w:t>
            </w:r>
          </w:p>
        </w:tc>
        <w:tc>
          <w:tcPr>
            <w:tcW w:w="400" w:type="dxa"/>
            <w:vAlign w:val="bottom"/>
            <w:tcBorders>
              <w:bottom w:val="single" w:sz="8" w:color="E8F4FF"/>
            </w:tcBorders>
            <w:shd w:val="clear" w:color="auto" w:fill="E8F4FF"/>
          </w:tcPr>
          <w:p>
            <w:pPr>
              <w:spacing w:after="0"/>
              <w:rPr>
                <w:sz w:val="21"/>
                <w:szCs w:val="21"/>
                <w:color w:val="auto"/>
              </w:rPr>
            </w:pPr>
          </w:p>
        </w:tc>
        <w:tc>
          <w:tcPr>
            <w:tcW w:w="1660" w:type="dxa"/>
            <w:vAlign w:val="bottom"/>
            <w:tcBorders>
              <w:bottom w:val="single" w:sz="8" w:color="E8F4FF"/>
            </w:tcBorders>
            <w:shd w:val="clear" w:color="auto" w:fill="E8F4FF"/>
          </w:tcPr>
          <w:p>
            <w:pPr>
              <w:jc w:val="center"/>
              <w:ind w:right="141"/>
              <w:spacing w:after="0"/>
              <w:rPr>
                <w:sz w:val="20"/>
                <w:szCs w:val="20"/>
                <w:color w:val="auto"/>
              </w:rPr>
            </w:pPr>
            <w:r>
              <w:rPr>
                <w:rFonts w:ascii="Arial" w:cs="Arial" w:eastAsia="Arial" w:hAnsi="Arial"/>
                <w:sz w:val="12"/>
                <w:szCs w:val="12"/>
                <w:color w:val="auto"/>
                <w:w w:val="96"/>
              </w:rPr>
              <w:t>$65,000</w:t>
            </w:r>
          </w:p>
        </w:tc>
        <w:tc>
          <w:tcPr>
            <w:tcW w:w="2040" w:type="dxa"/>
            <w:vAlign w:val="bottom"/>
            <w:tcBorders>
              <w:bottom w:val="single" w:sz="8" w:color="E8F4FF"/>
            </w:tcBorders>
            <w:shd w:val="clear" w:color="auto" w:fill="E8F4FF"/>
          </w:tcPr>
          <w:p>
            <w:pPr>
              <w:spacing w:after="0"/>
              <w:rPr>
                <w:sz w:val="21"/>
                <w:szCs w:val="21"/>
                <w:color w:val="auto"/>
              </w:rPr>
            </w:pPr>
          </w:p>
        </w:tc>
        <w:tc>
          <w:tcPr>
            <w:tcW w:w="1800" w:type="dxa"/>
            <w:vAlign w:val="bottom"/>
            <w:tcBorders>
              <w:bottom w:val="single" w:sz="8" w:color="E8F4FF"/>
            </w:tcBorders>
            <w:shd w:val="clear" w:color="auto" w:fill="E8F4FF"/>
          </w:tcPr>
          <w:p>
            <w:pPr>
              <w:spacing w:after="0"/>
              <w:rPr>
                <w:sz w:val="21"/>
                <w:szCs w:val="21"/>
                <w:color w:val="auto"/>
              </w:rPr>
            </w:pPr>
          </w:p>
        </w:tc>
      </w:tr>
      <w:tr>
        <w:trPr>
          <w:trHeight w:val="202"/>
        </w:trPr>
        <w:tc>
          <w:tcPr>
            <w:tcW w:w="2520" w:type="dxa"/>
            <w:vAlign w:val="bottom"/>
          </w:tcPr>
          <w:p>
            <w:pPr>
              <w:spacing w:after="0"/>
              <w:rPr>
                <w:sz w:val="20"/>
                <w:szCs w:val="20"/>
                <w:color w:val="auto"/>
              </w:rPr>
            </w:pPr>
            <w:r>
              <w:rPr>
                <w:rFonts w:ascii="Arial" w:cs="Arial" w:eastAsia="Arial" w:hAnsi="Arial"/>
                <w:sz w:val="12"/>
                <w:szCs w:val="12"/>
                <w:b w:val="1"/>
                <w:bCs w:val="1"/>
                <w:color w:val="2393FF"/>
              </w:rPr>
              <w:t>  Audit Committee</w:t>
            </w:r>
          </w:p>
        </w:tc>
        <w:tc>
          <w:tcPr>
            <w:tcW w:w="1180" w:type="dxa"/>
            <w:vAlign w:val="bottom"/>
            <w:gridSpan w:val="2"/>
          </w:tcPr>
          <w:p>
            <w:pPr>
              <w:jc w:val="center"/>
              <w:ind w:right="38"/>
              <w:spacing w:after="0"/>
              <w:rPr>
                <w:sz w:val="20"/>
                <w:szCs w:val="20"/>
                <w:color w:val="auto"/>
              </w:rPr>
            </w:pPr>
            <w:r>
              <w:rPr>
                <w:rFonts w:ascii="Arial" w:cs="Arial" w:eastAsia="Arial" w:hAnsi="Arial"/>
                <w:sz w:val="12"/>
                <w:szCs w:val="12"/>
                <w:color w:val="auto"/>
              </w:rPr>
              <w:t>Chair</w:t>
            </w:r>
          </w:p>
        </w:tc>
        <w:tc>
          <w:tcPr>
            <w:tcW w:w="1660" w:type="dxa"/>
            <w:vAlign w:val="bottom"/>
          </w:tcPr>
          <w:p>
            <w:pPr>
              <w:jc w:val="center"/>
              <w:ind w:right="141"/>
              <w:spacing w:after="0"/>
              <w:rPr>
                <w:sz w:val="20"/>
                <w:szCs w:val="20"/>
                <w:color w:val="auto"/>
              </w:rPr>
            </w:pPr>
            <w:r>
              <w:rPr>
                <w:rFonts w:ascii="Arial" w:cs="Arial" w:eastAsia="Arial" w:hAnsi="Arial"/>
                <w:sz w:val="12"/>
                <w:szCs w:val="12"/>
                <w:color w:val="auto"/>
                <w:w w:val="96"/>
              </w:rPr>
              <w:t>$20,000</w:t>
            </w:r>
          </w:p>
        </w:tc>
        <w:tc>
          <w:tcPr>
            <w:tcW w:w="20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76"/>
        </w:trPr>
        <w:tc>
          <w:tcPr>
            <w:tcW w:w="2520" w:type="dxa"/>
            <w:vAlign w:val="bottom"/>
          </w:tcPr>
          <w:p>
            <w:pPr>
              <w:spacing w:after="0"/>
              <w:rPr>
                <w:sz w:val="23"/>
                <w:szCs w:val="23"/>
                <w:color w:val="auto"/>
              </w:rPr>
            </w:pPr>
          </w:p>
        </w:tc>
        <w:tc>
          <w:tcPr>
            <w:tcW w:w="1180" w:type="dxa"/>
            <w:vAlign w:val="bottom"/>
            <w:gridSpan w:val="2"/>
          </w:tcPr>
          <w:p>
            <w:pPr>
              <w:jc w:val="center"/>
              <w:ind w:right="38"/>
              <w:spacing w:after="0"/>
              <w:rPr>
                <w:sz w:val="20"/>
                <w:szCs w:val="20"/>
                <w:color w:val="auto"/>
              </w:rPr>
            </w:pPr>
            <w:r>
              <w:rPr>
                <w:rFonts w:ascii="Arial" w:cs="Arial" w:eastAsia="Arial" w:hAnsi="Arial"/>
                <w:sz w:val="12"/>
                <w:szCs w:val="12"/>
                <w:color w:val="auto"/>
                <w:w w:val="99"/>
              </w:rPr>
              <w:t>Other</w:t>
            </w:r>
          </w:p>
        </w:tc>
        <w:tc>
          <w:tcPr>
            <w:tcW w:w="1660" w:type="dxa"/>
            <w:vAlign w:val="bottom"/>
          </w:tcPr>
          <w:p>
            <w:pPr>
              <w:jc w:val="center"/>
              <w:ind w:right="141"/>
              <w:spacing w:after="0"/>
              <w:rPr>
                <w:sz w:val="20"/>
                <w:szCs w:val="20"/>
                <w:color w:val="auto"/>
              </w:rPr>
            </w:pPr>
            <w:r>
              <w:rPr>
                <w:rFonts w:ascii="Arial" w:cs="Arial" w:eastAsia="Arial" w:hAnsi="Arial"/>
                <w:sz w:val="12"/>
                <w:szCs w:val="12"/>
                <w:color w:val="auto"/>
                <w:w w:val="96"/>
              </w:rPr>
              <w:t>$10,000</w:t>
            </w:r>
          </w:p>
        </w:tc>
        <w:tc>
          <w:tcPr>
            <w:tcW w:w="20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2520" w:type="dxa"/>
            <w:vAlign w:val="bottom"/>
          </w:tcPr>
          <w:p>
            <w:pPr>
              <w:spacing w:after="0"/>
              <w:rPr>
                <w:sz w:val="23"/>
                <w:szCs w:val="23"/>
                <w:color w:val="auto"/>
              </w:rPr>
            </w:pPr>
          </w:p>
        </w:tc>
        <w:tc>
          <w:tcPr>
            <w:tcW w:w="1180" w:type="dxa"/>
            <w:vAlign w:val="bottom"/>
            <w:gridSpan w:val="2"/>
          </w:tcPr>
          <w:p>
            <w:pPr>
              <w:jc w:val="center"/>
              <w:ind w:right="18"/>
              <w:spacing w:after="0"/>
              <w:rPr>
                <w:sz w:val="20"/>
                <w:szCs w:val="20"/>
                <w:color w:val="auto"/>
              </w:rPr>
            </w:pPr>
            <w:r>
              <w:rPr>
                <w:rFonts w:ascii="Arial" w:cs="Arial" w:eastAsia="Arial" w:hAnsi="Arial"/>
                <w:sz w:val="12"/>
                <w:szCs w:val="12"/>
                <w:color w:val="auto"/>
                <w:w w:val="99"/>
              </w:rPr>
              <w:t>Member</w:t>
            </w:r>
          </w:p>
        </w:tc>
        <w:tc>
          <w:tcPr>
            <w:tcW w:w="16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0"/>
        </w:trPr>
        <w:tc>
          <w:tcPr>
            <w:tcW w:w="25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80"/>
        </w:trPr>
        <w:tc>
          <w:tcPr>
            <w:tcW w:w="2520" w:type="dxa"/>
            <w:vAlign w:val="bottom"/>
            <w:shd w:val="clear" w:color="auto" w:fill="E8F4FF"/>
          </w:tcPr>
          <w:p>
            <w:pPr>
              <w:spacing w:after="0"/>
              <w:rPr>
                <w:sz w:val="20"/>
                <w:szCs w:val="20"/>
                <w:color w:val="auto"/>
              </w:rPr>
            </w:pPr>
            <w:r>
              <w:rPr>
                <w:rFonts w:ascii="Arial" w:cs="Arial" w:eastAsia="Arial" w:hAnsi="Arial"/>
                <w:sz w:val="12"/>
                <w:szCs w:val="12"/>
                <w:b w:val="1"/>
                <w:bCs w:val="1"/>
                <w:color w:val="2393FF"/>
              </w:rPr>
              <w:t>  People &amp; Compensation   Committee</w:t>
            </w:r>
          </w:p>
        </w:tc>
        <w:tc>
          <w:tcPr>
            <w:tcW w:w="780" w:type="dxa"/>
            <w:vAlign w:val="bottom"/>
            <w:shd w:val="clear" w:color="auto" w:fill="E8F4FF"/>
          </w:tcPr>
          <w:p>
            <w:pPr>
              <w:jc w:val="center"/>
              <w:ind w:left="261"/>
              <w:spacing w:after="0"/>
              <w:rPr>
                <w:sz w:val="20"/>
                <w:szCs w:val="20"/>
                <w:color w:val="auto"/>
              </w:rPr>
            </w:pPr>
            <w:r>
              <w:rPr>
                <w:rFonts w:ascii="Arial" w:cs="Arial" w:eastAsia="Arial" w:hAnsi="Arial"/>
                <w:sz w:val="12"/>
                <w:szCs w:val="12"/>
                <w:color w:val="auto"/>
              </w:rPr>
              <w:t>Chair</w:t>
            </w:r>
          </w:p>
        </w:tc>
        <w:tc>
          <w:tcPr>
            <w:tcW w:w="400" w:type="dxa"/>
            <w:vAlign w:val="bottom"/>
            <w:shd w:val="clear" w:color="auto" w:fill="E8F4FF"/>
          </w:tcPr>
          <w:p>
            <w:pPr>
              <w:spacing w:after="0"/>
              <w:rPr>
                <w:sz w:val="15"/>
                <w:szCs w:val="15"/>
                <w:color w:val="auto"/>
              </w:rPr>
            </w:pPr>
          </w:p>
        </w:tc>
        <w:tc>
          <w:tcPr>
            <w:tcW w:w="1660" w:type="dxa"/>
            <w:vAlign w:val="bottom"/>
            <w:shd w:val="clear" w:color="auto" w:fill="E8F4FF"/>
          </w:tcPr>
          <w:p>
            <w:pPr>
              <w:jc w:val="center"/>
              <w:ind w:right="141"/>
              <w:spacing w:after="0"/>
              <w:rPr>
                <w:sz w:val="20"/>
                <w:szCs w:val="20"/>
                <w:color w:val="auto"/>
              </w:rPr>
            </w:pPr>
            <w:r>
              <w:rPr>
                <w:rFonts w:ascii="Arial" w:cs="Arial" w:eastAsia="Arial" w:hAnsi="Arial"/>
                <w:sz w:val="12"/>
                <w:szCs w:val="12"/>
                <w:color w:val="auto"/>
                <w:w w:val="96"/>
              </w:rPr>
              <w:t>$12,000</w:t>
            </w:r>
          </w:p>
        </w:tc>
        <w:tc>
          <w:tcPr>
            <w:tcW w:w="2040" w:type="dxa"/>
            <w:vAlign w:val="bottom"/>
            <w:shd w:val="clear" w:color="auto" w:fill="E8F4FF"/>
          </w:tcPr>
          <w:p>
            <w:pPr>
              <w:spacing w:after="0"/>
              <w:rPr>
                <w:sz w:val="15"/>
                <w:szCs w:val="15"/>
                <w:color w:val="auto"/>
              </w:rPr>
            </w:pPr>
          </w:p>
        </w:tc>
        <w:tc>
          <w:tcPr>
            <w:tcW w:w="1800" w:type="dxa"/>
            <w:vAlign w:val="bottom"/>
            <w:shd w:val="clear" w:color="auto" w:fill="E8F4FF"/>
          </w:tcPr>
          <w:p>
            <w:pPr>
              <w:spacing w:after="0"/>
              <w:rPr>
                <w:sz w:val="15"/>
                <w:szCs w:val="15"/>
                <w:color w:val="auto"/>
              </w:rPr>
            </w:pPr>
          </w:p>
        </w:tc>
      </w:tr>
      <w:tr>
        <w:trPr>
          <w:trHeight w:val="196"/>
        </w:trPr>
        <w:tc>
          <w:tcPr>
            <w:tcW w:w="2520" w:type="dxa"/>
            <w:vAlign w:val="bottom"/>
            <w:shd w:val="clear" w:color="auto" w:fill="E8F4FF"/>
          </w:tcPr>
          <w:p>
            <w:pPr>
              <w:spacing w:after="0"/>
              <w:rPr>
                <w:sz w:val="17"/>
                <w:szCs w:val="17"/>
                <w:color w:val="auto"/>
              </w:rPr>
            </w:pPr>
          </w:p>
        </w:tc>
        <w:tc>
          <w:tcPr>
            <w:tcW w:w="780" w:type="dxa"/>
            <w:vAlign w:val="bottom"/>
            <w:shd w:val="clear" w:color="auto" w:fill="E8F4FF"/>
          </w:tcPr>
          <w:p>
            <w:pPr>
              <w:jc w:val="center"/>
              <w:ind w:left="261"/>
              <w:spacing w:after="0"/>
              <w:rPr>
                <w:sz w:val="20"/>
                <w:szCs w:val="20"/>
                <w:color w:val="auto"/>
              </w:rPr>
            </w:pPr>
            <w:r>
              <w:rPr>
                <w:rFonts w:ascii="Arial" w:cs="Arial" w:eastAsia="Arial" w:hAnsi="Arial"/>
                <w:sz w:val="12"/>
                <w:szCs w:val="12"/>
                <w:color w:val="auto"/>
                <w:w w:val="99"/>
              </w:rPr>
              <w:t>Other</w:t>
            </w:r>
          </w:p>
        </w:tc>
        <w:tc>
          <w:tcPr>
            <w:tcW w:w="400" w:type="dxa"/>
            <w:vAlign w:val="bottom"/>
            <w:shd w:val="clear" w:color="auto" w:fill="E8F4FF"/>
          </w:tcPr>
          <w:p>
            <w:pPr>
              <w:spacing w:after="0"/>
              <w:rPr>
                <w:sz w:val="17"/>
                <w:szCs w:val="17"/>
                <w:color w:val="auto"/>
              </w:rPr>
            </w:pPr>
          </w:p>
        </w:tc>
        <w:tc>
          <w:tcPr>
            <w:tcW w:w="1660" w:type="dxa"/>
            <w:vAlign w:val="bottom"/>
            <w:shd w:val="clear" w:color="auto" w:fill="E8F4FF"/>
          </w:tcPr>
          <w:p>
            <w:pPr>
              <w:jc w:val="center"/>
              <w:ind w:right="141"/>
              <w:spacing w:after="0"/>
              <w:rPr>
                <w:sz w:val="20"/>
                <w:szCs w:val="20"/>
                <w:color w:val="auto"/>
              </w:rPr>
            </w:pPr>
            <w:r>
              <w:rPr>
                <w:rFonts w:ascii="Arial" w:cs="Arial" w:eastAsia="Arial" w:hAnsi="Arial"/>
                <w:sz w:val="12"/>
                <w:szCs w:val="12"/>
                <w:color w:val="auto"/>
              </w:rPr>
              <w:t>$6,000</w:t>
            </w:r>
          </w:p>
        </w:tc>
        <w:tc>
          <w:tcPr>
            <w:tcW w:w="2040" w:type="dxa"/>
            <w:vAlign w:val="bottom"/>
            <w:shd w:val="clear" w:color="auto" w:fill="E8F4FF"/>
          </w:tcPr>
          <w:p>
            <w:pPr>
              <w:spacing w:after="0"/>
              <w:rPr>
                <w:sz w:val="17"/>
                <w:szCs w:val="17"/>
                <w:color w:val="auto"/>
              </w:rPr>
            </w:pPr>
          </w:p>
        </w:tc>
        <w:tc>
          <w:tcPr>
            <w:tcW w:w="1800" w:type="dxa"/>
            <w:vAlign w:val="bottom"/>
            <w:shd w:val="clear" w:color="auto" w:fill="E8F4FF"/>
          </w:tcPr>
          <w:p>
            <w:pPr>
              <w:spacing w:after="0"/>
              <w:rPr>
                <w:sz w:val="17"/>
                <w:szCs w:val="17"/>
                <w:color w:val="auto"/>
              </w:rPr>
            </w:pPr>
          </w:p>
        </w:tc>
      </w:tr>
      <w:tr>
        <w:trPr>
          <w:trHeight w:val="280"/>
        </w:trPr>
        <w:tc>
          <w:tcPr>
            <w:tcW w:w="2520" w:type="dxa"/>
            <w:vAlign w:val="bottom"/>
            <w:tcBorders>
              <w:bottom w:val="single" w:sz="8" w:color="E8F4FF"/>
            </w:tcBorders>
            <w:shd w:val="clear" w:color="auto" w:fill="E8F4FF"/>
          </w:tcPr>
          <w:p>
            <w:pPr>
              <w:spacing w:after="0"/>
              <w:rPr>
                <w:sz w:val="24"/>
                <w:szCs w:val="24"/>
                <w:color w:val="auto"/>
              </w:rPr>
            </w:pPr>
          </w:p>
        </w:tc>
        <w:tc>
          <w:tcPr>
            <w:tcW w:w="780" w:type="dxa"/>
            <w:vAlign w:val="bottom"/>
            <w:tcBorders>
              <w:bottom w:val="single" w:sz="8" w:color="E8F4FF"/>
            </w:tcBorders>
            <w:shd w:val="clear" w:color="auto" w:fill="E8F4FF"/>
          </w:tcPr>
          <w:p>
            <w:pPr>
              <w:jc w:val="center"/>
              <w:ind w:left="281"/>
              <w:spacing w:after="0"/>
              <w:rPr>
                <w:sz w:val="20"/>
                <w:szCs w:val="20"/>
                <w:color w:val="auto"/>
              </w:rPr>
            </w:pPr>
            <w:r>
              <w:rPr>
                <w:rFonts w:ascii="Arial" w:cs="Arial" w:eastAsia="Arial" w:hAnsi="Arial"/>
                <w:sz w:val="12"/>
                <w:szCs w:val="12"/>
                <w:color w:val="auto"/>
                <w:w w:val="99"/>
              </w:rPr>
              <w:t>Member</w:t>
            </w:r>
          </w:p>
        </w:tc>
        <w:tc>
          <w:tcPr>
            <w:tcW w:w="400" w:type="dxa"/>
            <w:vAlign w:val="bottom"/>
            <w:tcBorders>
              <w:bottom w:val="single" w:sz="8" w:color="E8F4FF"/>
            </w:tcBorders>
            <w:shd w:val="clear" w:color="auto" w:fill="E8F4FF"/>
          </w:tcPr>
          <w:p>
            <w:pPr>
              <w:spacing w:after="0"/>
              <w:rPr>
                <w:sz w:val="24"/>
                <w:szCs w:val="24"/>
                <w:color w:val="auto"/>
              </w:rPr>
            </w:pPr>
          </w:p>
        </w:tc>
        <w:tc>
          <w:tcPr>
            <w:tcW w:w="1660" w:type="dxa"/>
            <w:vAlign w:val="bottom"/>
            <w:tcBorders>
              <w:bottom w:val="single" w:sz="8" w:color="E8F4FF"/>
            </w:tcBorders>
            <w:shd w:val="clear" w:color="auto" w:fill="E8F4FF"/>
          </w:tcPr>
          <w:p>
            <w:pPr>
              <w:spacing w:after="0"/>
              <w:rPr>
                <w:sz w:val="24"/>
                <w:szCs w:val="24"/>
                <w:color w:val="auto"/>
              </w:rPr>
            </w:pPr>
          </w:p>
        </w:tc>
        <w:tc>
          <w:tcPr>
            <w:tcW w:w="2040" w:type="dxa"/>
            <w:vAlign w:val="bottom"/>
            <w:tcBorders>
              <w:bottom w:val="single" w:sz="8" w:color="E8F4FF"/>
            </w:tcBorders>
            <w:shd w:val="clear" w:color="auto" w:fill="E8F4FF"/>
          </w:tcPr>
          <w:p>
            <w:pPr>
              <w:spacing w:after="0"/>
              <w:rPr>
                <w:sz w:val="24"/>
                <w:szCs w:val="24"/>
                <w:color w:val="auto"/>
              </w:rPr>
            </w:pPr>
          </w:p>
        </w:tc>
        <w:tc>
          <w:tcPr>
            <w:tcW w:w="1800" w:type="dxa"/>
            <w:vAlign w:val="bottom"/>
            <w:tcBorders>
              <w:bottom w:val="single" w:sz="8" w:color="E8F4FF"/>
            </w:tcBorders>
            <w:shd w:val="clear" w:color="auto" w:fill="E8F4FF"/>
          </w:tcPr>
          <w:p>
            <w:pPr>
              <w:spacing w:after="0"/>
              <w:rPr>
                <w:sz w:val="24"/>
                <w:szCs w:val="24"/>
                <w:color w:val="auto"/>
              </w:rPr>
            </w:pPr>
          </w:p>
        </w:tc>
      </w:tr>
      <w:tr>
        <w:trPr>
          <w:trHeight w:val="172"/>
        </w:trPr>
        <w:tc>
          <w:tcPr>
            <w:tcW w:w="2520" w:type="dxa"/>
            <w:vAlign w:val="bottom"/>
          </w:tcPr>
          <w:p>
            <w:pPr>
              <w:spacing w:after="0"/>
              <w:rPr>
                <w:sz w:val="20"/>
                <w:szCs w:val="20"/>
                <w:color w:val="auto"/>
              </w:rPr>
            </w:pPr>
            <w:r>
              <w:rPr>
                <w:rFonts w:ascii="Arial" w:cs="Arial" w:eastAsia="Arial" w:hAnsi="Arial"/>
                <w:sz w:val="12"/>
                <w:szCs w:val="12"/>
                <w:b w:val="1"/>
                <w:bCs w:val="1"/>
                <w:color w:val="2393FF"/>
              </w:rPr>
              <w:t>  Nominating and Corporate</w:t>
            </w:r>
          </w:p>
        </w:tc>
        <w:tc>
          <w:tcPr>
            <w:tcW w:w="1180" w:type="dxa"/>
            <w:vAlign w:val="bottom"/>
            <w:gridSpan w:val="2"/>
          </w:tcPr>
          <w:p>
            <w:pPr>
              <w:jc w:val="center"/>
              <w:ind w:right="38"/>
              <w:spacing w:after="0"/>
              <w:rPr>
                <w:sz w:val="20"/>
                <w:szCs w:val="20"/>
                <w:color w:val="auto"/>
              </w:rPr>
            </w:pPr>
            <w:r>
              <w:rPr>
                <w:rFonts w:ascii="Arial" w:cs="Arial" w:eastAsia="Arial" w:hAnsi="Arial"/>
                <w:sz w:val="12"/>
                <w:szCs w:val="12"/>
                <w:color w:val="auto"/>
              </w:rPr>
              <w:t>Chair</w:t>
            </w:r>
          </w:p>
        </w:tc>
        <w:tc>
          <w:tcPr>
            <w:tcW w:w="1660" w:type="dxa"/>
            <w:vAlign w:val="bottom"/>
          </w:tcPr>
          <w:p>
            <w:pPr>
              <w:jc w:val="center"/>
              <w:ind w:right="141"/>
              <w:spacing w:after="0"/>
              <w:rPr>
                <w:sz w:val="20"/>
                <w:szCs w:val="20"/>
                <w:color w:val="auto"/>
              </w:rPr>
            </w:pPr>
            <w:r>
              <w:rPr>
                <w:rFonts w:ascii="Arial" w:cs="Arial" w:eastAsia="Arial" w:hAnsi="Arial"/>
                <w:sz w:val="12"/>
                <w:szCs w:val="12"/>
                <w:color w:val="auto"/>
              </w:rPr>
              <w:t>$8,000</w:t>
            </w:r>
          </w:p>
        </w:tc>
        <w:tc>
          <w:tcPr>
            <w:tcW w:w="20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5"/>
        </w:trPr>
        <w:tc>
          <w:tcPr>
            <w:tcW w:w="2520" w:type="dxa"/>
            <w:vAlign w:val="bottom"/>
          </w:tcPr>
          <w:p>
            <w:pPr>
              <w:spacing w:after="0"/>
              <w:rPr>
                <w:sz w:val="20"/>
                <w:szCs w:val="20"/>
                <w:color w:val="auto"/>
              </w:rPr>
            </w:pPr>
            <w:r>
              <w:rPr>
                <w:rFonts w:ascii="Arial" w:cs="Arial" w:eastAsia="Arial" w:hAnsi="Arial"/>
                <w:sz w:val="12"/>
                <w:szCs w:val="12"/>
                <w:b w:val="1"/>
                <w:bCs w:val="1"/>
                <w:color w:val="2393FF"/>
              </w:rPr>
              <w:t>  Governance Committee</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86"/>
        </w:trPr>
        <w:tc>
          <w:tcPr>
            <w:tcW w:w="2520" w:type="dxa"/>
            <w:vAlign w:val="bottom"/>
          </w:tcPr>
          <w:p>
            <w:pPr>
              <w:spacing w:after="0"/>
              <w:rPr>
                <w:sz w:val="16"/>
                <w:szCs w:val="16"/>
                <w:color w:val="auto"/>
              </w:rPr>
            </w:pPr>
          </w:p>
        </w:tc>
        <w:tc>
          <w:tcPr>
            <w:tcW w:w="1180" w:type="dxa"/>
            <w:vAlign w:val="bottom"/>
            <w:gridSpan w:val="2"/>
          </w:tcPr>
          <w:p>
            <w:pPr>
              <w:jc w:val="center"/>
              <w:ind w:right="38"/>
              <w:spacing w:after="0"/>
              <w:rPr>
                <w:sz w:val="20"/>
                <w:szCs w:val="20"/>
                <w:color w:val="auto"/>
              </w:rPr>
            </w:pPr>
            <w:r>
              <w:rPr>
                <w:rFonts w:ascii="Arial" w:cs="Arial" w:eastAsia="Arial" w:hAnsi="Arial"/>
                <w:sz w:val="12"/>
                <w:szCs w:val="12"/>
                <w:color w:val="auto"/>
                <w:w w:val="99"/>
              </w:rPr>
              <w:t>Other</w:t>
            </w:r>
          </w:p>
        </w:tc>
        <w:tc>
          <w:tcPr>
            <w:tcW w:w="1660" w:type="dxa"/>
            <w:vAlign w:val="bottom"/>
          </w:tcPr>
          <w:p>
            <w:pPr>
              <w:jc w:val="center"/>
              <w:ind w:right="141"/>
              <w:spacing w:after="0"/>
              <w:rPr>
                <w:sz w:val="20"/>
                <w:szCs w:val="20"/>
                <w:color w:val="auto"/>
              </w:rPr>
            </w:pPr>
            <w:r>
              <w:rPr>
                <w:rFonts w:ascii="Arial" w:cs="Arial" w:eastAsia="Arial" w:hAnsi="Arial"/>
                <w:sz w:val="12"/>
                <w:szCs w:val="12"/>
                <w:color w:val="auto"/>
              </w:rPr>
              <w:t>$4,000</w:t>
            </w:r>
          </w:p>
        </w:tc>
        <w:tc>
          <w:tcPr>
            <w:tcW w:w="204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112" w:lineRule="exact"/>
        <w:rPr>
          <w:sz w:val="20"/>
          <w:szCs w:val="20"/>
          <w:color w:val="auto"/>
        </w:rPr>
      </w:pPr>
    </w:p>
    <w:p>
      <w:pPr>
        <w:ind w:left="3880"/>
        <w:spacing w:after="0"/>
        <w:rPr>
          <w:sz w:val="20"/>
          <w:szCs w:val="20"/>
          <w:color w:val="auto"/>
        </w:rPr>
      </w:pPr>
      <w:r>
        <w:rPr>
          <w:rFonts w:ascii="Arial" w:cs="Arial" w:eastAsia="Arial" w:hAnsi="Arial"/>
          <w:sz w:val="12"/>
          <w:szCs w:val="12"/>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31750</wp:posOffset>
            </wp:positionV>
            <wp:extent cx="58381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60" w:lineRule="exact"/>
        <w:rPr>
          <w:sz w:val="20"/>
          <w:szCs w:val="20"/>
          <w:color w:val="auto"/>
        </w:rPr>
      </w:pPr>
    </w:p>
    <w:p>
      <w:pPr>
        <w:ind w:left="1380" w:hanging="353"/>
        <w:spacing w:after="0"/>
        <w:tabs>
          <w:tab w:leader="none" w:pos="1380" w:val="left"/>
        </w:tabs>
        <w:numPr>
          <w:ilvl w:val="0"/>
          <w:numId w:val="61"/>
        </w:numPr>
        <w:rPr>
          <w:rFonts w:ascii="Arial" w:cs="Arial" w:eastAsia="Arial" w:hAnsi="Arial"/>
          <w:sz w:val="11"/>
          <w:szCs w:val="11"/>
          <w:color w:val="333333"/>
        </w:rPr>
      </w:pPr>
      <w:r>
        <w:rPr>
          <w:rFonts w:ascii="Arial" w:cs="Arial" w:eastAsia="Arial" w:hAnsi="Arial"/>
          <w:sz w:val="11"/>
          <w:szCs w:val="11"/>
          <w:color w:val="333333"/>
        </w:rPr>
        <w:t>Annual cash retainers are payable quarterly in arrears.</w:t>
      </w:r>
    </w:p>
    <w:p>
      <w:pPr>
        <w:spacing w:after="0" w:line="53" w:lineRule="exact"/>
        <w:rPr>
          <w:rFonts w:ascii="Arial" w:cs="Arial" w:eastAsia="Arial" w:hAnsi="Arial"/>
          <w:sz w:val="11"/>
          <w:szCs w:val="11"/>
          <w:color w:val="333333"/>
        </w:rPr>
      </w:pPr>
    </w:p>
    <w:p>
      <w:pPr>
        <w:ind w:left="1380" w:right="120" w:hanging="353"/>
        <w:spacing w:after="0" w:line="238" w:lineRule="auto"/>
        <w:tabs>
          <w:tab w:leader="none" w:pos="1380" w:val="left"/>
        </w:tabs>
        <w:numPr>
          <w:ilvl w:val="0"/>
          <w:numId w:val="61"/>
        </w:numPr>
        <w:rPr>
          <w:rFonts w:ascii="Arial" w:cs="Arial" w:eastAsia="Arial" w:hAnsi="Arial"/>
          <w:sz w:val="11"/>
          <w:szCs w:val="11"/>
          <w:color w:val="333333"/>
        </w:rPr>
      </w:pPr>
      <w:r>
        <w:rPr>
          <w:rFonts w:ascii="Arial" w:cs="Arial" w:eastAsia="Arial" w:hAnsi="Arial"/>
          <w:sz w:val="11"/>
          <w:szCs w:val="11"/>
          <w:color w:val="333333"/>
        </w:rPr>
        <w:t>Initial equity grants are automatically granted on the date the director is elected or appointed as a director and are calculated based on the closing price of our common stock on the date of grant. The initial equity grant upon election or appointment as a director shall vest in 3 equal annual installments following the grant date.</w:t>
      </w:r>
    </w:p>
    <w:p>
      <w:pPr>
        <w:spacing w:after="0" w:line="42" w:lineRule="exact"/>
        <w:rPr>
          <w:rFonts w:ascii="Arial" w:cs="Arial" w:eastAsia="Arial" w:hAnsi="Arial"/>
          <w:sz w:val="11"/>
          <w:szCs w:val="11"/>
          <w:color w:val="333333"/>
        </w:rPr>
      </w:pPr>
    </w:p>
    <w:p>
      <w:pPr>
        <w:ind w:left="1380" w:hanging="353"/>
        <w:spacing w:after="0"/>
        <w:tabs>
          <w:tab w:leader="none" w:pos="1380" w:val="left"/>
        </w:tabs>
        <w:numPr>
          <w:ilvl w:val="0"/>
          <w:numId w:val="61"/>
        </w:numPr>
        <w:rPr>
          <w:rFonts w:ascii="Arial" w:cs="Arial" w:eastAsia="Arial" w:hAnsi="Arial"/>
          <w:sz w:val="11"/>
          <w:szCs w:val="11"/>
          <w:color w:val="333333"/>
        </w:rPr>
      </w:pPr>
      <w:r>
        <w:rPr>
          <w:rFonts w:ascii="Arial" w:cs="Arial" w:eastAsia="Arial" w:hAnsi="Arial"/>
          <w:sz w:val="11"/>
          <w:szCs w:val="11"/>
          <w:color w:val="333333"/>
        </w:rPr>
        <w:t>Such award will accelerate and fully vest upon a change in control, or such non-employee director’s earlier death or disability.</w:t>
      </w:r>
    </w:p>
    <w:p>
      <w:pPr>
        <w:spacing w:after="0" w:line="53" w:lineRule="exact"/>
        <w:rPr>
          <w:rFonts w:ascii="Arial" w:cs="Arial" w:eastAsia="Arial" w:hAnsi="Arial"/>
          <w:sz w:val="11"/>
          <w:szCs w:val="11"/>
          <w:color w:val="333333"/>
        </w:rPr>
      </w:pPr>
    </w:p>
    <w:p>
      <w:pPr>
        <w:ind w:left="1380" w:right="20" w:hanging="353"/>
        <w:spacing w:after="0" w:line="230" w:lineRule="auto"/>
        <w:tabs>
          <w:tab w:leader="none" w:pos="1380" w:val="left"/>
        </w:tabs>
        <w:numPr>
          <w:ilvl w:val="0"/>
          <w:numId w:val="61"/>
        </w:numPr>
        <w:rPr>
          <w:rFonts w:ascii="Arial" w:cs="Arial" w:eastAsia="Arial" w:hAnsi="Arial"/>
          <w:sz w:val="11"/>
          <w:szCs w:val="11"/>
          <w:color w:val="333333"/>
        </w:rPr>
      </w:pPr>
      <w:r>
        <w:rPr>
          <w:rFonts w:ascii="Arial" w:cs="Arial" w:eastAsia="Arial" w:hAnsi="Arial"/>
          <w:sz w:val="11"/>
          <w:szCs w:val="11"/>
          <w:color w:val="333333"/>
        </w:rPr>
        <w:t>Annual equity grants are automatically granted on the date of each annual regular meeting of the Company’s stockholders and are calculated based on the closing price of our common stock on the date of grant. The annual equity grant shall vest on the earlier of the first anniversary of the grant date or the Company’s next annual meeting of stockholders, provided the director provides continuous service as a director, member of the applicable committee or chair, as applicable, through such vesting date.</w:t>
      </w:r>
    </w:p>
    <w:p>
      <w:pPr>
        <w:spacing w:after="0" w:line="125" w:lineRule="exact"/>
        <w:rPr>
          <w:sz w:val="20"/>
          <w:szCs w:val="20"/>
          <w:color w:val="auto"/>
        </w:rPr>
      </w:pPr>
    </w:p>
    <w:p>
      <w:pPr>
        <w:ind w:left="1020" w:right="420"/>
        <w:spacing w:after="0" w:line="258" w:lineRule="auto"/>
        <w:rPr>
          <w:sz w:val="20"/>
          <w:szCs w:val="20"/>
          <w:color w:val="auto"/>
        </w:rPr>
      </w:pPr>
      <w:r>
        <w:rPr>
          <w:rFonts w:ascii="Arial" w:cs="Arial" w:eastAsia="Arial" w:hAnsi="Arial"/>
          <w:sz w:val="14"/>
          <w:szCs w:val="14"/>
          <w:color w:val="auto"/>
        </w:rPr>
        <w:t>We also reimburse our non-employee directors for their reasonable out-of-pocket expenses incurred in attending Board of Directors and committee meetings.</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STOCKHOLDER COMMUNICATIONS WITH THE BOARD OF DIRECTORS</w:t>
      </w:r>
    </w:p>
    <w:p>
      <w:pPr>
        <w:spacing w:after="0" w:line="143" w:lineRule="exact"/>
        <w:rPr>
          <w:sz w:val="20"/>
          <w:szCs w:val="20"/>
          <w:color w:val="auto"/>
        </w:rPr>
      </w:pPr>
    </w:p>
    <w:p>
      <w:pPr>
        <w:ind w:left="1020" w:right="140"/>
        <w:spacing w:after="0" w:line="242" w:lineRule="auto"/>
        <w:rPr>
          <w:sz w:val="20"/>
          <w:szCs w:val="20"/>
          <w:color w:val="auto"/>
        </w:rPr>
      </w:pPr>
      <w:r>
        <w:rPr>
          <w:rFonts w:ascii="Arial" w:cs="Arial" w:eastAsia="Arial" w:hAnsi="Arial"/>
          <w:sz w:val="14"/>
          <w:szCs w:val="14"/>
          <w:color w:val="auto"/>
        </w:rPr>
        <w:t>Stockholders wishing to communicate with our Board of Directors or with an individual member of our Board of Directors may do so by writing to our Board of Directors or to the particular member of our Board of Directors, care of our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01"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23 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6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table provides information concerning our executive officers as of April 8, 2026:</w:t>
      </w:r>
    </w:p>
    <w:p>
      <w:pPr>
        <w:spacing w:after="0" w:line="195" w:lineRule="exact"/>
        <w:rPr>
          <w:sz w:val="20"/>
          <w:szCs w:val="20"/>
          <w:color w:val="auto"/>
        </w:rPr>
      </w:pPr>
    </w:p>
    <w:tbl>
      <w:tblPr>
        <w:tblLayout w:type="fixed"/>
        <w:tblInd w:w="1020" w:type="dxa"/>
        <w:tblCellMar>
          <w:top w:w="0" w:type="dxa"/>
          <w:left w:w="0" w:type="dxa"/>
          <w:bottom w:w="0" w:type="dxa"/>
          <w:right w:w="0" w:type="dxa"/>
        </w:tblCellMar>
      </w:tblPr>
      <w:tr>
        <w:trPr>
          <w:trHeight w:val="143"/>
        </w:trPr>
        <w:tc>
          <w:tcPr>
            <w:tcW w:w="4320" w:type="dxa"/>
            <w:vAlign w:val="bottom"/>
          </w:tcPr>
          <w:p>
            <w:pPr>
              <w:spacing w:after="0"/>
              <w:rPr>
                <w:sz w:val="20"/>
                <w:szCs w:val="20"/>
                <w:color w:val="auto"/>
              </w:rPr>
            </w:pPr>
            <w:r>
              <w:rPr>
                <w:rFonts w:ascii="Arial" w:cs="Arial" w:eastAsia="Arial" w:hAnsi="Arial"/>
                <w:sz w:val="11"/>
                <w:szCs w:val="11"/>
                <w:b w:val="1"/>
                <w:bCs w:val="1"/>
                <w:color w:val="auto"/>
              </w:rPr>
              <w:t>  NAME</w:t>
            </w:r>
          </w:p>
        </w:tc>
        <w:tc>
          <w:tcPr>
            <w:tcW w:w="800" w:type="dxa"/>
            <w:vAlign w:val="bottom"/>
          </w:tcPr>
          <w:p>
            <w:pPr>
              <w:jc w:val="center"/>
              <w:ind w:right="381"/>
              <w:spacing w:after="0"/>
              <w:rPr>
                <w:sz w:val="20"/>
                <w:szCs w:val="20"/>
                <w:color w:val="auto"/>
              </w:rPr>
            </w:pPr>
            <w:r>
              <w:rPr>
                <w:rFonts w:ascii="Arial" w:cs="Arial" w:eastAsia="Arial" w:hAnsi="Arial"/>
                <w:sz w:val="11"/>
                <w:szCs w:val="11"/>
                <w:b w:val="1"/>
                <w:bCs w:val="1"/>
                <w:color w:val="auto"/>
              </w:rPr>
              <w:t>AGE</w:t>
            </w:r>
          </w:p>
        </w:tc>
        <w:tc>
          <w:tcPr>
            <w:tcW w:w="4080" w:type="dxa"/>
            <w:vAlign w:val="bottom"/>
          </w:tcPr>
          <w:p>
            <w:pPr>
              <w:ind w:left="500"/>
              <w:spacing w:after="0"/>
              <w:rPr>
                <w:sz w:val="20"/>
                <w:szCs w:val="20"/>
                <w:color w:val="auto"/>
              </w:rPr>
            </w:pPr>
            <w:r>
              <w:rPr>
                <w:rFonts w:ascii="Arial" w:cs="Arial" w:eastAsia="Arial" w:hAnsi="Arial"/>
                <w:sz w:val="11"/>
                <w:szCs w:val="11"/>
                <w:b w:val="1"/>
                <w:bCs w:val="1"/>
                <w:color w:val="auto"/>
              </w:rPr>
              <w:t>POSITION(S)</w:t>
            </w:r>
          </w:p>
        </w:tc>
      </w:tr>
      <w:tr>
        <w:trPr>
          <w:trHeight w:val="30"/>
        </w:trPr>
        <w:tc>
          <w:tcPr>
            <w:tcW w:w="4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28"/>
        </w:trPr>
        <w:tc>
          <w:tcPr>
            <w:tcW w:w="4320" w:type="dxa"/>
            <w:vAlign w:val="bottom"/>
            <w:tcBorders>
              <w:bottom w:val="single" w:sz="8" w:color="E8F4FF"/>
            </w:tcBorders>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800" w:type="dxa"/>
            <w:vAlign w:val="bottom"/>
            <w:tcBorders>
              <w:bottom w:val="single" w:sz="8" w:color="E8F4FF"/>
            </w:tcBorders>
            <w:shd w:val="clear" w:color="auto" w:fill="E8F4FF"/>
          </w:tcPr>
          <w:p>
            <w:pPr>
              <w:jc w:val="center"/>
              <w:ind w:right="381"/>
              <w:spacing w:after="0"/>
              <w:rPr>
                <w:sz w:val="20"/>
                <w:szCs w:val="20"/>
                <w:color w:val="auto"/>
              </w:rPr>
            </w:pPr>
            <w:r>
              <w:rPr>
                <w:rFonts w:ascii="Arial" w:cs="Arial" w:eastAsia="Arial" w:hAnsi="Arial"/>
                <w:sz w:val="12"/>
                <w:szCs w:val="12"/>
                <w:color w:val="auto"/>
                <w:w w:val="89"/>
              </w:rPr>
              <w:t>47</w:t>
            </w:r>
          </w:p>
        </w:tc>
        <w:tc>
          <w:tcPr>
            <w:tcW w:w="4080" w:type="dxa"/>
            <w:vAlign w:val="bottom"/>
            <w:tcBorders>
              <w:bottom w:val="single" w:sz="8" w:color="E8F4FF"/>
            </w:tcBorders>
            <w:shd w:val="clear" w:color="auto" w:fill="E8F4FF"/>
          </w:tcPr>
          <w:p>
            <w:pPr>
              <w:ind w:left="500"/>
              <w:spacing w:after="0"/>
              <w:rPr>
                <w:sz w:val="20"/>
                <w:szCs w:val="20"/>
                <w:color w:val="auto"/>
              </w:rPr>
            </w:pPr>
            <w:r>
              <w:rPr>
                <w:rFonts w:ascii="Arial" w:cs="Arial" w:eastAsia="Arial" w:hAnsi="Arial"/>
                <w:sz w:val="12"/>
                <w:szCs w:val="12"/>
                <w:color w:val="auto"/>
              </w:rPr>
              <w:t>Chief Executive Officer and Director</w:t>
            </w:r>
          </w:p>
        </w:tc>
      </w:tr>
      <w:tr>
        <w:trPr>
          <w:trHeight w:val="213"/>
        </w:trPr>
        <w:tc>
          <w:tcPr>
            <w:tcW w:w="432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800" w:type="dxa"/>
            <w:vAlign w:val="bottom"/>
          </w:tcPr>
          <w:p>
            <w:pPr>
              <w:jc w:val="center"/>
              <w:ind w:right="381"/>
              <w:spacing w:after="0"/>
              <w:rPr>
                <w:sz w:val="20"/>
                <w:szCs w:val="20"/>
                <w:color w:val="auto"/>
              </w:rPr>
            </w:pPr>
            <w:r>
              <w:rPr>
                <w:rFonts w:ascii="Arial" w:cs="Arial" w:eastAsia="Arial" w:hAnsi="Arial"/>
                <w:sz w:val="12"/>
                <w:szCs w:val="12"/>
                <w:color w:val="auto"/>
                <w:w w:val="89"/>
              </w:rPr>
              <w:t>57</w:t>
            </w:r>
          </w:p>
        </w:tc>
        <w:tc>
          <w:tcPr>
            <w:tcW w:w="4080" w:type="dxa"/>
            <w:vAlign w:val="bottom"/>
          </w:tcPr>
          <w:p>
            <w:pPr>
              <w:ind w:left="500"/>
              <w:spacing w:after="0"/>
              <w:rPr>
                <w:sz w:val="20"/>
                <w:szCs w:val="20"/>
                <w:color w:val="auto"/>
              </w:rPr>
            </w:pPr>
            <w:r>
              <w:rPr>
                <w:rFonts w:ascii="Arial" w:cs="Arial" w:eastAsia="Arial" w:hAnsi="Arial"/>
                <w:sz w:val="12"/>
                <w:szCs w:val="12"/>
                <w:color w:val="auto"/>
              </w:rPr>
              <w:t>President and Chief Operating Officer</w:t>
            </w:r>
          </w:p>
        </w:tc>
      </w:tr>
      <w:tr>
        <w:trPr>
          <w:trHeight w:val="35"/>
        </w:trPr>
        <w:tc>
          <w:tcPr>
            <w:tcW w:w="4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80" w:type="dxa"/>
            <w:vAlign w:val="bottom"/>
          </w:tcPr>
          <w:p>
            <w:pPr>
              <w:spacing w:after="0"/>
              <w:rPr>
                <w:sz w:val="3"/>
                <w:szCs w:val="3"/>
                <w:color w:val="auto"/>
              </w:rPr>
            </w:pPr>
          </w:p>
        </w:tc>
      </w:tr>
      <w:tr>
        <w:trPr>
          <w:trHeight w:val="228"/>
        </w:trPr>
        <w:tc>
          <w:tcPr>
            <w:tcW w:w="4320" w:type="dxa"/>
            <w:vAlign w:val="bottom"/>
            <w:tcBorders>
              <w:bottom w:val="single" w:sz="8" w:color="E8F4FF"/>
            </w:tcBorders>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800" w:type="dxa"/>
            <w:vAlign w:val="bottom"/>
            <w:tcBorders>
              <w:bottom w:val="single" w:sz="8" w:color="E8F4FF"/>
            </w:tcBorders>
            <w:shd w:val="clear" w:color="auto" w:fill="E8F4FF"/>
          </w:tcPr>
          <w:p>
            <w:pPr>
              <w:jc w:val="center"/>
              <w:ind w:right="381"/>
              <w:spacing w:after="0"/>
              <w:rPr>
                <w:sz w:val="20"/>
                <w:szCs w:val="20"/>
                <w:color w:val="auto"/>
              </w:rPr>
            </w:pPr>
            <w:r>
              <w:rPr>
                <w:rFonts w:ascii="Arial" w:cs="Arial" w:eastAsia="Arial" w:hAnsi="Arial"/>
                <w:sz w:val="12"/>
                <w:szCs w:val="12"/>
                <w:color w:val="auto"/>
                <w:w w:val="89"/>
              </w:rPr>
              <w:t>49</w:t>
            </w:r>
          </w:p>
        </w:tc>
        <w:tc>
          <w:tcPr>
            <w:tcW w:w="4080" w:type="dxa"/>
            <w:vAlign w:val="bottom"/>
            <w:tcBorders>
              <w:bottom w:val="single" w:sz="8" w:color="E8F4FF"/>
            </w:tcBorders>
            <w:shd w:val="clear" w:color="auto" w:fill="E8F4FF"/>
          </w:tcPr>
          <w:p>
            <w:pPr>
              <w:ind w:left="500"/>
              <w:spacing w:after="0"/>
              <w:rPr>
                <w:sz w:val="20"/>
                <w:szCs w:val="20"/>
                <w:color w:val="auto"/>
              </w:rPr>
            </w:pPr>
            <w:r>
              <w:rPr>
                <w:rFonts w:ascii="Arial" w:cs="Arial" w:eastAsia="Arial" w:hAnsi="Arial"/>
                <w:sz w:val="12"/>
                <w:szCs w:val="12"/>
                <w:color w:val="auto"/>
              </w:rPr>
              <w:t>Chief Financial Officer</w:t>
            </w:r>
          </w:p>
        </w:tc>
      </w:tr>
      <w:tr>
        <w:trPr>
          <w:trHeight w:val="213"/>
        </w:trPr>
        <w:tc>
          <w:tcPr>
            <w:tcW w:w="4320" w:type="dxa"/>
            <w:vAlign w:val="bottom"/>
          </w:tcPr>
          <w:p>
            <w:pPr>
              <w:ind w:left="60"/>
              <w:spacing w:after="0"/>
              <w:rPr>
                <w:sz w:val="20"/>
                <w:szCs w:val="20"/>
                <w:color w:val="auto"/>
              </w:rPr>
            </w:pPr>
            <w:r>
              <w:rPr>
                <w:rFonts w:ascii="Arial" w:cs="Arial" w:eastAsia="Arial" w:hAnsi="Arial"/>
                <w:sz w:val="12"/>
                <w:szCs w:val="12"/>
                <w:b w:val="1"/>
                <w:bCs w:val="1"/>
                <w:color w:val="2393FF"/>
              </w:rPr>
              <w:t>Patrick Blanc</w:t>
            </w:r>
          </w:p>
        </w:tc>
        <w:tc>
          <w:tcPr>
            <w:tcW w:w="800" w:type="dxa"/>
            <w:vAlign w:val="bottom"/>
          </w:tcPr>
          <w:p>
            <w:pPr>
              <w:jc w:val="center"/>
              <w:ind w:right="381"/>
              <w:spacing w:after="0"/>
              <w:rPr>
                <w:sz w:val="20"/>
                <w:szCs w:val="20"/>
                <w:color w:val="auto"/>
              </w:rPr>
            </w:pPr>
            <w:r>
              <w:rPr>
                <w:rFonts w:ascii="Arial" w:cs="Arial" w:eastAsia="Arial" w:hAnsi="Arial"/>
                <w:sz w:val="12"/>
                <w:szCs w:val="12"/>
                <w:color w:val="auto"/>
                <w:w w:val="89"/>
              </w:rPr>
              <w:t>55</w:t>
            </w:r>
          </w:p>
        </w:tc>
        <w:tc>
          <w:tcPr>
            <w:tcW w:w="4080" w:type="dxa"/>
            <w:vAlign w:val="bottom"/>
          </w:tcPr>
          <w:p>
            <w:pPr>
              <w:ind w:left="500"/>
              <w:spacing w:after="0"/>
              <w:rPr>
                <w:sz w:val="20"/>
                <w:szCs w:val="20"/>
                <w:color w:val="auto"/>
              </w:rPr>
            </w:pPr>
            <w:r>
              <w:rPr>
                <w:rFonts w:ascii="Arial" w:cs="Arial" w:eastAsia="Arial" w:hAnsi="Arial"/>
                <w:sz w:val="12"/>
                <w:szCs w:val="12"/>
                <w:color w:val="auto"/>
              </w:rPr>
              <w:t>Chief Technology Officer</w:t>
            </w:r>
          </w:p>
        </w:tc>
      </w:tr>
      <w:tr>
        <w:trPr>
          <w:trHeight w:val="35"/>
        </w:trPr>
        <w:tc>
          <w:tcPr>
            <w:tcW w:w="4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80" w:type="dxa"/>
            <w:vAlign w:val="bottom"/>
          </w:tcPr>
          <w:p>
            <w:pPr>
              <w:spacing w:after="0"/>
              <w:rPr>
                <w:sz w:val="3"/>
                <w:szCs w:val="3"/>
                <w:color w:val="auto"/>
              </w:rPr>
            </w:pPr>
          </w:p>
        </w:tc>
      </w:tr>
      <w:tr>
        <w:trPr>
          <w:trHeight w:val="228"/>
        </w:trPr>
        <w:tc>
          <w:tcPr>
            <w:tcW w:w="4320" w:type="dxa"/>
            <w:vAlign w:val="bottom"/>
            <w:tcBorders>
              <w:bottom w:val="single" w:sz="8" w:color="E8F4FF"/>
            </w:tcBorders>
            <w:shd w:val="clear" w:color="auto" w:fill="E8F4FF"/>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800" w:type="dxa"/>
            <w:vAlign w:val="bottom"/>
            <w:tcBorders>
              <w:bottom w:val="single" w:sz="8" w:color="E8F4FF"/>
            </w:tcBorders>
            <w:shd w:val="clear" w:color="auto" w:fill="E8F4FF"/>
          </w:tcPr>
          <w:p>
            <w:pPr>
              <w:jc w:val="center"/>
              <w:ind w:right="381"/>
              <w:spacing w:after="0"/>
              <w:rPr>
                <w:sz w:val="20"/>
                <w:szCs w:val="20"/>
                <w:color w:val="auto"/>
              </w:rPr>
            </w:pPr>
            <w:r>
              <w:rPr>
                <w:rFonts w:ascii="Arial" w:cs="Arial" w:eastAsia="Arial" w:hAnsi="Arial"/>
                <w:sz w:val="12"/>
                <w:szCs w:val="12"/>
                <w:color w:val="auto"/>
                <w:w w:val="89"/>
              </w:rPr>
              <w:t>61</w:t>
            </w:r>
          </w:p>
        </w:tc>
        <w:tc>
          <w:tcPr>
            <w:tcW w:w="4080" w:type="dxa"/>
            <w:vAlign w:val="bottom"/>
            <w:tcBorders>
              <w:bottom w:val="single" w:sz="8" w:color="E8F4FF"/>
            </w:tcBorders>
            <w:shd w:val="clear" w:color="auto" w:fill="E8F4FF"/>
          </w:tcPr>
          <w:p>
            <w:pPr>
              <w:ind w:left="500"/>
              <w:spacing w:after="0"/>
              <w:rPr>
                <w:sz w:val="20"/>
                <w:szCs w:val="20"/>
                <w:color w:val="auto"/>
              </w:rPr>
            </w:pPr>
            <w:r>
              <w:rPr>
                <w:rFonts w:ascii="Arial" w:cs="Arial" w:eastAsia="Arial" w:hAnsi="Arial"/>
                <w:sz w:val="12"/>
                <w:szCs w:val="12"/>
                <w:color w:val="auto"/>
              </w:rPr>
              <w:t>General Counsel and Chief Compliance Officer</w:t>
            </w:r>
          </w:p>
        </w:tc>
      </w:tr>
      <w:tr>
        <w:trPr>
          <w:trHeight w:val="213"/>
        </w:trPr>
        <w:tc>
          <w:tcPr>
            <w:tcW w:w="4320" w:type="dxa"/>
            <w:vAlign w:val="bottom"/>
          </w:tcPr>
          <w:p>
            <w:pPr>
              <w:ind w:left="60"/>
              <w:spacing w:after="0"/>
              <w:rPr>
                <w:sz w:val="20"/>
                <w:szCs w:val="20"/>
                <w:color w:val="auto"/>
              </w:rPr>
            </w:pPr>
            <w:r>
              <w:rPr>
                <w:rFonts w:ascii="Arial" w:cs="Arial" w:eastAsia="Arial" w:hAnsi="Arial"/>
                <w:sz w:val="12"/>
                <w:szCs w:val="12"/>
                <w:b w:val="1"/>
                <w:bCs w:val="1"/>
                <w:color w:val="2393FF"/>
              </w:rPr>
              <w:t>Mohit Kansal</w:t>
            </w:r>
          </w:p>
        </w:tc>
        <w:tc>
          <w:tcPr>
            <w:tcW w:w="800" w:type="dxa"/>
            <w:vAlign w:val="bottom"/>
          </w:tcPr>
          <w:p>
            <w:pPr>
              <w:jc w:val="center"/>
              <w:ind w:right="381"/>
              <w:spacing w:after="0"/>
              <w:rPr>
                <w:sz w:val="20"/>
                <w:szCs w:val="20"/>
                <w:color w:val="auto"/>
              </w:rPr>
            </w:pPr>
            <w:r>
              <w:rPr>
                <w:rFonts w:ascii="Arial" w:cs="Arial" w:eastAsia="Arial" w:hAnsi="Arial"/>
                <w:sz w:val="12"/>
                <w:szCs w:val="12"/>
                <w:color w:val="auto"/>
                <w:w w:val="89"/>
              </w:rPr>
              <w:t>40</w:t>
            </w:r>
          </w:p>
        </w:tc>
        <w:tc>
          <w:tcPr>
            <w:tcW w:w="4080" w:type="dxa"/>
            <w:vAlign w:val="bottom"/>
          </w:tcPr>
          <w:p>
            <w:pPr>
              <w:ind w:left="500"/>
              <w:spacing w:after="0"/>
              <w:rPr>
                <w:sz w:val="20"/>
                <w:szCs w:val="20"/>
                <w:color w:val="auto"/>
              </w:rPr>
            </w:pPr>
            <w:r>
              <w:rPr>
                <w:rFonts w:ascii="Arial" w:cs="Arial" w:eastAsia="Arial" w:hAnsi="Arial"/>
                <w:sz w:val="12"/>
                <w:szCs w:val="12"/>
                <w:color w:val="auto"/>
              </w:rPr>
              <w:t>Chief Payments Officer</w:t>
            </w:r>
          </w:p>
        </w:tc>
      </w:tr>
      <w:tr>
        <w:trPr>
          <w:trHeight w:val="35"/>
        </w:trPr>
        <w:tc>
          <w:tcPr>
            <w:tcW w:w="4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80" w:type="dxa"/>
            <w:vAlign w:val="bottom"/>
          </w:tcPr>
          <w:p>
            <w:pPr>
              <w:spacing w:after="0"/>
              <w:rPr>
                <w:sz w:val="3"/>
                <w:szCs w:val="3"/>
                <w:color w:val="auto"/>
              </w:rPr>
            </w:pPr>
          </w:p>
        </w:tc>
      </w:tr>
      <w:tr>
        <w:trPr>
          <w:trHeight w:val="213"/>
        </w:trPr>
        <w:tc>
          <w:tcPr>
            <w:tcW w:w="43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800" w:type="dxa"/>
            <w:vAlign w:val="bottom"/>
            <w:shd w:val="clear" w:color="auto" w:fill="E8F4FF"/>
          </w:tcPr>
          <w:p>
            <w:pPr>
              <w:jc w:val="center"/>
              <w:ind w:right="381"/>
              <w:spacing w:after="0"/>
              <w:rPr>
                <w:sz w:val="20"/>
                <w:szCs w:val="20"/>
                <w:color w:val="auto"/>
              </w:rPr>
            </w:pPr>
            <w:r>
              <w:rPr>
                <w:rFonts w:ascii="Arial" w:cs="Arial" w:eastAsia="Arial" w:hAnsi="Arial"/>
                <w:sz w:val="12"/>
                <w:szCs w:val="12"/>
                <w:color w:val="auto"/>
                <w:w w:val="89"/>
              </w:rPr>
              <w:t>57</w:t>
            </w:r>
          </w:p>
        </w:tc>
        <w:tc>
          <w:tcPr>
            <w:tcW w:w="4080" w:type="dxa"/>
            <w:vAlign w:val="bottom"/>
            <w:shd w:val="clear" w:color="auto" w:fill="E8F4FF"/>
          </w:tcPr>
          <w:p>
            <w:pPr>
              <w:ind w:left="500"/>
              <w:spacing w:after="0"/>
              <w:rPr>
                <w:sz w:val="20"/>
                <w:szCs w:val="20"/>
                <w:color w:val="auto"/>
              </w:rPr>
            </w:pPr>
            <w:r>
              <w:rPr>
                <w:rFonts w:ascii="Arial" w:cs="Arial" w:eastAsia="Arial" w:hAnsi="Arial"/>
                <w:sz w:val="12"/>
                <w:szCs w:val="12"/>
                <w:color w:val="auto"/>
              </w:rPr>
              <w:t>Chief Product Officer and Co-President of Global Education</w:t>
            </w:r>
          </w:p>
        </w:tc>
      </w:tr>
      <w:tr>
        <w:trPr>
          <w:trHeight w:val="35"/>
        </w:trPr>
        <w:tc>
          <w:tcPr>
            <w:tcW w:w="4320" w:type="dxa"/>
            <w:vAlign w:val="bottom"/>
            <w:shd w:val="clear" w:color="auto" w:fill="E8F4FF"/>
          </w:tcPr>
          <w:p>
            <w:pPr>
              <w:spacing w:after="0"/>
              <w:rPr>
                <w:sz w:val="3"/>
                <w:szCs w:val="3"/>
                <w:color w:val="auto"/>
              </w:rPr>
            </w:pPr>
          </w:p>
        </w:tc>
        <w:tc>
          <w:tcPr>
            <w:tcW w:w="800" w:type="dxa"/>
            <w:vAlign w:val="bottom"/>
            <w:shd w:val="clear" w:color="auto" w:fill="E8F4FF"/>
          </w:tcPr>
          <w:p>
            <w:pPr>
              <w:spacing w:after="0"/>
              <w:rPr>
                <w:sz w:val="3"/>
                <w:szCs w:val="3"/>
                <w:color w:val="auto"/>
              </w:rPr>
            </w:pPr>
          </w:p>
        </w:tc>
        <w:tc>
          <w:tcPr>
            <w:tcW w:w="4080" w:type="dxa"/>
            <w:vAlign w:val="bottom"/>
            <w:shd w:val="clear" w:color="auto" w:fill="E8F4FF"/>
          </w:tcPr>
          <w:p>
            <w:pPr>
              <w:spacing w:after="0"/>
              <w:rPr>
                <w:sz w:val="3"/>
                <w:szCs w:val="3"/>
                <w:color w:val="auto"/>
              </w:rPr>
            </w:pPr>
          </w:p>
        </w:tc>
      </w:tr>
    </w:tbl>
    <w:p>
      <w:pPr>
        <w:spacing w:after="0" w:line="170" w:lineRule="exact"/>
        <w:rPr>
          <w:sz w:val="20"/>
          <w:szCs w:val="20"/>
          <w:color w:val="auto"/>
        </w:rPr>
      </w:pPr>
    </w:p>
    <w:p>
      <w:pPr>
        <w:ind w:left="1020"/>
        <w:spacing w:after="0"/>
        <w:rPr>
          <w:sz w:val="20"/>
          <w:szCs w:val="20"/>
          <w:color w:val="auto"/>
        </w:rPr>
      </w:pPr>
      <w:r>
        <w:rPr>
          <w:rFonts w:ascii="Arial" w:cs="Arial" w:eastAsia="Arial" w:hAnsi="Arial"/>
          <w:sz w:val="14"/>
          <w:szCs w:val="14"/>
          <w:i w:val="1"/>
          <w:iCs w:val="1"/>
          <w:color w:val="auto"/>
        </w:rPr>
        <w:t xml:space="preserve">*Michael Massaro </w:t>
      </w:r>
      <w:r>
        <w:rPr>
          <w:rFonts w:ascii="Arial" w:cs="Arial" w:eastAsia="Arial" w:hAnsi="Arial"/>
          <w:sz w:val="14"/>
          <w:szCs w:val="14"/>
          <w:color w:val="auto"/>
        </w:rPr>
        <w:t>See biographical information set forth above under “Incumbent Class I Directors Whose Term Expires in 2028.”</w:t>
      </w:r>
    </w:p>
    <w:p>
      <w:pPr>
        <w:sectPr>
          <w:pgSz w:w="11900" w:h="16838" w:orient="portrait"/>
          <w:cols w:equalWidth="0" w:num="1">
            <w:col w:w="10220"/>
          </w:cols>
          <w:pgMar w:left="320" w:top="425" w:right="1359" w:bottom="1440" w:gutter="0" w:footer="0" w:header="0"/>
        </w:sectPr>
      </w:pPr>
    </w:p>
    <w:p>
      <w:pPr>
        <w:spacing w:after="0" w:line="187"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Robert</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Orgel</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Operating Officer  |  Age: 57</w:t>
      </w:r>
    </w:p>
    <w:p>
      <w:pPr>
        <w:spacing w:after="0" w:line="51"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b w:val="1"/>
          <w:bCs w:val="1"/>
          <w:color w:val="2393FF"/>
        </w:rPr>
        <w:t xml:space="preserve">Robert Orgel </w:t>
      </w:r>
      <w:r>
        <w:rPr>
          <w:rFonts w:ascii="Arial" w:cs="Arial" w:eastAsia="Arial" w:hAnsi="Arial"/>
          <w:sz w:val="14"/>
          <w:szCs w:val="14"/>
          <w:color w:val="000000"/>
        </w:rPr>
        <w:t>has served as our President and Chief Operating Officer since November 2019. Mr. Orgel leads Flywire’s</w:t>
      </w:r>
      <w:r>
        <w:rPr>
          <w:rFonts w:ascii="Arial" w:cs="Arial" w:eastAsia="Arial" w:hAnsi="Arial"/>
          <w:sz w:val="14"/>
          <w:szCs w:val="14"/>
          <w:b w:val="1"/>
          <w:bCs w:val="1"/>
          <w:color w:val="2393FF"/>
        </w:rPr>
        <w:t xml:space="preserve"> </w:t>
      </w:r>
      <w:r>
        <w:rPr>
          <w:rFonts w:ascii="Arial" w:cs="Arial" w:eastAsia="Arial" w:hAnsi="Arial"/>
          <w:sz w:val="14"/>
          <w:szCs w:val="14"/>
          <w:color w:val="000000"/>
        </w:rPr>
        <w:t>business operations,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4607560" cy="3365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07560" cy="336550"/>
                    </a:xfrm>
                    <a:prstGeom prst="rect">
                      <a:avLst/>
                    </a:prstGeom>
                    <a:noFill/>
                  </pic:spPr>
                </pic:pic>
              </a:graphicData>
            </a:graphic>
          </wp:anchor>
        </w:drawing>
      </w:r>
    </w:p>
    <w:p>
      <w:pPr>
        <w:spacing w:after="0" w:line="186" w:lineRule="exact"/>
        <w:rPr>
          <w:sz w:val="20"/>
          <w:szCs w:val="20"/>
          <w:color w:val="auto"/>
        </w:rPr>
      </w:pPr>
    </w:p>
    <w:p>
      <w:pPr>
        <w:ind w:left="140" w:right="600"/>
        <w:spacing w:after="0" w:line="272" w:lineRule="auto"/>
        <w:rPr>
          <w:sz w:val="20"/>
          <w:szCs w:val="20"/>
          <w:color w:val="auto"/>
        </w:rPr>
      </w:pPr>
      <w:r>
        <w:rPr>
          <w:rFonts w:ascii="Arial" w:cs="Arial" w:eastAsia="Arial" w:hAnsi="Arial"/>
          <w:sz w:val="14"/>
          <w:szCs w:val="14"/>
          <w:b w:val="1"/>
          <w:bCs w:val="1"/>
          <w:color w:val="2393FF"/>
        </w:rPr>
        <w:t>Mr. Orgel holds Bachelor of Arts and Master of Arts degrees in International Relations from Stanford University and a Juris Doctor degree from Harvard Law School.</w:t>
      </w:r>
    </w:p>
    <w:p>
      <w:pPr>
        <w:spacing w:after="0" w:line="200" w:lineRule="exact"/>
        <w:rPr>
          <w:sz w:val="20"/>
          <w:szCs w:val="20"/>
          <w:color w:val="auto"/>
        </w:rPr>
      </w:pPr>
    </w:p>
    <w:p>
      <w:pPr>
        <w:sectPr>
          <w:pgSz w:w="11900" w:h="16838" w:orient="portrait"/>
          <w:cols w:equalWidth="0" w:num="2">
            <w:col w:w="2340" w:space="720"/>
            <w:col w:w="7160"/>
          </w:cols>
          <w:pgMar w:left="320" w:top="425" w:right="1359" w:bottom="1440" w:gutter="0" w:footer="0" w:header="0"/>
          <w:type w:val="continuous"/>
        </w:sect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Cosmin</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Pitigoi</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Officer  |  Age: 49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2393FF"/>
        </w:rPr>
        <w:t xml:space="preserve">Cosmin Pitigoi </w:t>
      </w:r>
      <w:r>
        <w:rPr>
          <w:rFonts w:ascii="Arial" w:cs="Arial" w:eastAsia="Arial" w:hAnsi="Arial"/>
          <w:sz w:val="14"/>
          <w:szCs w:val="14"/>
          <w:color w:val="000000"/>
        </w:rPr>
        <w:t>has served as our Chief Financial Officer since March 2024.</w:t>
      </w:r>
    </w:p>
    <w:p>
      <w:pPr>
        <w:spacing w:after="0" w:line="1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Prior to joining Flywire, Mr. Pitigoi served in a variety of senior level positions with PayPal Holdings, Inc. from November 2012 to February 2024, most recently serving as SVP Finance, Global FP&amp;A, Operational Finance and Pricing since January 2023. Commencing in January 2004, Mr. Pitigoi served in a variety of roles at eBay Inc., concluding as director of Investor Relations from December 2010 to November 2012. He began his career as a financial analyst at Barclays Global Investors and brokerage ops supervisor at E*Trade. Mr. Pitigoi served on the board of directors at Paidy Corporation (a PayPal acquisition) and was previously the Audit Committee Chair of the PayPal Giving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4607560" cy="336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07560" cy="336550"/>
                    </a:xfrm>
                    <a:prstGeom prst="rect">
                      <a:avLst/>
                    </a:prstGeom>
                    <a:noFill/>
                  </pic:spPr>
                </pic:pic>
              </a:graphicData>
            </a:graphic>
          </wp:anchor>
        </w:drawing>
      </w:r>
    </w:p>
    <w:p>
      <w:pPr>
        <w:spacing w:after="0" w:line="187" w:lineRule="exact"/>
        <w:rPr>
          <w:sz w:val="20"/>
          <w:szCs w:val="20"/>
          <w:color w:val="auto"/>
        </w:rPr>
      </w:pPr>
    </w:p>
    <w:p>
      <w:pPr>
        <w:ind w:left="140" w:right="280"/>
        <w:spacing w:after="0" w:line="272" w:lineRule="auto"/>
        <w:rPr>
          <w:sz w:val="20"/>
          <w:szCs w:val="20"/>
          <w:color w:val="auto"/>
        </w:rPr>
      </w:pPr>
      <w:r>
        <w:rPr>
          <w:rFonts w:ascii="Arial" w:cs="Arial" w:eastAsia="Arial" w:hAnsi="Arial"/>
          <w:sz w:val="14"/>
          <w:szCs w:val="14"/>
          <w:b w:val="1"/>
          <w:bCs w:val="1"/>
          <w:color w:val="2393FF"/>
        </w:rPr>
        <w:t>Mr. Pitigoi holds a B.Comm. from Stellenbosch University in South Africa and an M.B.A. from Santa Clara University.</w:t>
      </w:r>
    </w:p>
    <w:p>
      <w:pPr>
        <w:spacing w:after="0" w:line="185" w:lineRule="exact"/>
        <w:rPr>
          <w:sz w:val="20"/>
          <w:szCs w:val="20"/>
          <w:color w:val="auto"/>
        </w:rPr>
      </w:pPr>
    </w:p>
    <w:p>
      <w:pPr>
        <w:ind w:left="1220"/>
        <w:spacing w:after="0"/>
        <w:tabs>
          <w:tab w:leader="none" w:pos="2800" w:val="left"/>
        </w:tabs>
        <w:rPr>
          <w:sz w:val="20"/>
          <w:szCs w:val="20"/>
          <w:color w:val="auto"/>
        </w:rPr>
      </w:pPr>
      <w:r>
        <w:rPr>
          <w:rFonts w:ascii="Arial" w:cs="Arial" w:eastAsia="Arial" w:hAnsi="Arial"/>
          <w:sz w:val="11"/>
          <w:szCs w:val="11"/>
          <w:b w:val="1"/>
          <w:bCs w:val="1"/>
          <w:color w:val="auto"/>
        </w:rPr>
        <w:t xml:space="preserve">Flywire Corporation       24 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2">
            <w:col w:w="2340" w:space="720"/>
            <w:col w:w="7160"/>
          </w:cols>
          <w:pgMar w:left="320" w:top="425" w:right="1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63" w:lineRule="exact"/>
        <w:rPr>
          <w:sz w:val="20"/>
          <w:szCs w:val="20"/>
          <w:color w:val="auto"/>
        </w:rPr>
      </w:pPr>
    </w:p>
    <w:p>
      <w:pPr>
        <w:jc w:val="right"/>
        <w:ind w:right="480"/>
        <w:spacing w:after="0"/>
        <w:rPr>
          <w:sz w:val="20"/>
          <w:szCs w:val="20"/>
          <w:color w:val="auto"/>
        </w:rPr>
      </w:pPr>
      <w:r>
        <w:rPr>
          <w:rFonts w:ascii="Arial" w:cs="Arial" w:eastAsia="Arial" w:hAnsi="Arial"/>
          <w:sz w:val="27"/>
          <w:szCs w:val="27"/>
          <w:color w:val="2393FF"/>
        </w:rPr>
        <w:t>Patrick</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Blanc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Chief Technology Officer  |  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-571500</wp:posOffset>
            </wp:positionV>
            <wp:extent cx="7194550" cy="48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4550" cy="48260"/>
                    </a:xfrm>
                    <a:prstGeom prst="rect">
                      <a:avLst/>
                    </a:prstGeom>
                    <a:noFill/>
                  </pic:spPr>
                </pic:pic>
              </a:graphicData>
            </a:graphic>
          </wp:anchor>
        </w:drawing>
      </w:r>
    </w:p>
    <w:p>
      <w:pPr>
        <w:spacing w:after="0" w:line="35" w:lineRule="exact"/>
        <w:rPr>
          <w:sz w:val="20"/>
          <w:szCs w:val="20"/>
          <w:color w:val="auto"/>
        </w:rPr>
      </w:pPr>
    </w:p>
    <w:p>
      <w:pPr>
        <w:spacing w:after="0" w:line="239" w:lineRule="auto"/>
        <w:rPr>
          <w:sz w:val="20"/>
          <w:szCs w:val="20"/>
          <w:color w:val="auto"/>
        </w:rPr>
      </w:pPr>
      <w:r>
        <w:rPr>
          <w:rFonts w:ascii="Arial" w:cs="Arial" w:eastAsia="Arial" w:hAnsi="Arial"/>
          <w:sz w:val="14"/>
          <w:szCs w:val="14"/>
          <w:b w:val="1"/>
          <w:bCs w:val="1"/>
          <w:color w:val="2393FF"/>
        </w:rPr>
        <w:t xml:space="preserve">Patrick Blanc </w:t>
      </w:r>
      <w:r>
        <w:rPr>
          <w:rFonts w:ascii="Arial" w:cs="Arial" w:eastAsia="Arial" w:hAnsi="Arial"/>
          <w:sz w:val="14"/>
          <w:szCs w:val="14"/>
          <w:color w:val="000000"/>
        </w:rPr>
        <w:t>has served as our Chief Technology Officer since February 2026 and is responsible for overseeing</w:t>
      </w:r>
      <w:r>
        <w:rPr>
          <w:rFonts w:ascii="Arial" w:cs="Arial" w:eastAsia="Arial" w:hAnsi="Arial"/>
          <w:sz w:val="14"/>
          <w:szCs w:val="14"/>
          <w:b w:val="1"/>
          <w:bCs w:val="1"/>
          <w:color w:val="2393FF"/>
        </w:rPr>
        <w:t xml:space="preserve"> </w:t>
      </w:r>
      <w:r>
        <w:rPr>
          <w:rFonts w:ascii="Arial" w:cs="Arial" w:eastAsia="Arial" w:hAnsi="Arial"/>
          <w:sz w:val="14"/>
          <w:szCs w:val="14"/>
          <w:color w:val="000000"/>
        </w:rPr>
        <w:t>Flywire’s global engineering, implementation, and technical support organizations, leading our technology strategy and execution across our global payments platform and vertical software. Prior to joining Flywire, from January 2024 to February 2026 Mr. Blanc served as chief technology officer of Ingenico, a global leader in payment acceptance and services. Starting in August 2013, he served in a variety of roles at Visa, concluding as chief technology officer of Value Added Services from January 2022 to September 2023. Prior to Visa, Mr. Blanc spent a decade at PayPal in the U.S. and Singapore, developing deep expertise in mobile commerce, payment software applications, and global engineering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73660</wp:posOffset>
            </wp:positionV>
            <wp:extent cx="4607560" cy="3365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07560" cy="336550"/>
                    </a:xfrm>
                    <a:prstGeom prst="rect">
                      <a:avLst/>
                    </a:prstGeom>
                    <a:noFill/>
                  </pic:spPr>
                </pic:pic>
              </a:graphicData>
            </a:graphic>
          </wp:anchor>
        </w:drawing>
      </w:r>
    </w:p>
    <w:p>
      <w:pPr>
        <w:spacing w:after="0" w:line="185" w:lineRule="exact"/>
        <w:rPr>
          <w:sz w:val="20"/>
          <w:szCs w:val="20"/>
          <w:color w:val="auto"/>
        </w:rPr>
      </w:pPr>
    </w:p>
    <w:p>
      <w:pPr>
        <w:ind w:left="140" w:right="160"/>
        <w:spacing w:after="0" w:line="358" w:lineRule="auto"/>
        <w:rPr>
          <w:sz w:val="20"/>
          <w:szCs w:val="20"/>
          <w:color w:val="auto"/>
        </w:rPr>
      </w:pPr>
      <w:r>
        <w:rPr>
          <w:rFonts w:ascii="Arial" w:cs="Arial" w:eastAsia="Arial" w:hAnsi="Arial"/>
          <w:sz w:val="12"/>
          <w:szCs w:val="12"/>
          <w:b w:val="1"/>
          <w:bCs w:val="1"/>
          <w:color w:val="2393FF"/>
        </w:rPr>
        <w:t>Mr. Blanc studied engineering at the Institut National des Sciences Appliquées (INSA) Lyon and holds a Master’s degree in Computer Science from the Institut National des Sciences Appliquées (INSA) Toulouse.</w:t>
      </w:r>
    </w:p>
    <w:p>
      <w:pPr>
        <w:spacing w:after="0" w:line="200" w:lineRule="exact"/>
        <w:rPr>
          <w:sz w:val="20"/>
          <w:szCs w:val="20"/>
          <w:color w:val="auto"/>
        </w:rPr>
      </w:pPr>
    </w:p>
    <w:p>
      <w:pPr>
        <w:sectPr>
          <w:pgSz w:w="11900" w:h="16838" w:orient="portrait"/>
          <w:cols w:equalWidth="0" w:num="2">
            <w:col w:w="2340" w:space="720"/>
            <w:col w:w="7120"/>
          </w:cols>
          <w:pgMar w:left="320" w:top="425" w:right="1399" w:bottom="1440" w:gutter="0" w:footer="0" w:header="0"/>
        </w:sectPr>
      </w:pPr>
    </w:p>
    <w:p>
      <w:pPr>
        <w:spacing w:after="0" w:line="167"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Peter</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Butterfield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 and Chief Compliance Officer  |  Age: 61</w:t>
      </w:r>
    </w:p>
    <w:p>
      <w:pPr>
        <w:spacing w:after="0" w:line="55" w:lineRule="exact"/>
        <w:rPr>
          <w:sz w:val="20"/>
          <w:szCs w:val="20"/>
          <w:color w:val="auto"/>
        </w:rPr>
      </w:pPr>
    </w:p>
    <w:p>
      <w:pPr>
        <w:ind w:right="40"/>
        <w:spacing w:after="0" w:line="291" w:lineRule="auto"/>
        <w:rPr>
          <w:sz w:val="20"/>
          <w:szCs w:val="20"/>
          <w:color w:val="auto"/>
        </w:rPr>
      </w:pPr>
      <w:r>
        <w:rPr>
          <w:rFonts w:ascii="Arial" w:cs="Arial" w:eastAsia="Arial" w:hAnsi="Arial"/>
          <w:sz w:val="12"/>
          <w:szCs w:val="12"/>
          <w:b w:val="1"/>
          <w:bCs w:val="1"/>
          <w:color w:val="2393FF"/>
        </w:rPr>
        <w:t xml:space="preserve">Peter Butterfield </w:t>
      </w:r>
      <w:r>
        <w:rPr>
          <w:rFonts w:ascii="Arial" w:cs="Arial" w:eastAsia="Arial" w:hAnsi="Arial"/>
          <w:sz w:val="12"/>
          <w:szCs w:val="12"/>
          <w:color w:val="000000"/>
        </w:rPr>
        <w:t>has served as our General Counsel and Chief Compliance Officer since March 2015. Prior to joining</w:t>
      </w:r>
      <w:r>
        <w:rPr>
          <w:rFonts w:ascii="Arial" w:cs="Arial" w:eastAsia="Arial" w:hAnsi="Arial"/>
          <w:sz w:val="12"/>
          <w:szCs w:val="12"/>
          <w:b w:val="1"/>
          <w:bCs w:val="1"/>
          <w:color w:val="2393FF"/>
        </w:rPr>
        <w:t xml:space="preserve"> </w:t>
      </w:r>
      <w:r>
        <w:rPr>
          <w:rFonts w:ascii="Arial" w:cs="Arial" w:eastAsia="Arial" w:hAnsi="Arial"/>
          <w:sz w:val="12"/>
          <w:szCs w:val="12"/>
          <w:color w:val="000000"/>
        </w:rPr>
        <w:t>Flywire, Mr. Butterfield held various senior management roles within Devonshire Investors, the private equity arm of Fidelity Investments, and its operating companies from 2001 to 2015. During that time, Mr. Butterfield lived and worked for over a decade in Tokyo and Singapore managing legal, risk, audit and compliance functions, and leading the ex-Japan APAC operations for KVH Co., Ltd. (subsequently acquired by Colt Technology Services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56515</wp:posOffset>
            </wp:positionV>
            <wp:extent cx="4607560" cy="3365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07560" cy="336550"/>
                    </a:xfrm>
                    <a:prstGeom prst="rect">
                      <a:avLst/>
                    </a:prstGeom>
                    <a:noFill/>
                  </pic:spPr>
                </pic:pic>
              </a:graphicData>
            </a:graphic>
          </wp:anchor>
        </w:drawing>
      </w:r>
    </w:p>
    <w:p>
      <w:pPr>
        <w:spacing w:after="0" w:line="158" w:lineRule="exact"/>
        <w:rPr>
          <w:sz w:val="20"/>
          <w:szCs w:val="20"/>
          <w:color w:val="auto"/>
        </w:rPr>
      </w:pPr>
    </w:p>
    <w:p>
      <w:pPr>
        <w:ind w:left="140"/>
        <w:spacing w:after="0" w:line="272" w:lineRule="auto"/>
        <w:rPr>
          <w:sz w:val="20"/>
          <w:szCs w:val="20"/>
          <w:color w:val="auto"/>
        </w:rPr>
      </w:pPr>
      <w:r>
        <w:rPr>
          <w:rFonts w:ascii="Arial" w:cs="Arial" w:eastAsia="Arial" w:hAnsi="Arial"/>
          <w:sz w:val="14"/>
          <w:szCs w:val="14"/>
          <w:b w:val="1"/>
          <w:bCs w:val="1"/>
          <w:color w:val="2393FF"/>
        </w:rPr>
        <w:t>Mr. Butterfield holds a Bachelor of Arts in History and Government from Bowdoin College and a Juris Doctor degree from Columbia University.</w:t>
      </w:r>
    </w:p>
    <w:p>
      <w:pPr>
        <w:spacing w:after="0" w:line="200" w:lineRule="exact"/>
        <w:rPr>
          <w:sz w:val="20"/>
          <w:szCs w:val="20"/>
          <w:color w:val="auto"/>
        </w:rPr>
      </w:pPr>
    </w:p>
    <w:p>
      <w:pPr>
        <w:sectPr>
          <w:pgSz w:w="11900" w:h="16838" w:orient="portrait"/>
          <w:cols w:equalWidth="0" w:num="2">
            <w:col w:w="2380" w:space="680"/>
            <w:col w:w="7120"/>
          </w:cols>
          <w:pgMar w:left="320" w:top="425" w:right="1399" w:bottom="1440" w:gutter="0" w:footer="0" w:header="0"/>
          <w:type w:val="continuous"/>
        </w:sectPr>
      </w:pPr>
    </w:p>
    <w:p>
      <w:pPr>
        <w:spacing w:after="0" w:line="213"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Mohit</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Kansal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Chief Payments Officer  |  Age: 40</w:t>
      </w:r>
    </w:p>
    <w:p>
      <w:pPr>
        <w:spacing w:after="0" w:line="55"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b w:val="1"/>
          <w:bCs w:val="1"/>
          <w:color w:val="2393FF"/>
        </w:rPr>
        <w:t xml:space="preserve">Mohit Kansal </w:t>
      </w:r>
      <w:r>
        <w:rPr>
          <w:rFonts w:ascii="Arial" w:cs="Arial" w:eastAsia="Arial" w:hAnsi="Arial"/>
          <w:sz w:val="14"/>
          <w:szCs w:val="14"/>
          <w:color w:val="000000"/>
        </w:rPr>
        <w:t>has served as our Chief Payments Officer since March 2025, responsible for overseeing Flywire’s</w:t>
      </w:r>
      <w:r>
        <w:rPr>
          <w:rFonts w:ascii="Arial" w:cs="Arial" w:eastAsia="Arial" w:hAnsi="Arial"/>
          <w:sz w:val="14"/>
          <w:szCs w:val="14"/>
          <w:b w:val="1"/>
          <w:bCs w:val="1"/>
          <w:color w:val="2393FF"/>
        </w:rPr>
        <w:t xml:space="preserve"> </w:t>
      </w:r>
      <w:r>
        <w:rPr>
          <w:rFonts w:ascii="Arial" w:cs="Arial" w:eastAsia="Arial" w:hAnsi="Arial"/>
          <w:sz w:val="14"/>
          <w:szCs w:val="14"/>
          <w:color w:val="000000"/>
        </w:rPr>
        <w:t>payments strategy and offerings including operations, partnerships, processing cost management, monetization and payment-related product management. He held various senior roles at Flywire since joining in April 2016, most recently serving as Senior Vice President, Global Payments &amp; Payer Services. Mr. Kansal has over 18 years of experience in financial services, tech startups, and payments technology, both as an operator and entrepreneur. Prior to Flywire, Mr. Kansal worked in financial services at Merrill Lynch in London and UBS AG in Hong Kong, as well as starting up companies in hardware technology and financial technology sectors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74930</wp:posOffset>
            </wp:positionV>
            <wp:extent cx="4607560" cy="436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07560" cy="436245"/>
                    </a:xfrm>
                    <a:prstGeom prst="rect">
                      <a:avLst/>
                    </a:prstGeom>
                    <a:noFill/>
                  </pic:spPr>
                </pic:pic>
              </a:graphicData>
            </a:graphic>
          </wp:anchor>
        </w:drawing>
      </w:r>
    </w:p>
    <w:p>
      <w:pPr>
        <w:spacing w:after="0" w:line="187" w:lineRule="exact"/>
        <w:rPr>
          <w:sz w:val="20"/>
          <w:szCs w:val="20"/>
          <w:color w:val="auto"/>
        </w:rPr>
      </w:pPr>
    </w:p>
    <w:p>
      <w:pPr>
        <w:jc w:val="both"/>
        <w:ind w:left="140" w:right="300"/>
        <w:spacing w:after="0" w:line="254" w:lineRule="auto"/>
        <w:rPr>
          <w:sz w:val="20"/>
          <w:szCs w:val="20"/>
          <w:color w:val="auto"/>
        </w:rPr>
      </w:pPr>
      <w:r>
        <w:rPr>
          <w:rFonts w:ascii="Arial" w:cs="Arial" w:eastAsia="Arial" w:hAnsi="Arial"/>
          <w:sz w:val="14"/>
          <w:szCs w:val="14"/>
          <w:b w:val="1"/>
          <w:bCs w:val="1"/>
          <w:color w:val="2393FF"/>
        </w:rPr>
        <w:t>Mr. Kansal holds a Bachelor of Technology in Computer Science from the Indian Institute of Technology, Bombay and a Master of Business Administration from the Massachusetts Institute of Technology Sloan School of Management.</w:t>
      </w:r>
    </w:p>
    <w:p>
      <w:pPr>
        <w:spacing w:after="0" w:line="200" w:lineRule="exact"/>
        <w:rPr>
          <w:sz w:val="20"/>
          <w:szCs w:val="20"/>
          <w:color w:val="auto"/>
        </w:rPr>
      </w:pPr>
    </w:p>
    <w:p>
      <w:pPr>
        <w:sectPr>
          <w:pgSz w:w="11900" w:h="16838" w:orient="portrait"/>
          <w:cols w:equalWidth="0" w:num="2">
            <w:col w:w="2340" w:space="720"/>
            <w:col w:w="7120"/>
          </w:cols>
          <w:pgMar w:left="320" w:top="425" w:right="1399" w:bottom="1440" w:gutter="0" w:footer="0" w:header="0"/>
          <w:type w:val="continuous"/>
        </w:sectPr>
      </w:pPr>
    </w:p>
    <w:p>
      <w:pPr>
        <w:spacing w:after="0" w:line="225" w:lineRule="exact"/>
        <w:rPr>
          <w:sz w:val="20"/>
          <w:szCs w:val="20"/>
          <w:color w:val="auto"/>
        </w:rPr>
      </w:pPr>
    </w:p>
    <w:p>
      <w:pPr>
        <w:ind w:left="1020"/>
        <w:spacing w:after="0"/>
        <w:rPr>
          <w:sz w:val="20"/>
          <w:szCs w:val="20"/>
          <w:color w:val="auto"/>
        </w:rPr>
      </w:pPr>
      <w:r>
        <w:rPr>
          <w:rFonts w:ascii="Arial" w:cs="Arial" w:eastAsia="Arial" w:hAnsi="Arial"/>
          <w:sz w:val="27"/>
          <w:szCs w:val="27"/>
          <w:color w:val="2393FF"/>
        </w:rPr>
        <w:t>David</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27"/>
          <w:szCs w:val="27"/>
          <w:b w:val="1"/>
          <w:bCs w:val="1"/>
          <w:color w:val="2393FF"/>
        </w:rPr>
        <w:t>King</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Chief Product Officer and Co-President of Global Education  |  Age: 57</w:t>
      </w:r>
    </w:p>
    <w:p>
      <w:pPr>
        <w:spacing w:after="0" w:line="55"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b w:val="1"/>
          <w:bCs w:val="1"/>
          <w:color w:val="2393FF"/>
        </w:rPr>
        <w:t xml:space="preserve">David King </w:t>
      </w:r>
      <w:r>
        <w:rPr>
          <w:rFonts w:ascii="Arial" w:cs="Arial" w:eastAsia="Arial" w:hAnsi="Arial"/>
          <w:sz w:val="12"/>
          <w:szCs w:val="12"/>
          <w:color w:val="000000"/>
        </w:rPr>
        <w:t>has served as our Chief Product Officer and Co-President of Global Education since February 2026 and is</w:t>
      </w:r>
      <w:r>
        <w:rPr>
          <w:rFonts w:ascii="Arial" w:cs="Arial" w:eastAsia="Arial" w:hAnsi="Arial"/>
          <w:sz w:val="12"/>
          <w:szCs w:val="12"/>
          <w:b w:val="1"/>
          <w:bCs w:val="1"/>
          <w:color w:val="2393FF"/>
        </w:rPr>
        <w:t xml:space="preserve"> </w:t>
      </w:r>
      <w:r>
        <w:rPr>
          <w:rFonts w:ascii="Arial" w:cs="Arial" w:eastAsia="Arial" w:hAnsi="Arial"/>
          <w:sz w:val="12"/>
          <w:szCs w:val="12"/>
          <w:color w:val="000000"/>
        </w:rPr>
        <w:t>responsible for oversight of our product strategy and offerings and solutions development for our education vertical. Mr. King previously served as our Chief Technology Officer from June 2019 through February 2026. Mr. King joined Flywire as our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 Mr. King served as president of Nelnet’s higher education division and led various initiatives in Nelnet such as launching an online medical education program, and leading data security. Mr. King is also an owner of AmagiSoft, LLC, which provides gym membership management software to CrossFit gyms.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161925</wp:posOffset>
            </wp:positionV>
            <wp:extent cx="4607560" cy="3365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07560" cy="336550"/>
                    </a:xfrm>
                    <a:prstGeom prst="rect">
                      <a:avLst/>
                    </a:prstGeom>
                    <a:noFill/>
                  </pic:spPr>
                </pic:pic>
              </a:graphicData>
            </a:graphic>
          </wp:anchor>
        </w:drawing>
      </w:r>
    </w:p>
    <w:p>
      <w:pPr>
        <w:spacing w:after="0" w:line="324" w:lineRule="exact"/>
        <w:rPr>
          <w:sz w:val="20"/>
          <w:szCs w:val="20"/>
          <w:color w:val="auto"/>
        </w:rPr>
      </w:pPr>
    </w:p>
    <w:p>
      <w:pPr>
        <w:ind w:left="140"/>
        <w:spacing w:after="0" w:line="272" w:lineRule="auto"/>
        <w:rPr>
          <w:sz w:val="20"/>
          <w:szCs w:val="20"/>
          <w:color w:val="auto"/>
        </w:rPr>
      </w:pPr>
      <w:r>
        <w:rPr>
          <w:rFonts w:ascii="Arial" w:cs="Arial" w:eastAsia="Arial" w:hAnsi="Arial"/>
          <w:sz w:val="14"/>
          <w:szCs w:val="14"/>
          <w:b w:val="1"/>
          <w:bCs w:val="1"/>
          <w:color w:val="2393FF"/>
        </w:rPr>
        <w:t>Mr. King holds a Bachelor of Science in Mathematics and Physics from Westminster College, and a Master of Science in Physics from Miami University.</w:t>
      </w:r>
    </w:p>
    <w:p>
      <w:pPr>
        <w:spacing w:after="0" w:line="185" w:lineRule="exact"/>
        <w:rPr>
          <w:sz w:val="20"/>
          <w:szCs w:val="20"/>
          <w:color w:val="auto"/>
        </w:rPr>
      </w:pPr>
    </w:p>
    <w:p>
      <w:pPr>
        <w:ind w:left="1220"/>
        <w:spacing w:after="0"/>
        <w:tabs>
          <w:tab w:leader="none" w:pos="2800" w:val="left"/>
        </w:tabs>
        <w:rPr>
          <w:sz w:val="20"/>
          <w:szCs w:val="20"/>
          <w:color w:val="auto"/>
        </w:rPr>
      </w:pPr>
      <w:r>
        <w:rPr>
          <w:rFonts w:ascii="Arial" w:cs="Arial" w:eastAsia="Arial" w:hAnsi="Arial"/>
          <w:sz w:val="11"/>
          <w:szCs w:val="11"/>
          <w:b w:val="1"/>
          <w:bCs w:val="1"/>
          <w:color w:val="auto"/>
        </w:rPr>
        <w:t xml:space="preserve">Flywire Corporation       25 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2">
            <w:col w:w="2340" w:space="720"/>
            <w:col w:w="7120"/>
          </w:cols>
          <w:pgMar w:left="320" w:top="425" w:right="13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6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DISCUSSION AND ANALYSIS (CD&amp;A)</w:t>
      </w:r>
    </w:p>
    <w:p>
      <w:pPr>
        <w:spacing w:after="0" w:line="155" w:lineRule="exact"/>
        <w:rPr>
          <w:sz w:val="20"/>
          <w:szCs w:val="20"/>
          <w:color w:val="auto"/>
        </w:rPr>
      </w:pPr>
    </w:p>
    <w:p>
      <w:pPr>
        <w:ind w:left="1020" w:right="100"/>
        <w:spacing w:after="0"/>
        <w:rPr>
          <w:sz w:val="20"/>
          <w:szCs w:val="20"/>
          <w:color w:val="auto"/>
        </w:rPr>
      </w:pPr>
      <w:r>
        <w:rPr>
          <w:rFonts w:ascii="Arial" w:cs="Arial" w:eastAsia="Arial" w:hAnsi="Arial"/>
          <w:sz w:val="14"/>
          <w:szCs w:val="14"/>
          <w:color w:val="auto"/>
        </w:rPr>
        <w:t>This section discusses our compensation philosophy, summarizes our compensation programs and reviews compensation decisions for our named executive officers (NEOs) for the year ended December 31, 2025 (Fiscal 2025). The following discussion contains forward-looking statements that are based on our current plans, considerations, expectations, and determinations regarding existing and future compensation programs. The actual amount and form of compensation and the compensation policies and practices that we adopt in the future may differ materially from currently planned programs as summarized in this discussion. For Fiscal 2025, our NEOs were:</w:t>
      </w:r>
    </w:p>
    <w:p>
      <w:pPr>
        <w:spacing w:after="0" w:line="164" w:lineRule="exact"/>
        <w:rPr>
          <w:sz w:val="20"/>
          <w:szCs w:val="20"/>
          <w:color w:val="auto"/>
        </w:rPr>
      </w:pPr>
    </w:p>
    <w:p>
      <w:pPr>
        <w:ind w:left="1740" w:hanging="353"/>
        <w:spacing w:after="0"/>
        <w:tabs>
          <w:tab w:leader="none" w:pos="17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Michael Massaro, our Chief Executive Officer and member of our Board of Directors;</w:t>
      </w:r>
    </w:p>
    <w:p>
      <w:pPr>
        <w:spacing w:after="0" w:line="98" w:lineRule="exact"/>
        <w:rPr>
          <w:rFonts w:ascii="Arial" w:cs="Arial" w:eastAsia="Arial" w:hAnsi="Arial"/>
          <w:sz w:val="14"/>
          <w:szCs w:val="14"/>
          <w:color w:val="auto"/>
        </w:rPr>
      </w:pPr>
    </w:p>
    <w:p>
      <w:pPr>
        <w:ind w:left="1740" w:hanging="353"/>
        <w:spacing w:after="0"/>
        <w:tabs>
          <w:tab w:leader="none" w:pos="17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Robert Orgel, our President and Chief Operating Officer;</w:t>
      </w:r>
    </w:p>
    <w:p>
      <w:pPr>
        <w:spacing w:after="0" w:line="98" w:lineRule="exact"/>
        <w:rPr>
          <w:rFonts w:ascii="Arial" w:cs="Arial" w:eastAsia="Arial" w:hAnsi="Arial"/>
          <w:sz w:val="14"/>
          <w:szCs w:val="14"/>
          <w:color w:val="auto"/>
        </w:rPr>
      </w:pPr>
    </w:p>
    <w:p>
      <w:pPr>
        <w:ind w:left="1740" w:hanging="353"/>
        <w:spacing w:after="0"/>
        <w:tabs>
          <w:tab w:leader="none" w:pos="17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Cosmin Pitigoi, our Chief Financial Officer;</w:t>
      </w:r>
    </w:p>
    <w:p>
      <w:pPr>
        <w:spacing w:after="0" w:line="98" w:lineRule="exact"/>
        <w:rPr>
          <w:rFonts w:ascii="Arial" w:cs="Arial" w:eastAsia="Arial" w:hAnsi="Arial"/>
          <w:sz w:val="14"/>
          <w:szCs w:val="14"/>
          <w:color w:val="auto"/>
        </w:rPr>
      </w:pPr>
    </w:p>
    <w:p>
      <w:pPr>
        <w:ind w:left="1740" w:hanging="353"/>
        <w:spacing w:after="0"/>
        <w:tabs>
          <w:tab w:leader="none" w:pos="17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Peter Butterfield, our General Counsel and Chief Compliance Officer; and</w:t>
      </w:r>
    </w:p>
    <w:p>
      <w:pPr>
        <w:spacing w:after="0" w:line="96" w:lineRule="exact"/>
        <w:rPr>
          <w:rFonts w:ascii="Arial" w:cs="Arial" w:eastAsia="Arial" w:hAnsi="Arial"/>
          <w:sz w:val="14"/>
          <w:szCs w:val="14"/>
          <w:color w:val="auto"/>
        </w:rPr>
      </w:pPr>
    </w:p>
    <w:p>
      <w:pPr>
        <w:ind w:left="1740" w:hanging="353"/>
        <w:spacing w:after="0"/>
        <w:tabs>
          <w:tab w:leader="none" w:pos="17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David King, our Chief Product Officer &amp; Co-President of Global Education.</w:t>
      </w:r>
      <w:r>
        <w:rPr>
          <w:rFonts w:ascii="Arial" w:cs="Arial" w:eastAsia="Arial" w:hAnsi="Arial"/>
          <w:sz w:val="20"/>
          <w:szCs w:val="20"/>
          <w:color w:val="auto"/>
          <w:vertAlign w:val="superscript"/>
        </w:rPr>
        <w:t>(1)</w:t>
      </w:r>
    </w:p>
    <w:p>
      <w:pPr>
        <w:spacing w:after="0" w:line="206" w:lineRule="exact"/>
        <w:rPr>
          <w:rFonts w:ascii="Arial" w:cs="Arial" w:eastAsia="Arial" w:hAnsi="Arial"/>
          <w:sz w:val="14"/>
          <w:szCs w:val="14"/>
          <w:color w:val="auto"/>
        </w:rPr>
      </w:pPr>
    </w:p>
    <w:p>
      <w:pPr>
        <w:ind w:left="1380" w:hanging="353"/>
        <w:spacing w:after="0"/>
        <w:tabs>
          <w:tab w:leader="none" w:pos="1380" w:val="left"/>
        </w:tabs>
        <w:numPr>
          <w:ilvl w:val="0"/>
          <w:numId w:val="62"/>
        </w:numPr>
        <w:rPr>
          <w:rFonts w:ascii="Arial" w:cs="Arial" w:eastAsia="Arial" w:hAnsi="Arial"/>
          <w:sz w:val="11"/>
          <w:szCs w:val="11"/>
          <w:color w:val="333333"/>
        </w:rPr>
      </w:pPr>
      <w:r>
        <w:rPr>
          <w:rFonts w:ascii="Arial" w:cs="Arial" w:eastAsia="Arial" w:hAnsi="Arial"/>
          <w:sz w:val="11"/>
          <w:szCs w:val="11"/>
          <w:color w:val="333333"/>
        </w:rPr>
        <w:t>During Fiscal 2025 and until February 23, 2026, Mr. King served as our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-141605</wp:posOffset>
            </wp:positionV>
            <wp:extent cx="81597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5975" cy="6985"/>
                    </a:xfrm>
                    <a:prstGeom prst="rect">
                      <a:avLst/>
                    </a:prstGeom>
                    <a:noFill/>
                  </pic:spPr>
                </pic:pic>
              </a:graphicData>
            </a:graphic>
          </wp:anchor>
        </w:drawing>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FISCAL 2025 BUSINESS HIGHLIGHTS</w:t>
      </w:r>
    </w:p>
    <w:p>
      <w:pPr>
        <w:spacing w:after="0" w:line="143" w:lineRule="exact"/>
        <w:rPr>
          <w:sz w:val="20"/>
          <w:szCs w:val="20"/>
          <w:color w:val="auto"/>
        </w:rPr>
      </w:pPr>
    </w:p>
    <w:p>
      <w:pPr>
        <w:ind w:left="1020" w:right="180"/>
        <w:spacing w:after="0"/>
        <w:rPr>
          <w:sz w:val="20"/>
          <w:szCs w:val="20"/>
          <w:color w:val="auto"/>
        </w:rPr>
      </w:pPr>
      <w:r>
        <w:rPr>
          <w:rFonts w:ascii="Arial" w:cs="Arial" w:eastAsia="Arial" w:hAnsi="Arial"/>
          <w:sz w:val="14"/>
          <w:szCs w:val="14"/>
          <w:color w:val="auto"/>
        </w:rPr>
        <w:t>During Fiscal 2025, we continued to make targeted investments in go-to-market, geographic expansion, payment network growth, strategic partnership integrations and product and payment innovation. We saw the benefits of the execution of these growth strategies with notable success in our key investment areas, as we efficiently won new clients and cross-sold and up-sold existing ones. Despite the uncertain macroeconomic backdrop, the sustainability of our business model, combined with the resilience of the industries we serve, continued to position us well for ongoing success. Our business achievements during Fiscal 2025 include:</w:t>
      </w:r>
    </w:p>
    <w:p>
      <w:pPr>
        <w:spacing w:after="0" w:line="162" w:lineRule="exact"/>
        <w:rPr>
          <w:sz w:val="20"/>
          <w:szCs w:val="20"/>
          <w:color w:val="auto"/>
        </w:rPr>
      </w:pPr>
    </w:p>
    <w:p>
      <w:pPr>
        <w:ind w:left="1740" w:right="180" w:hanging="353"/>
        <w:spacing w:after="0" w:line="261" w:lineRule="auto"/>
        <w:tabs>
          <w:tab w:leader="none" w:pos="174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Performance Metrics</w:t>
      </w:r>
      <w:r>
        <w:rPr>
          <w:rFonts w:ascii="Arial" w:cs="Arial" w:eastAsia="Arial" w:hAnsi="Arial"/>
          <w:sz w:val="14"/>
          <w:szCs w:val="14"/>
          <w:color w:val="auto"/>
        </w:rPr>
        <w:t>. We reported growth across many of our key performance metrics. Our total payment volume was over $37.6 billion,</w:t>
      </w:r>
      <w:r>
        <w:rPr>
          <w:rFonts w:ascii="Arial" w:cs="Arial" w:eastAsia="Arial" w:hAnsi="Arial"/>
          <w:sz w:val="14"/>
          <w:szCs w:val="14"/>
          <w:b w:val="1"/>
          <w:bCs w:val="1"/>
          <w:color w:val="auto"/>
        </w:rPr>
        <w:t xml:space="preserve"> </w:t>
      </w:r>
      <w:r>
        <w:rPr>
          <w:rFonts w:ascii="Arial" w:cs="Arial" w:eastAsia="Arial" w:hAnsi="Arial"/>
          <w:sz w:val="14"/>
          <w:szCs w:val="14"/>
          <w:color w:val="auto"/>
        </w:rPr>
        <w:t>an increase of 26.6% year-over-year. Revenue increased 26.4% year-over-year to $623 million.</w:t>
      </w:r>
    </w:p>
    <w:p>
      <w:pPr>
        <w:spacing w:after="0" w:line="145" w:lineRule="exact"/>
        <w:rPr>
          <w:rFonts w:ascii="Arial" w:cs="Arial" w:eastAsia="Arial" w:hAnsi="Arial"/>
          <w:sz w:val="14"/>
          <w:szCs w:val="14"/>
          <w:color w:val="auto"/>
        </w:rPr>
      </w:pPr>
    </w:p>
    <w:p>
      <w:pPr>
        <w:ind w:left="1740" w:right="40" w:hanging="353"/>
        <w:spacing w:after="0" w:line="241" w:lineRule="auto"/>
        <w:tabs>
          <w:tab w:leader="none" w:pos="174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Client Growth</w:t>
      </w:r>
      <w:r>
        <w:rPr>
          <w:rFonts w:ascii="Arial" w:cs="Arial" w:eastAsia="Arial" w:hAnsi="Arial"/>
          <w:sz w:val="14"/>
          <w:szCs w:val="14"/>
          <w:color w:val="auto"/>
        </w:rPr>
        <w:t>. We added over 750 new clients across 52 countries, ending the year with approximately 5,000 clients (excluding our Sertifi</w:t>
      </w:r>
      <w:r>
        <w:rPr>
          <w:rFonts w:ascii="Arial" w:cs="Arial" w:eastAsia="Arial" w:hAnsi="Arial"/>
          <w:sz w:val="14"/>
          <w:szCs w:val="14"/>
          <w:b w:val="1"/>
          <w:bCs w:val="1"/>
          <w:color w:val="auto"/>
        </w:rPr>
        <w:t xml:space="preserve"> </w:t>
      </w:r>
      <w:r>
        <w:rPr>
          <w:rFonts w:ascii="Arial" w:cs="Arial" w:eastAsia="Arial" w:hAnsi="Arial"/>
          <w:sz w:val="14"/>
          <w:szCs w:val="14"/>
          <w:color w:val="auto"/>
        </w:rPr>
        <w:t>and Invoiced acquisitions) in our four primary verticals as we continued to win new clients and expand our channel partnerships around the world. We continued to help our clients get paid and help their customers pay with ease – no matter where they are in the world. In addition, we continued to focus on solving the major pain points for our clients and continue to invest in accelerating our ability to build, sell and deploy new solutions.</w:t>
      </w:r>
    </w:p>
    <w:p>
      <w:pPr>
        <w:spacing w:after="0" w:line="160" w:lineRule="exact"/>
        <w:rPr>
          <w:rFonts w:ascii="Arial" w:cs="Arial" w:eastAsia="Arial" w:hAnsi="Arial"/>
          <w:sz w:val="14"/>
          <w:szCs w:val="14"/>
          <w:color w:val="auto"/>
        </w:rPr>
      </w:pPr>
    </w:p>
    <w:p>
      <w:pPr>
        <w:ind w:left="1740" w:right="20" w:hanging="353"/>
        <w:spacing w:after="0" w:line="243" w:lineRule="auto"/>
        <w:tabs>
          <w:tab w:leader="none" w:pos="174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Successful Acquisitions</w:t>
      </w:r>
      <w:r>
        <w:rPr>
          <w:rFonts w:ascii="Arial" w:cs="Arial" w:eastAsia="Arial" w:hAnsi="Arial"/>
          <w:sz w:val="14"/>
          <w:szCs w:val="14"/>
          <w:color w:val="auto"/>
        </w:rPr>
        <w:t>. In February 2025, we acquired Sertifi, a vertical software and payments platform digitizing hospitality-specific</w:t>
      </w:r>
      <w:r>
        <w:rPr>
          <w:rFonts w:ascii="Arial" w:cs="Arial" w:eastAsia="Arial" w:hAnsi="Arial"/>
          <w:sz w:val="14"/>
          <w:szCs w:val="14"/>
          <w:b w:val="1"/>
          <w:bCs w:val="1"/>
          <w:color w:val="auto"/>
        </w:rPr>
        <w:t xml:space="preserve"> </w:t>
      </w:r>
      <w:r>
        <w:rPr>
          <w:rFonts w:ascii="Arial" w:cs="Arial" w:eastAsia="Arial" w:hAnsi="Arial"/>
          <w:sz w:val="14"/>
          <w:szCs w:val="14"/>
          <w:color w:val="auto"/>
        </w:rPr>
        <w:t>workflows and associated payments in our travel vertical. This follows our August 2024 acquisition and successful integration of Invoiced, Inc. in our B2B vertical, and our education vertical acquisitions and successful integration of each of Cohort Solutions Pty Ltd. (CohortGo) in Australia in 2022 and Learning Information Systems Pty Ltd (StudyLink) in Australia in November 2023.</w:t>
      </w:r>
    </w:p>
    <w:p>
      <w:pPr>
        <w:spacing w:after="0" w:line="159" w:lineRule="exact"/>
        <w:rPr>
          <w:rFonts w:ascii="Arial" w:cs="Arial" w:eastAsia="Arial" w:hAnsi="Arial"/>
          <w:sz w:val="14"/>
          <w:szCs w:val="14"/>
          <w:color w:val="auto"/>
        </w:rPr>
      </w:pPr>
    </w:p>
    <w:p>
      <w:pPr>
        <w:ind w:left="1740" w:hanging="353"/>
        <w:spacing w:after="0"/>
        <w:tabs>
          <w:tab w:leader="none" w:pos="174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Strengthening of Payment Networks</w:t>
      </w:r>
      <w:r>
        <w:rPr>
          <w:rFonts w:ascii="Arial" w:cs="Arial" w:eastAsia="Arial" w:hAnsi="Arial"/>
          <w:sz w:val="14"/>
          <w:szCs w:val="14"/>
          <w:color w:val="auto"/>
        </w:rPr>
        <w:t>. Flywire continued to invest in its proprietary global payment network with a particular focus on</w:t>
      </w:r>
      <w:r>
        <w:rPr>
          <w:rFonts w:ascii="Arial" w:cs="Arial" w:eastAsia="Arial" w:hAnsi="Arial"/>
          <w:sz w:val="14"/>
          <w:szCs w:val="14"/>
          <w:b w:val="1"/>
          <w:bCs w:val="1"/>
          <w:color w:val="auto"/>
        </w:rPr>
        <w:t xml:space="preserve"> </w:t>
      </w:r>
      <w:r>
        <w:rPr>
          <w:rFonts w:ascii="Arial" w:cs="Arial" w:eastAsia="Arial" w:hAnsi="Arial"/>
          <w:sz w:val="14"/>
          <w:szCs w:val="14"/>
          <w:color w:val="auto"/>
        </w:rPr>
        <w:t>building new acceptance rails, increasing localization efforts, and expanding its domestic payments capabilities all around the world. For example, Flywire added stablecoin (digital currency) capabilities and expanded our partnerships to integrate WeChat pay for Chinese students in South Korea and Malaysia, and we launched a strategic partnership to simplify the process of disbursing education loan payments for Indian students pursuing education opportunities abroad. We also optimized local payment experiences in Australia, the United Kingdom and Europe, driving higher conversion rates and an improved payer experience.</w:t>
      </w:r>
    </w:p>
    <w:p>
      <w:pPr>
        <w:spacing w:after="0" w:line="160" w:lineRule="exact"/>
        <w:rPr>
          <w:rFonts w:ascii="Arial" w:cs="Arial" w:eastAsia="Arial" w:hAnsi="Arial"/>
          <w:sz w:val="14"/>
          <w:szCs w:val="14"/>
          <w:color w:val="auto"/>
        </w:rPr>
      </w:pPr>
    </w:p>
    <w:p>
      <w:pPr>
        <w:ind w:left="1740" w:right="60" w:hanging="353"/>
        <w:spacing w:after="0" w:line="243" w:lineRule="auto"/>
        <w:tabs>
          <w:tab w:leader="none" w:pos="1740" w:val="left"/>
        </w:tabs>
        <w:numPr>
          <w:ilvl w:val="0"/>
          <w:numId w:val="63"/>
        </w:numPr>
        <w:rPr>
          <w:rFonts w:ascii="Arial" w:cs="Arial" w:eastAsia="Arial" w:hAnsi="Arial"/>
          <w:sz w:val="14"/>
          <w:szCs w:val="14"/>
          <w:color w:val="auto"/>
        </w:rPr>
      </w:pPr>
      <w:r>
        <w:rPr>
          <w:rFonts w:ascii="Arial" w:cs="Arial" w:eastAsia="Arial" w:hAnsi="Arial"/>
          <w:sz w:val="14"/>
          <w:szCs w:val="14"/>
          <w:b w:val="1"/>
          <w:bCs w:val="1"/>
          <w:color w:val="auto"/>
        </w:rPr>
        <w:t>Share Repurchase Program</w:t>
      </w:r>
      <w:r>
        <w:rPr>
          <w:rFonts w:ascii="Arial" w:cs="Arial" w:eastAsia="Arial" w:hAnsi="Arial"/>
          <w:sz w:val="14"/>
          <w:szCs w:val="14"/>
          <w:color w:val="auto"/>
        </w:rPr>
        <w:t>. On August 6, 2024, we announced a share repurchase program (the Repurchase Program) pursuant to which</w:t>
      </w:r>
      <w:r>
        <w:rPr>
          <w:rFonts w:ascii="Arial" w:cs="Arial" w:eastAsia="Arial" w:hAnsi="Arial"/>
          <w:sz w:val="14"/>
          <w:szCs w:val="14"/>
          <w:b w:val="1"/>
          <w:bCs w:val="1"/>
          <w:color w:val="auto"/>
        </w:rPr>
        <w:t xml:space="preserve"> </w:t>
      </w:r>
      <w:r>
        <w:rPr>
          <w:rFonts w:ascii="Arial" w:cs="Arial" w:eastAsia="Arial" w:hAnsi="Arial"/>
          <w:sz w:val="14"/>
          <w:szCs w:val="14"/>
          <w:color w:val="auto"/>
        </w:rPr>
        <w:t>we may, from time to time, purchase shares of our voting and non-voting common stock for an aggregate purchase price not to exceed $150 million. In July 2025, our Board of Directors approved an increase in the aggregate amount of voting and non-voting common stock outstanding that may be repurchased under the</w:t>
      </w:r>
    </w:p>
    <w:p>
      <w:pPr>
        <w:spacing w:after="0" w:line="10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26 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760" w:right="300"/>
        <w:spacing w:after="0" w:line="296" w:lineRule="auto"/>
        <w:rPr>
          <w:sz w:val="20"/>
          <w:szCs w:val="20"/>
          <w:color w:val="auto"/>
        </w:rPr>
      </w:pPr>
      <w:r>
        <w:rPr>
          <w:rFonts w:ascii="Arial" w:cs="Arial" w:eastAsia="Arial" w:hAnsi="Arial"/>
          <w:sz w:val="12"/>
          <w:szCs w:val="12"/>
          <w:color w:val="auto"/>
        </w:rPr>
        <w:t>Repurchase Program by an additional $150 million, bringing the total authorized amount under the Repurchase Program to $300 million. During the year ended December 31, 2025, we repurchased 5,623,829 shares of our common stock for an aggregate amount (including commissions and accrued excise tax) of $72.9 million under the Repurchase Program. As of December 31, 2025, approximately $181.9 million of the $300.0 million authorized amount under the Repurchase Program remained available for repurchases.</w:t>
      </w:r>
    </w:p>
    <w:p>
      <w:pPr>
        <w:spacing w:after="0" w:line="129" w:lineRule="exact"/>
        <w:rPr>
          <w:sz w:val="20"/>
          <w:szCs w:val="20"/>
          <w:color w:val="auto"/>
        </w:rPr>
      </w:pPr>
    </w:p>
    <w:p>
      <w:pPr>
        <w:ind w:left="1740" w:right="60" w:hanging="353"/>
        <w:spacing w:after="0" w:line="243" w:lineRule="auto"/>
        <w:tabs>
          <w:tab w:leader="none" w:pos="1740"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Employee Growth and Culture</w:t>
      </w:r>
      <w:r>
        <w:rPr>
          <w:rFonts w:ascii="Arial" w:cs="Arial" w:eastAsia="Arial" w:hAnsi="Arial"/>
          <w:sz w:val="14"/>
          <w:szCs w:val="14"/>
          <w:color w:val="auto"/>
        </w:rPr>
        <w:t>. With a workforce that spans more than 15 countries/territories, and represents more than 60 nationalities</w:t>
      </w:r>
      <w:r>
        <w:rPr>
          <w:rFonts w:ascii="Arial" w:cs="Arial" w:eastAsia="Arial" w:hAnsi="Arial"/>
          <w:sz w:val="14"/>
          <w:szCs w:val="14"/>
          <w:b w:val="1"/>
          <w:bCs w:val="1"/>
          <w:color w:val="auto"/>
        </w:rPr>
        <w:t xml:space="preserve"> </w:t>
      </w:r>
      <w:r>
        <w:rPr>
          <w:rFonts w:ascii="Arial" w:cs="Arial" w:eastAsia="Arial" w:hAnsi="Arial"/>
          <w:sz w:val="14"/>
          <w:szCs w:val="14"/>
          <w:color w:val="auto"/>
        </w:rPr>
        <w:t>and over 35 spoken languages, we remain committed to growing high performance teams. We also strengthened our executive team with several key appointments designed to drive strategic growth and commercial excellence, including newly formed Chief Payments Officer and Chief Commercial Officer roles, as well as welcoming a new Chief People Officer.</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FISCAL 2025 EXECUTIVE COMPENSATION PROGRAM HIGHLIGHTS</w:t>
      </w:r>
    </w:p>
    <w:p>
      <w:pPr>
        <w:spacing w:after="0" w:line="143" w:lineRule="exact"/>
        <w:rPr>
          <w:sz w:val="20"/>
          <w:szCs w:val="20"/>
          <w:color w:val="auto"/>
        </w:rPr>
      </w:pPr>
    </w:p>
    <w:p>
      <w:pPr>
        <w:ind w:left="1020" w:right="60"/>
        <w:spacing w:after="0" w:line="258" w:lineRule="auto"/>
        <w:rPr>
          <w:sz w:val="20"/>
          <w:szCs w:val="20"/>
          <w:color w:val="auto"/>
        </w:rPr>
      </w:pPr>
      <w:r>
        <w:rPr>
          <w:rFonts w:ascii="Arial" w:cs="Arial" w:eastAsia="Arial" w:hAnsi="Arial"/>
          <w:sz w:val="14"/>
          <w:szCs w:val="14"/>
          <w:color w:val="auto"/>
        </w:rPr>
        <w:t>Our Fiscal 2025 compensation program for our NEOs reflects our overarching philosophy of pay for performance. Highlights of our Fiscal 2025 executive compensation program include:</w:t>
      </w:r>
    </w:p>
    <w:p>
      <w:pPr>
        <w:spacing w:after="0" w:line="148" w:lineRule="exact"/>
        <w:rPr>
          <w:sz w:val="20"/>
          <w:szCs w:val="20"/>
          <w:color w:val="auto"/>
        </w:rPr>
      </w:pPr>
    </w:p>
    <w:p>
      <w:pPr>
        <w:ind w:left="1740" w:right="220" w:hanging="353"/>
        <w:spacing w:after="0" w:line="248" w:lineRule="auto"/>
        <w:tabs>
          <w:tab w:leader="none" w:pos="1740"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 xml:space="preserve">Reviewed our Peer Group of Publicly-traded Companies. </w:t>
      </w:r>
      <w:r>
        <w:rPr>
          <w:rFonts w:ascii="Arial" w:cs="Arial" w:eastAsia="Arial" w:hAnsi="Arial"/>
          <w:sz w:val="14"/>
          <w:szCs w:val="14"/>
          <w:color w:val="auto"/>
        </w:rPr>
        <w:t>The People &amp; Compensation Committee of our Board of Directors (People &amp;</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Committee) reviewed and updated our peer group of publicly-traded technology companies to evaluate our compensation practices for purposes such as pay levels and compensation program design for our NEOs.</w:t>
      </w:r>
    </w:p>
    <w:p>
      <w:pPr>
        <w:spacing w:after="0" w:line="154" w:lineRule="exact"/>
        <w:rPr>
          <w:rFonts w:ascii="Arial" w:cs="Arial" w:eastAsia="Arial" w:hAnsi="Arial"/>
          <w:sz w:val="14"/>
          <w:szCs w:val="14"/>
          <w:color w:val="auto"/>
        </w:rPr>
      </w:pPr>
    </w:p>
    <w:p>
      <w:pPr>
        <w:ind w:left="1740" w:hanging="353"/>
        <w:spacing w:after="0" w:line="224" w:lineRule="auto"/>
        <w:tabs>
          <w:tab w:leader="none" w:pos="1740"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Review of Total Compensation Opportunities</w:t>
      </w:r>
      <w:r>
        <w:rPr>
          <w:rFonts w:ascii="Arial" w:cs="Arial" w:eastAsia="Arial" w:hAnsi="Arial"/>
          <w:sz w:val="14"/>
          <w:szCs w:val="14"/>
          <w:color w:val="auto"/>
        </w:rPr>
        <w:t>. The People &amp; Compensation Committee evaluated the competitive positioning of our NEOs’</w:t>
      </w:r>
      <w:r>
        <w:rPr>
          <w:rFonts w:ascii="Arial" w:cs="Arial" w:eastAsia="Arial" w:hAnsi="Arial"/>
          <w:sz w:val="14"/>
          <w:szCs w:val="14"/>
          <w:b w:val="1"/>
          <w:bCs w:val="1"/>
          <w:color w:val="auto"/>
        </w:rPr>
        <w:t xml:space="preserve"> </w:t>
      </w:r>
      <w:r>
        <w:rPr>
          <w:rFonts w:ascii="Arial" w:cs="Arial" w:eastAsia="Arial" w:hAnsi="Arial"/>
          <w:sz w:val="14"/>
          <w:szCs w:val="14"/>
          <w:color w:val="auto"/>
        </w:rPr>
        <w:t>compensation relative to the market and made adjustments considering both internal and external factors. In terms of market positioning, the People &amp; Compensation Committee reference the 50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- 75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percentile range of market for target total compensation, with compensation weighted more heavily towards equity and actual positioning varying based on a variety of factors including but not limited to performance, role, responsibility and experience. In August 2025, we amended and restated the employment agreements with our NEOs to reflect these changes.</w:t>
      </w:r>
    </w:p>
    <w:p>
      <w:pPr>
        <w:spacing w:after="0" w:line="160" w:lineRule="exact"/>
        <w:rPr>
          <w:rFonts w:ascii="Arial" w:cs="Arial" w:eastAsia="Arial" w:hAnsi="Arial"/>
          <w:sz w:val="14"/>
          <w:szCs w:val="14"/>
          <w:color w:val="auto"/>
        </w:rPr>
      </w:pPr>
    </w:p>
    <w:p>
      <w:pPr>
        <w:ind w:left="1740" w:right="160" w:hanging="353"/>
        <w:spacing w:after="0" w:line="243" w:lineRule="auto"/>
        <w:tabs>
          <w:tab w:leader="none" w:pos="1740"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Challenging Annual Incentive Goals</w:t>
      </w:r>
      <w:r>
        <w:rPr>
          <w:rFonts w:ascii="Arial" w:cs="Arial" w:eastAsia="Arial" w:hAnsi="Arial"/>
          <w:sz w:val="14"/>
          <w:szCs w:val="14"/>
          <w:color w:val="auto"/>
        </w:rPr>
        <w:t>. Our NEOs were eligible to earn a cash bonus based on our achievement of annual corporate goals</w:t>
      </w:r>
      <w:r>
        <w:rPr>
          <w:rFonts w:ascii="Arial" w:cs="Arial" w:eastAsia="Arial" w:hAnsi="Arial"/>
          <w:sz w:val="14"/>
          <w:szCs w:val="14"/>
          <w:b w:val="1"/>
          <w:bCs w:val="1"/>
          <w:color w:val="auto"/>
        </w:rPr>
        <w:t xml:space="preserve"> </w:t>
      </w:r>
      <w:r>
        <w:rPr>
          <w:rFonts w:ascii="Arial" w:cs="Arial" w:eastAsia="Arial" w:hAnsi="Arial"/>
          <w:sz w:val="14"/>
          <w:szCs w:val="14"/>
          <w:color w:val="auto"/>
        </w:rPr>
        <w:t>established by our People &amp; Compensation Committee. Based on our Fiscal 2025 performance (excluding Sertifi), including our Revenue Less Ancillary Services (FXN) Growth Rate of 16.4% and adjusted EBITDA margin of 19.7%, our NEOs earned bonuses of 122% of their target bonus for the year.</w:t>
      </w:r>
    </w:p>
    <w:p>
      <w:pPr>
        <w:spacing w:after="0" w:line="159" w:lineRule="exact"/>
        <w:rPr>
          <w:rFonts w:ascii="Arial" w:cs="Arial" w:eastAsia="Arial" w:hAnsi="Arial"/>
          <w:sz w:val="14"/>
          <w:szCs w:val="14"/>
          <w:color w:val="auto"/>
        </w:rPr>
      </w:pPr>
    </w:p>
    <w:p>
      <w:pPr>
        <w:ind w:left="1740" w:right="20" w:hanging="353"/>
        <w:spacing w:after="0" w:line="241" w:lineRule="auto"/>
        <w:tabs>
          <w:tab w:leader="none" w:pos="1740" w:val="left"/>
        </w:tabs>
        <w:numPr>
          <w:ilvl w:val="0"/>
          <w:numId w:val="65"/>
        </w:numPr>
        <w:rPr>
          <w:rFonts w:ascii="Arial" w:cs="Arial" w:eastAsia="Arial" w:hAnsi="Arial"/>
          <w:sz w:val="14"/>
          <w:szCs w:val="14"/>
          <w:color w:val="auto"/>
        </w:rPr>
      </w:pPr>
      <w:r>
        <w:rPr>
          <w:rFonts w:ascii="Arial" w:cs="Arial" w:eastAsia="Arial" w:hAnsi="Arial"/>
          <w:sz w:val="14"/>
          <w:szCs w:val="14"/>
          <w:b w:val="1"/>
          <w:bCs w:val="1"/>
          <w:color w:val="auto"/>
        </w:rPr>
        <w:t xml:space="preserve">Compensation Mix Weighted Towards Equity. </w:t>
      </w:r>
      <w:r>
        <w:rPr>
          <w:rFonts w:ascii="Arial" w:cs="Arial" w:eastAsia="Arial" w:hAnsi="Arial"/>
          <w:sz w:val="14"/>
          <w:szCs w:val="14"/>
          <w:color w:val="auto"/>
        </w:rPr>
        <w:t>Our NEOs’ total target direct compensation mix was more weighted towards equity than</w:t>
      </w:r>
      <w:r>
        <w:rPr>
          <w:rFonts w:ascii="Arial" w:cs="Arial" w:eastAsia="Arial" w:hAnsi="Arial"/>
          <w:sz w:val="14"/>
          <w:szCs w:val="14"/>
          <w:b w:val="1"/>
          <w:bCs w:val="1"/>
          <w:color w:val="auto"/>
        </w:rPr>
        <w:t xml:space="preserve"> </w:t>
      </w:r>
      <w:r>
        <w:rPr>
          <w:rFonts w:ascii="Arial" w:cs="Arial" w:eastAsia="Arial" w:hAnsi="Arial"/>
          <w:sz w:val="14"/>
          <w:szCs w:val="14"/>
          <w:color w:val="auto"/>
        </w:rPr>
        <w:t>cash to emphasize alignment with stockholders and long-term performance. In Fiscal 2025, we granted an average of over 80% of our NEOs’ target direct compensation as equity-based compensation in the form of restricted stock unit awards (RSUs). We believe that RSUs, as well as certain previously issued stock options that continued to vest in 2025, support retention and effectively align the interests of our executives with those of our stockholders by directly linking compensation to the value of our common stock.</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STOCKHOLDER ENGAGEMENT &amp; CHANGES FOR 2026</w:t>
      </w:r>
    </w:p>
    <w:p>
      <w:pPr>
        <w:spacing w:after="0" w:line="143" w:lineRule="exact"/>
        <w:rPr>
          <w:sz w:val="20"/>
          <w:szCs w:val="20"/>
          <w:color w:val="auto"/>
        </w:rPr>
      </w:pPr>
    </w:p>
    <w:p>
      <w:pPr>
        <w:ind w:left="1020"/>
        <w:spacing w:after="0" w:line="237" w:lineRule="auto"/>
        <w:rPr>
          <w:sz w:val="20"/>
          <w:szCs w:val="20"/>
          <w:color w:val="auto"/>
        </w:rPr>
      </w:pPr>
      <w:r>
        <w:rPr>
          <w:rFonts w:ascii="Arial" w:cs="Arial" w:eastAsia="Arial" w:hAnsi="Arial"/>
          <w:sz w:val="14"/>
          <w:szCs w:val="14"/>
          <w:color w:val="auto"/>
        </w:rPr>
        <w:t>Following the Company’s 2025 Say-on-Pay vote, Flywire conducted targeted stockholder outreach as part of the People &amp; Compensation Committee’s ongoing commitment to strong governance and responsiveness to stockholder feedback regarding executive compensation practices. During this outreach, the Company reached out to stockholders representing approximately 50% of our outstanding shares and then met with stockholders representing approximately 40% of outstanding shares, including 15 of the Company’s top 20 largest institutional stockholders. Engagement discussions were led by the Company’s Chief Financial Officer, General Counsel and Chief Compliance Officer and Vice President of Investor Relations, with participation (when requested by the stockholder) and oversight from the independent People &amp; Compensation Committee, and focused on executive compensation design and governance, long-term incentive alignment, equity retention practices, and various other compensation matters. Feedback from these discussions was shared with and considered by the People &amp; Compensation Committee as part of its evaluation of the executive compensation program. In response to this stockholder feedback, we have included a new Director Skills and Experience table. See the Election of Directors – Director and Director Nominee Skills and Experience section above.</w:t>
      </w:r>
    </w:p>
    <w:p>
      <w:pPr>
        <w:spacing w:after="0" w:line="134" w:lineRule="exact"/>
        <w:rPr>
          <w:sz w:val="20"/>
          <w:szCs w:val="20"/>
          <w:color w:val="auto"/>
        </w:rPr>
      </w:pPr>
    </w:p>
    <w:p>
      <w:pPr>
        <w:ind w:left="1020" w:right="20"/>
        <w:spacing w:after="0"/>
        <w:rPr>
          <w:sz w:val="20"/>
          <w:szCs w:val="20"/>
          <w:color w:val="auto"/>
        </w:rPr>
      </w:pPr>
      <w:r>
        <w:rPr>
          <w:rFonts w:ascii="Arial" w:cs="Arial" w:eastAsia="Arial" w:hAnsi="Arial"/>
          <w:sz w:val="14"/>
          <w:szCs w:val="14"/>
          <w:color w:val="auto"/>
        </w:rPr>
        <w:t>Further, based on stockholder feedback received during this outreach, and as part of our ongoing review of compensation practices, we implemented a one-year post-vesting holding requirement for equity awards granted to executive officers beginning in the year ending December 31, 2026 (Fiscal 2026). This requires Flywire executive officers to hold the after-tax shares issued upon vesting and settlement of RSUs for one year from the vesting date, or if sooner until termination of employment, death or a change in control. Flywire believes this enhancement further aligns executives with long-term Company performance and long-term stockholder value creation.</w:t>
      </w:r>
    </w:p>
    <w:p>
      <w:pPr>
        <w:spacing w:after="0" w:line="103"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27 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00"/>
          </w:cols>
          <w:pgMar w:left="320" w:top="425" w:right="1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PHILOSOPHY AND OBJECTIVES</w:t>
      </w:r>
    </w:p>
    <w:p>
      <w:pPr>
        <w:spacing w:after="0" w:line="143" w:lineRule="exact"/>
        <w:rPr>
          <w:sz w:val="20"/>
          <w:szCs w:val="20"/>
          <w:color w:val="auto"/>
        </w:rPr>
      </w:pPr>
    </w:p>
    <w:p>
      <w:pPr>
        <w:ind w:left="1020" w:right="1720"/>
        <w:spacing w:after="0" w:line="258" w:lineRule="auto"/>
        <w:rPr>
          <w:sz w:val="20"/>
          <w:szCs w:val="20"/>
          <w:color w:val="auto"/>
        </w:rPr>
      </w:pPr>
      <w:r>
        <w:rPr>
          <w:rFonts w:ascii="Arial" w:cs="Arial" w:eastAsia="Arial" w:hAnsi="Arial"/>
          <w:sz w:val="14"/>
          <w:szCs w:val="14"/>
          <w:color w:val="auto"/>
        </w:rPr>
        <w:t>Our compensation philosophy and guiding principles provide a framework for the development and management of our executive compensation programs and practices.</w:t>
      </w:r>
    </w:p>
    <w:p>
      <w:pPr>
        <w:spacing w:after="0" w:line="170" w:lineRule="exact"/>
        <w:rPr>
          <w:sz w:val="20"/>
          <w:szCs w:val="20"/>
          <w:color w:val="auto"/>
        </w:rPr>
      </w:pPr>
    </w:p>
    <w:p>
      <w:pPr>
        <w:ind w:left="1740" w:right="1680" w:hanging="353"/>
        <w:spacing w:after="0" w:line="261" w:lineRule="auto"/>
        <w:tabs>
          <w:tab w:leader="none" w:pos="174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Competitive. </w:t>
      </w:r>
      <w:r>
        <w:rPr>
          <w:rFonts w:ascii="Arial" w:cs="Arial" w:eastAsia="Arial" w:hAnsi="Arial"/>
          <w:sz w:val="14"/>
          <w:szCs w:val="14"/>
          <w:color w:val="auto"/>
        </w:rPr>
        <w:t>Our compensation programs should be market-competitive, enabling Flywire to attract and retain top talent in a highly-competitive global, technology market.</w:t>
      </w:r>
    </w:p>
    <w:p>
      <w:pPr>
        <w:spacing w:after="0" w:line="145" w:lineRule="exact"/>
        <w:rPr>
          <w:rFonts w:ascii="Arial" w:cs="Arial" w:eastAsia="Arial" w:hAnsi="Arial"/>
          <w:sz w:val="14"/>
          <w:szCs w:val="14"/>
          <w:color w:val="auto"/>
        </w:rPr>
      </w:pPr>
    </w:p>
    <w:p>
      <w:pPr>
        <w:ind w:left="1740" w:right="1300" w:hanging="353"/>
        <w:spacing w:after="0" w:line="248" w:lineRule="auto"/>
        <w:tabs>
          <w:tab w:leader="none" w:pos="174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Pay-for-Performance. </w:t>
      </w:r>
      <w:r>
        <w:rPr>
          <w:rFonts w:ascii="Arial" w:cs="Arial" w:eastAsia="Arial" w:hAnsi="Arial"/>
          <w:sz w:val="14"/>
          <w:szCs w:val="14"/>
          <w:color w:val="auto"/>
        </w:rPr>
        <w:t>We strive to provide a strong relationship between pay and performance. Annual performance-based cash bonuses</w:t>
      </w:r>
      <w:r>
        <w:rPr>
          <w:rFonts w:ascii="Arial" w:cs="Arial" w:eastAsia="Arial" w:hAnsi="Arial"/>
          <w:sz w:val="14"/>
          <w:szCs w:val="14"/>
          <w:b w:val="1"/>
          <w:bCs w:val="1"/>
          <w:color w:val="auto"/>
        </w:rPr>
        <w:t xml:space="preserve"> </w:t>
      </w:r>
      <w:r>
        <w:rPr>
          <w:rFonts w:ascii="Arial" w:cs="Arial" w:eastAsia="Arial" w:hAnsi="Arial"/>
          <w:sz w:val="14"/>
          <w:szCs w:val="14"/>
          <w:color w:val="auto"/>
        </w:rPr>
        <w:t>are tied to achievement of annual corporate financial goals. Long-term incentive awards deliver value based on the performance of our common stock.</w:t>
      </w:r>
    </w:p>
    <w:p>
      <w:pPr>
        <w:spacing w:after="0" w:line="154" w:lineRule="exact"/>
        <w:rPr>
          <w:rFonts w:ascii="Arial" w:cs="Arial" w:eastAsia="Arial" w:hAnsi="Arial"/>
          <w:sz w:val="14"/>
          <w:szCs w:val="14"/>
          <w:color w:val="auto"/>
        </w:rPr>
      </w:pPr>
    </w:p>
    <w:p>
      <w:pPr>
        <w:ind w:left="1740" w:right="1320" w:hanging="353"/>
        <w:spacing w:after="0" w:line="243" w:lineRule="auto"/>
        <w:tabs>
          <w:tab w:leader="none" w:pos="174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Emphasis on Equity Compensation. </w:t>
      </w:r>
      <w:r>
        <w:rPr>
          <w:rFonts w:ascii="Arial" w:cs="Arial" w:eastAsia="Arial" w:hAnsi="Arial"/>
          <w:sz w:val="14"/>
          <w:szCs w:val="14"/>
          <w:color w:val="auto"/>
        </w:rPr>
        <w:t>Total compensation is heavily weighted toward equity incentive compensation, and both equity and</w:t>
      </w:r>
      <w:r>
        <w:rPr>
          <w:rFonts w:ascii="Arial" w:cs="Arial" w:eastAsia="Arial" w:hAnsi="Arial"/>
          <w:sz w:val="14"/>
          <w:szCs w:val="14"/>
          <w:b w:val="1"/>
          <w:bCs w:val="1"/>
          <w:color w:val="auto"/>
        </w:rPr>
        <w:t xml:space="preserve"> </w:t>
      </w:r>
      <w:r>
        <w:rPr>
          <w:rFonts w:ascii="Arial" w:cs="Arial" w:eastAsia="Arial" w:hAnsi="Arial"/>
          <w:sz w:val="14"/>
          <w:szCs w:val="14"/>
          <w:color w:val="auto"/>
        </w:rPr>
        <w:t>cash (in the form of an annual cash incentive bonus) components are variable. Long-term incentives focus our NEOs on sustainable and long-term stockholder value creation. The value realized by our NEOs depends on the value of our common stock, which we believe aligns our NEOs’ interests with the long-term interests of our stockholders.</w:t>
      </w:r>
    </w:p>
    <w:p>
      <w:pPr>
        <w:spacing w:after="0" w:line="159" w:lineRule="exact"/>
        <w:rPr>
          <w:rFonts w:ascii="Arial" w:cs="Arial" w:eastAsia="Arial" w:hAnsi="Arial"/>
          <w:sz w:val="14"/>
          <w:szCs w:val="14"/>
          <w:color w:val="auto"/>
        </w:rPr>
      </w:pPr>
    </w:p>
    <w:p>
      <w:pPr>
        <w:ind w:left="1740" w:right="1200" w:hanging="353"/>
        <w:spacing w:after="0" w:line="261" w:lineRule="auto"/>
        <w:tabs>
          <w:tab w:leader="none" w:pos="174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Fair and Fact-Based. </w:t>
      </w:r>
      <w:r>
        <w:rPr>
          <w:rFonts w:ascii="Arial" w:cs="Arial" w:eastAsia="Arial" w:hAnsi="Arial"/>
          <w:sz w:val="14"/>
          <w:szCs w:val="14"/>
          <w:color w:val="auto"/>
        </w:rPr>
        <w:t>We believe compensation decisions should be made based on objective and relevant information and support internal</w:t>
      </w:r>
      <w:r>
        <w:rPr>
          <w:rFonts w:ascii="Arial" w:cs="Arial" w:eastAsia="Arial" w:hAnsi="Arial"/>
          <w:sz w:val="14"/>
          <w:szCs w:val="14"/>
          <w:b w:val="1"/>
          <w:bCs w:val="1"/>
          <w:color w:val="auto"/>
        </w:rPr>
        <w:t xml:space="preserve"> </w:t>
      </w:r>
      <w:r>
        <w:rPr>
          <w:rFonts w:ascii="Arial" w:cs="Arial" w:eastAsia="Arial" w:hAnsi="Arial"/>
          <w:sz w:val="14"/>
          <w:szCs w:val="14"/>
          <w:color w:val="auto"/>
        </w:rPr>
        <w:t>pay equity in support of our core values of execution, ambitious innovation and global collaboration.</w:t>
      </w:r>
    </w:p>
    <w:p>
      <w:pPr>
        <w:spacing w:after="0" w:line="145" w:lineRule="exact"/>
        <w:rPr>
          <w:rFonts w:ascii="Arial" w:cs="Arial" w:eastAsia="Arial" w:hAnsi="Arial"/>
          <w:sz w:val="14"/>
          <w:szCs w:val="14"/>
          <w:color w:val="auto"/>
        </w:rPr>
      </w:pPr>
    </w:p>
    <w:p>
      <w:pPr>
        <w:ind w:left="1740" w:hanging="353"/>
        <w:spacing w:after="0"/>
        <w:tabs>
          <w:tab w:leader="none" w:pos="174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Simple and Transparent. </w:t>
      </w:r>
      <w:r>
        <w:rPr>
          <w:rFonts w:ascii="Arial" w:cs="Arial" w:eastAsia="Arial" w:hAnsi="Arial"/>
          <w:sz w:val="14"/>
          <w:szCs w:val="14"/>
          <w:color w:val="auto"/>
        </w:rPr>
        <w:t>Our compensation programs should be easy to understand, communicate and administer.</w:t>
      </w:r>
    </w:p>
    <w:p>
      <w:pPr>
        <w:spacing w:after="0" w:line="145" w:lineRule="exact"/>
        <w:rPr>
          <w:sz w:val="20"/>
          <w:szCs w:val="20"/>
          <w:color w:val="auto"/>
        </w:rPr>
      </w:pPr>
    </w:p>
    <w:p>
      <w:pPr>
        <w:ind w:left="1020" w:right="1300"/>
        <w:spacing w:after="0" w:line="258" w:lineRule="auto"/>
        <w:rPr>
          <w:sz w:val="20"/>
          <w:szCs w:val="20"/>
          <w:color w:val="auto"/>
        </w:rPr>
      </w:pPr>
      <w:r>
        <w:rPr>
          <w:rFonts w:ascii="Arial" w:cs="Arial" w:eastAsia="Arial" w:hAnsi="Arial"/>
          <w:sz w:val="14"/>
          <w:szCs w:val="14"/>
          <w:color w:val="auto"/>
        </w:rPr>
        <w:t>In addition, our People &amp; Compensation Committee seeks to ensure that we maintain sound governance and compensation policies and practices. Our key compensation practices include the following:</w:t>
      </w:r>
    </w:p>
    <w:p>
      <w:pPr>
        <w:spacing w:after="0" w:line="168" w:lineRule="exact"/>
        <w:rPr>
          <w:sz w:val="20"/>
          <w:szCs w:val="20"/>
          <w:color w:val="auto"/>
        </w:rPr>
      </w:pPr>
    </w:p>
    <w:tbl>
      <w:tblPr>
        <w:tblLayout w:type="fixed"/>
        <w:tblInd w:w="1020" w:type="dxa"/>
        <w:tblCellMar>
          <w:top w:w="0" w:type="dxa"/>
          <w:left w:w="0" w:type="dxa"/>
          <w:bottom w:w="0" w:type="dxa"/>
          <w:right w:w="0" w:type="dxa"/>
        </w:tblCellMar>
      </w:tblPr>
      <w:tr>
        <w:trPr>
          <w:trHeight w:val="143"/>
        </w:trPr>
        <w:tc>
          <w:tcPr>
            <w:tcW w:w="180" w:type="dxa"/>
            <w:vAlign w:val="bottom"/>
          </w:tcPr>
          <w:p>
            <w:pPr>
              <w:spacing w:after="0"/>
              <w:rPr>
                <w:sz w:val="12"/>
                <w:szCs w:val="12"/>
                <w:color w:val="auto"/>
              </w:rPr>
            </w:pPr>
          </w:p>
        </w:tc>
        <w:tc>
          <w:tcPr>
            <w:tcW w:w="7280" w:type="dxa"/>
            <w:vAlign w:val="bottom"/>
          </w:tcPr>
          <w:p>
            <w:pPr>
              <w:ind w:left="3220"/>
              <w:spacing w:after="0"/>
              <w:rPr>
                <w:sz w:val="20"/>
                <w:szCs w:val="20"/>
                <w:color w:val="auto"/>
              </w:rPr>
            </w:pPr>
            <w:r>
              <w:rPr>
                <w:rFonts w:ascii="Arial" w:cs="Arial" w:eastAsia="Arial" w:hAnsi="Arial"/>
                <w:sz w:val="11"/>
                <w:szCs w:val="11"/>
                <w:b w:val="1"/>
                <w:bCs w:val="1"/>
                <w:color w:val="auto"/>
              </w:rPr>
              <w:t>WHAT WE DO</w:t>
            </w:r>
          </w:p>
        </w:tc>
        <w:tc>
          <w:tcPr>
            <w:tcW w:w="80" w:type="dxa"/>
            <w:vAlign w:val="bottom"/>
          </w:tcPr>
          <w:p>
            <w:pPr>
              <w:spacing w:after="0"/>
              <w:rPr>
                <w:sz w:val="12"/>
                <w:szCs w:val="12"/>
                <w:color w:val="auto"/>
              </w:rPr>
            </w:pPr>
          </w:p>
        </w:tc>
        <w:tc>
          <w:tcPr>
            <w:tcW w:w="2780" w:type="dxa"/>
            <w:vAlign w:val="bottom"/>
          </w:tcPr>
          <w:p>
            <w:pPr>
              <w:ind w:left="1400"/>
              <w:spacing w:after="0"/>
              <w:rPr>
                <w:sz w:val="20"/>
                <w:szCs w:val="20"/>
                <w:color w:val="auto"/>
              </w:rPr>
            </w:pPr>
            <w:r>
              <w:rPr>
                <w:rFonts w:ascii="Arial" w:cs="Arial" w:eastAsia="Arial" w:hAnsi="Arial"/>
                <w:sz w:val="11"/>
                <w:szCs w:val="11"/>
                <w:b w:val="1"/>
                <w:bCs w:val="1"/>
                <w:color w:val="auto"/>
              </w:rPr>
              <w:t>WHAT WE DO NOT DO</w:t>
            </w:r>
          </w:p>
        </w:tc>
      </w:tr>
      <w:tr>
        <w:trPr>
          <w:trHeight w:val="30"/>
        </w:trPr>
        <w:tc>
          <w:tcPr>
            <w:tcW w:w="7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28"/>
        </w:trPr>
        <w:tc>
          <w:tcPr>
            <w:tcW w:w="180" w:type="dxa"/>
            <w:vAlign w:val="bottom"/>
            <w:tcBorders>
              <w:bottom w:val="single" w:sz="8" w:color="E8F4FF"/>
            </w:tcBorders>
            <w:shd w:val="clear" w:color="auto" w:fill="E8F4FF"/>
          </w:tcPr>
          <w:p>
            <w:pPr>
              <w:ind w:left="60"/>
              <w:spacing w:after="0" w:line="121" w:lineRule="exact"/>
              <w:rPr>
                <w:sz w:val="20"/>
                <w:szCs w:val="20"/>
                <w:color w:val="auto"/>
              </w:rPr>
            </w:pPr>
            <w:r>
              <w:rPr>
                <w:rFonts w:ascii="MS PGothic" w:cs="MS PGothic" w:eastAsia="MS PGothic" w:hAnsi="MS PGothic"/>
                <w:sz w:val="12"/>
                <w:szCs w:val="12"/>
                <w:color w:val="auto"/>
                <w:w w:val="82"/>
              </w:rPr>
              <w:t>✓</w:t>
            </w:r>
          </w:p>
        </w:tc>
        <w:tc>
          <w:tcPr>
            <w:tcW w:w="7280" w:type="dxa"/>
            <w:vAlign w:val="bottom"/>
            <w:tcBorders>
              <w:bottom w:val="single" w:sz="8" w:color="E8F4FF"/>
            </w:tcBorders>
            <w:shd w:val="clear" w:color="auto" w:fill="E8F4FF"/>
          </w:tcPr>
          <w:p>
            <w:pPr>
              <w:ind w:left="80"/>
              <w:spacing w:after="0"/>
              <w:rPr>
                <w:sz w:val="20"/>
                <w:szCs w:val="20"/>
                <w:color w:val="auto"/>
              </w:rPr>
            </w:pPr>
            <w:r>
              <w:rPr>
                <w:rFonts w:ascii="Arial" w:cs="Arial" w:eastAsia="Arial" w:hAnsi="Arial"/>
                <w:sz w:val="12"/>
                <w:szCs w:val="12"/>
                <w:color w:val="auto"/>
              </w:rPr>
              <w:t>Employ a pay for performance philosophy reflected in program design and target pay levels for NEOs</w:t>
            </w:r>
          </w:p>
        </w:tc>
        <w:tc>
          <w:tcPr>
            <w:tcW w:w="80" w:type="dxa"/>
            <w:vAlign w:val="bottom"/>
          </w:tcPr>
          <w:p>
            <w:pPr>
              <w:spacing w:after="0"/>
              <w:rPr>
                <w:sz w:val="19"/>
                <w:szCs w:val="19"/>
                <w:color w:val="auto"/>
              </w:rPr>
            </w:pPr>
          </w:p>
        </w:tc>
        <w:tc>
          <w:tcPr>
            <w:tcW w:w="2780" w:type="dxa"/>
            <w:vAlign w:val="bottom"/>
            <w:tcBorders>
              <w:bottom w:val="single" w:sz="8" w:color="E8F4FF"/>
            </w:tcBorders>
            <w:shd w:val="clear" w:color="auto" w:fill="E8F4FF"/>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Guarantee bonuses to our executive officers</w:t>
            </w:r>
          </w:p>
        </w:tc>
      </w:tr>
      <w:tr>
        <w:trPr>
          <w:trHeight w:val="212"/>
        </w:trPr>
        <w:tc>
          <w:tcPr>
            <w:tcW w:w="7460" w:type="dxa"/>
            <w:vAlign w:val="bottom"/>
            <w:gridSpan w:val="2"/>
          </w:tcPr>
          <w:p>
            <w:pPr>
              <w:ind w:left="6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Deliver majority of compensation in equity to promote executive retention and reward long-term value creation</w:t>
            </w:r>
          </w:p>
        </w:tc>
        <w:tc>
          <w:tcPr>
            <w:tcW w:w="8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Provide tax gross-ups</w:t>
            </w:r>
          </w:p>
        </w:tc>
      </w:tr>
      <w:tr>
        <w:trPr>
          <w:trHeight w:val="36"/>
        </w:trPr>
        <w:tc>
          <w:tcPr>
            <w:tcW w:w="7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780" w:type="dxa"/>
            <w:vAlign w:val="bottom"/>
          </w:tcPr>
          <w:p>
            <w:pPr>
              <w:spacing w:after="0"/>
              <w:rPr>
                <w:sz w:val="3"/>
                <w:szCs w:val="3"/>
                <w:color w:val="auto"/>
              </w:rPr>
            </w:pPr>
          </w:p>
        </w:tc>
      </w:tr>
      <w:tr>
        <w:trPr>
          <w:trHeight w:val="228"/>
        </w:trPr>
        <w:tc>
          <w:tcPr>
            <w:tcW w:w="180" w:type="dxa"/>
            <w:vAlign w:val="bottom"/>
            <w:tcBorders>
              <w:bottom w:val="single" w:sz="8" w:color="E8F4FF"/>
            </w:tcBorders>
            <w:shd w:val="clear" w:color="auto" w:fill="E8F4FF"/>
          </w:tcPr>
          <w:p>
            <w:pPr>
              <w:ind w:left="60"/>
              <w:spacing w:after="0" w:line="121" w:lineRule="exact"/>
              <w:rPr>
                <w:sz w:val="20"/>
                <w:szCs w:val="20"/>
                <w:color w:val="auto"/>
              </w:rPr>
            </w:pPr>
            <w:r>
              <w:rPr>
                <w:rFonts w:ascii="MS PGothic" w:cs="MS PGothic" w:eastAsia="MS PGothic" w:hAnsi="MS PGothic"/>
                <w:sz w:val="12"/>
                <w:szCs w:val="12"/>
                <w:color w:val="auto"/>
                <w:w w:val="82"/>
              </w:rPr>
              <w:t>✓</w:t>
            </w:r>
          </w:p>
        </w:tc>
        <w:tc>
          <w:tcPr>
            <w:tcW w:w="7280" w:type="dxa"/>
            <w:vAlign w:val="bottom"/>
            <w:tcBorders>
              <w:bottom w:val="single" w:sz="8" w:color="E8F4FF"/>
            </w:tcBorders>
            <w:shd w:val="clear" w:color="auto" w:fill="E8F4FF"/>
          </w:tcPr>
          <w:p>
            <w:pPr>
              <w:ind w:left="80"/>
              <w:spacing w:after="0"/>
              <w:rPr>
                <w:sz w:val="20"/>
                <w:szCs w:val="20"/>
                <w:color w:val="auto"/>
              </w:rPr>
            </w:pPr>
            <w:r>
              <w:rPr>
                <w:rFonts w:ascii="Arial" w:cs="Arial" w:eastAsia="Arial" w:hAnsi="Arial"/>
                <w:sz w:val="12"/>
                <w:szCs w:val="12"/>
                <w:color w:val="auto"/>
              </w:rPr>
              <w:t>Cap maximum annual cash incentive bonus payouts</w:t>
            </w:r>
          </w:p>
        </w:tc>
        <w:tc>
          <w:tcPr>
            <w:tcW w:w="80" w:type="dxa"/>
            <w:vAlign w:val="bottom"/>
          </w:tcPr>
          <w:p>
            <w:pPr>
              <w:spacing w:after="0"/>
              <w:rPr>
                <w:sz w:val="19"/>
                <w:szCs w:val="19"/>
                <w:color w:val="auto"/>
              </w:rPr>
            </w:pPr>
          </w:p>
        </w:tc>
        <w:tc>
          <w:tcPr>
            <w:tcW w:w="2780" w:type="dxa"/>
            <w:vAlign w:val="bottom"/>
            <w:tcBorders>
              <w:bottom w:val="single" w:sz="8" w:color="E8F4FF"/>
            </w:tcBorders>
            <w:shd w:val="clear" w:color="auto" w:fill="E8F4FF"/>
          </w:tcPr>
          <w:p>
            <w:pPr>
              <w:ind w:left="60"/>
              <w:spacing w:after="0"/>
              <w:rPr>
                <w:sz w:val="20"/>
                <w:szCs w:val="20"/>
                <w:color w:val="auto"/>
              </w:rPr>
            </w:pPr>
            <w:r>
              <w:rPr>
                <w:rFonts w:ascii="Times New Roman" w:cs="Times New Roman" w:eastAsia="Times New Roman" w:hAnsi="Times New Roman"/>
                <w:sz w:val="12"/>
                <w:szCs w:val="12"/>
                <w:color w:val="auto"/>
                <w:w w:val="99"/>
              </w:rPr>
              <w:t xml:space="preserve">×  </w:t>
            </w:r>
            <w:r>
              <w:rPr>
                <w:rFonts w:ascii="Arial" w:cs="Arial" w:eastAsia="Arial" w:hAnsi="Arial"/>
                <w:sz w:val="12"/>
                <w:szCs w:val="12"/>
                <w:color w:val="auto"/>
                <w:w w:val="99"/>
              </w:rPr>
              <w:t>Permit hedging or short sales of our common sto</w:t>
            </w:r>
          </w:p>
        </w:tc>
      </w:tr>
      <w:tr>
        <w:trPr>
          <w:trHeight w:val="212"/>
        </w:trPr>
        <w:tc>
          <w:tcPr>
            <w:tcW w:w="7460" w:type="dxa"/>
            <w:vAlign w:val="bottom"/>
            <w:gridSpan w:val="2"/>
          </w:tcPr>
          <w:p>
            <w:pPr>
              <w:ind w:left="6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Maintain and annually review a group of peer companies</w:t>
            </w:r>
          </w:p>
        </w:tc>
        <w:tc>
          <w:tcPr>
            <w:tcW w:w="8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Provide single trigger equity acceleration upon a</w:t>
            </w:r>
          </w:p>
        </w:tc>
      </w:tr>
      <w:tr>
        <w:trPr>
          <w:trHeight w:val="36"/>
        </w:trPr>
        <w:tc>
          <w:tcPr>
            <w:tcW w:w="74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780" w:type="dxa"/>
            <w:vAlign w:val="bottom"/>
          </w:tcPr>
          <w:p>
            <w:pPr>
              <w:spacing w:after="0"/>
              <w:rPr>
                <w:sz w:val="3"/>
                <w:szCs w:val="3"/>
                <w:color w:val="auto"/>
              </w:rPr>
            </w:pPr>
          </w:p>
        </w:tc>
      </w:tr>
      <w:tr>
        <w:trPr>
          <w:trHeight w:val="228"/>
        </w:trPr>
        <w:tc>
          <w:tcPr>
            <w:tcW w:w="180" w:type="dxa"/>
            <w:vAlign w:val="bottom"/>
            <w:tcBorders>
              <w:bottom w:val="single" w:sz="8" w:color="E8F4FF"/>
            </w:tcBorders>
            <w:shd w:val="clear" w:color="auto" w:fill="E8F4FF"/>
          </w:tcPr>
          <w:p>
            <w:pPr>
              <w:ind w:left="60"/>
              <w:spacing w:after="0" w:line="121" w:lineRule="exact"/>
              <w:rPr>
                <w:sz w:val="20"/>
                <w:szCs w:val="20"/>
                <w:color w:val="auto"/>
              </w:rPr>
            </w:pPr>
            <w:r>
              <w:rPr>
                <w:rFonts w:ascii="MS PGothic" w:cs="MS PGothic" w:eastAsia="MS PGothic" w:hAnsi="MS PGothic"/>
                <w:sz w:val="12"/>
                <w:szCs w:val="12"/>
                <w:color w:val="auto"/>
                <w:w w:val="82"/>
              </w:rPr>
              <w:t>✓</w:t>
            </w:r>
          </w:p>
        </w:tc>
        <w:tc>
          <w:tcPr>
            <w:tcW w:w="7280" w:type="dxa"/>
            <w:vAlign w:val="bottom"/>
            <w:tcBorders>
              <w:bottom w:val="single" w:sz="8" w:color="E8F4FF"/>
            </w:tcBorders>
            <w:shd w:val="clear" w:color="auto" w:fill="E8F4FF"/>
          </w:tcPr>
          <w:p>
            <w:pPr>
              <w:ind w:left="80"/>
              <w:spacing w:after="0"/>
              <w:rPr>
                <w:sz w:val="20"/>
                <w:szCs w:val="20"/>
                <w:color w:val="auto"/>
              </w:rPr>
            </w:pPr>
            <w:r>
              <w:rPr>
                <w:rFonts w:ascii="Arial" w:cs="Arial" w:eastAsia="Arial" w:hAnsi="Arial"/>
                <w:sz w:val="12"/>
                <w:szCs w:val="12"/>
                <w:color w:val="auto"/>
              </w:rPr>
              <w:t>Fully independent directors on our People &amp; Compensation Committee</w:t>
            </w:r>
          </w:p>
        </w:tc>
        <w:tc>
          <w:tcPr>
            <w:tcW w:w="80" w:type="dxa"/>
            <w:vAlign w:val="bottom"/>
          </w:tcPr>
          <w:p>
            <w:pPr>
              <w:spacing w:after="0"/>
              <w:rPr>
                <w:sz w:val="19"/>
                <w:szCs w:val="19"/>
                <w:color w:val="auto"/>
              </w:rPr>
            </w:pPr>
          </w:p>
        </w:tc>
        <w:tc>
          <w:tcPr>
            <w:tcW w:w="2780" w:type="dxa"/>
            <w:vAlign w:val="bottom"/>
            <w:tcBorders>
              <w:bottom w:val="single" w:sz="8" w:color="E8F4FF"/>
            </w:tcBorders>
            <w:shd w:val="clear" w:color="auto" w:fill="E8F4FF"/>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Maintain compensation plans that encourage ex</w:t>
            </w:r>
          </w:p>
        </w:tc>
      </w:tr>
      <w:tr>
        <w:trPr>
          <w:trHeight w:val="201"/>
        </w:trPr>
        <w:tc>
          <w:tcPr>
            <w:tcW w:w="180" w:type="dxa"/>
            <w:vAlign w:val="bottom"/>
          </w:tcPr>
          <w:p>
            <w:pPr>
              <w:ind w:left="60"/>
              <w:spacing w:after="0" w:line="121" w:lineRule="exact"/>
              <w:rPr>
                <w:sz w:val="20"/>
                <w:szCs w:val="20"/>
                <w:color w:val="auto"/>
              </w:rPr>
            </w:pPr>
            <w:r>
              <w:rPr>
                <w:rFonts w:ascii="MS PGothic" w:cs="MS PGothic" w:eastAsia="MS PGothic" w:hAnsi="MS PGothic"/>
                <w:sz w:val="12"/>
                <w:szCs w:val="12"/>
                <w:color w:val="auto"/>
                <w:w w:val="82"/>
              </w:rPr>
              <w:t>✓</w:t>
            </w:r>
          </w:p>
        </w:tc>
        <w:tc>
          <w:tcPr>
            <w:tcW w:w="7280" w:type="dxa"/>
            <w:vAlign w:val="bottom"/>
          </w:tcPr>
          <w:p>
            <w:pPr>
              <w:ind w:left="80"/>
              <w:spacing w:after="0"/>
              <w:rPr>
                <w:sz w:val="20"/>
                <w:szCs w:val="20"/>
                <w:color w:val="auto"/>
              </w:rPr>
            </w:pPr>
            <w:r>
              <w:rPr>
                <w:rFonts w:ascii="Arial" w:cs="Arial" w:eastAsia="Arial" w:hAnsi="Arial"/>
                <w:sz w:val="12"/>
                <w:szCs w:val="12"/>
                <w:color w:val="auto"/>
              </w:rPr>
              <w:t>Engage an independent compensation consultant to advise our People &amp; Compensation Committee</w:t>
            </w:r>
          </w:p>
        </w:tc>
        <w:tc>
          <w:tcPr>
            <w:tcW w:w="80" w:type="dxa"/>
            <w:vAlign w:val="bottom"/>
          </w:tcPr>
          <w:p>
            <w:pPr>
              <w:spacing w:after="0"/>
              <w:rPr>
                <w:sz w:val="17"/>
                <w:szCs w:val="17"/>
                <w:color w:val="auto"/>
              </w:rPr>
            </w:pPr>
          </w:p>
        </w:tc>
        <w:tc>
          <w:tcPr>
            <w:tcW w:w="27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99"/>
              </w:rPr>
              <w:t xml:space="preserve">×  </w:t>
            </w:r>
            <w:r>
              <w:rPr>
                <w:rFonts w:ascii="Arial" w:cs="Arial" w:eastAsia="Arial" w:hAnsi="Arial"/>
                <w:sz w:val="12"/>
                <w:szCs w:val="12"/>
                <w:color w:val="auto"/>
                <w:w w:val="99"/>
              </w:rPr>
              <w:t>Provide significant perquisites or personal benefi</w:t>
            </w:r>
          </w:p>
        </w:tc>
      </w:tr>
    </w:tbl>
    <w:p>
      <w:pPr>
        <w:spacing w:after="0" w:line="27" w:lineRule="exact"/>
        <w:rPr>
          <w:sz w:val="20"/>
          <w:szCs w:val="20"/>
          <w:color w:val="auto"/>
        </w:rPr>
      </w:pPr>
    </w:p>
    <w:p>
      <w:pPr>
        <w:ind w:left="1280" w:hanging="193"/>
        <w:spacing w:after="0"/>
        <w:tabs>
          <w:tab w:leader="none" w:pos="1280" w:val="left"/>
        </w:tabs>
        <w:numPr>
          <w:ilvl w:val="0"/>
          <w:numId w:val="67"/>
        </w:numPr>
        <w:rPr>
          <w:rFonts w:ascii="MS PGothic" w:cs="MS PGothic" w:eastAsia="MS PGothic" w:hAnsi="MS PGothic"/>
          <w:sz w:val="12"/>
          <w:szCs w:val="12"/>
          <w:color w:val="auto"/>
        </w:rPr>
      </w:pPr>
      <w:r>
        <w:rPr>
          <w:rFonts w:ascii="Arial" w:cs="Arial" w:eastAsia="Arial" w:hAnsi="Arial"/>
          <w:sz w:val="12"/>
          <w:szCs w:val="12"/>
          <w:color w:val="auto"/>
          <w:shd w:val="clear" w:color="auto" w:fill="E8F4FF"/>
        </w:rPr>
        <w:t>Utilize stock ownership guidelines and post-vesting one year holding requirement to align our NEOs with long-term stockholder interests</w:t>
      </w:r>
    </w:p>
    <w:p>
      <w:pPr>
        <w:spacing w:after="0" w:line="76" w:lineRule="exact"/>
        <w:rPr>
          <w:rFonts w:ascii="MS PGothic" w:cs="MS PGothic" w:eastAsia="MS PGothic" w:hAnsi="MS PGothic"/>
          <w:sz w:val="12"/>
          <w:szCs w:val="12"/>
          <w:color w:val="auto"/>
        </w:rPr>
      </w:pPr>
    </w:p>
    <w:p>
      <w:pPr>
        <w:ind w:left="1280" w:hanging="193"/>
        <w:spacing w:after="0"/>
        <w:tabs>
          <w:tab w:leader="none" w:pos="1280" w:val="left"/>
        </w:tabs>
        <w:numPr>
          <w:ilvl w:val="0"/>
          <w:numId w:val="67"/>
        </w:numPr>
        <w:rPr>
          <w:rFonts w:ascii="MS PGothic" w:cs="MS PGothic" w:eastAsia="MS PGothic" w:hAnsi="MS PGothic"/>
          <w:sz w:val="12"/>
          <w:szCs w:val="12"/>
          <w:color w:val="auto"/>
        </w:rPr>
      </w:pPr>
      <w:r>
        <w:rPr>
          <w:rFonts w:ascii="Arial" w:cs="Arial" w:eastAsia="Arial" w:hAnsi="Arial"/>
          <w:sz w:val="12"/>
          <w:szCs w:val="12"/>
          <w:color w:val="auto"/>
        </w:rPr>
        <w:t>Administer and enforce a policy to recover erroneously awarded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-239395</wp:posOffset>
            </wp:positionV>
            <wp:extent cx="4736465" cy="142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36465" cy="14287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60325</wp:posOffset>
            </wp:positionV>
            <wp:extent cx="654875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48755" cy="6985"/>
                    </a:xfrm>
                    <a:prstGeom prst="rect">
                      <a:avLst/>
                    </a:prstGeom>
                    <a:noFill/>
                  </pic:spPr>
                </pic:pic>
              </a:graphicData>
            </a:graphic>
          </wp:anchor>
        </w:drawing>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GOVERNANCE AND THE COMPENSATION-SETTING PROCESS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ROLE OF OUR PEOPLE &amp; COMPENSATION COMMITTEE</w:t>
      </w:r>
    </w:p>
    <w:p>
      <w:pPr>
        <w:spacing w:after="0" w:line="177" w:lineRule="exact"/>
        <w:rPr>
          <w:sz w:val="20"/>
          <w:szCs w:val="20"/>
          <w:color w:val="auto"/>
        </w:rPr>
      </w:pPr>
    </w:p>
    <w:p>
      <w:pPr>
        <w:ind w:left="1020" w:right="1200"/>
        <w:spacing w:after="0" w:line="239" w:lineRule="auto"/>
        <w:rPr>
          <w:sz w:val="20"/>
          <w:szCs w:val="20"/>
          <w:color w:val="auto"/>
        </w:rPr>
      </w:pPr>
      <w:r>
        <w:rPr>
          <w:rFonts w:ascii="Arial" w:cs="Arial" w:eastAsia="Arial" w:hAnsi="Arial"/>
          <w:sz w:val="14"/>
          <w:szCs w:val="14"/>
          <w:color w:val="auto"/>
        </w:rPr>
        <w:t>Our executive compensation program is designed and administered under the direction and control of our People &amp; Compensation Committee, which is made up solely of independent directors. Our People &amp; Compensation Committee reviews and approves our overall executive compensation program, policies, practices and metrics and sets the compensation of our executive officers, including our NEOs, as well as certain other members of our senior management team. In fulfilling this responsibility, our People &amp; Compensation Committee reviews the performance of each NEO at least once each year. Our Chief Executive Officer, as the manager of the executive team, assesses the executives’ contributions to the corporate goals and makes a recommendation to our People &amp; Compensation Committee with respect to any increase in salary, cash bonus and annual equity awards for each member of the executive team, other than himself. Our People &amp; Compensation Committee meets</w:t>
      </w:r>
    </w:p>
    <w:p>
      <w:pPr>
        <w:spacing w:after="0" w:line="101" w:lineRule="exact"/>
        <w:rPr>
          <w:sz w:val="20"/>
          <w:szCs w:val="20"/>
          <w:color w:val="auto"/>
        </w:rPr>
      </w:pPr>
    </w:p>
    <w:p>
      <w:pPr>
        <w:jc w:val="center"/>
        <w:ind w:right="100"/>
        <w:spacing w:after="0"/>
        <w:tabs>
          <w:tab w:leader="none" w:pos="100" w:val="left"/>
        </w:tabs>
        <w:rPr>
          <w:sz w:val="20"/>
          <w:szCs w:val="20"/>
          <w:color w:val="auto"/>
        </w:rPr>
      </w:pPr>
      <w:r>
        <w:rPr>
          <w:rFonts w:ascii="Arial" w:cs="Arial" w:eastAsia="Arial" w:hAnsi="Arial"/>
          <w:sz w:val="11"/>
          <w:szCs w:val="11"/>
          <w:b w:val="1"/>
          <w:bCs w:val="1"/>
          <w:color w:val="auto"/>
        </w:rPr>
        <w:t xml:space="preserve">Flywire Corporation       28 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1340"/>
          </w:cols>
          <w:pgMar w:left="320" w:top="425"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100"/>
        <w:spacing w:after="0" w:line="246" w:lineRule="auto"/>
        <w:rPr>
          <w:sz w:val="20"/>
          <w:szCs w:val="20"/>
          <w:color w:val="auto"/>
        </w:rPr>
      </w:pPr>
      <w:r>
        <w:rPr>
          <w:rFonts w:ascii="Arial" w:cs="Arial" w:eastAsia="Arial" w:hAnsi="Arial"/>
          <w:sz w:val="14"/>
          <w:szCs w:val="14"/>
          <w:color w:val="auto"/>
        </w:rPr>
        <w:t>with our Chief Executive Officer to evaluate, discuss and modify or approve these recommendations. Our People &amp; Compensation Committee also conducts a similar evaluation of our Chief Executive Officer’s contributions when our Chief Executive Officer is not present, and determines any increase in salary, cash bonus and annual equity award for him.</w:t>
      </w:r>
    </w:p>
    <w:p>
      <w:pPr>
        <w:spacing w:after="0" w:line="158" w:lineRule="exact"/>
        <w:rPr>
          <w:sz w:val="20"/>
          <w:szCs w:val="20"/>
          <w:color w:val="auto"/>
        </w:rPr>
      </w:pPr>
    </w:p>
    <w:p>
      <w:pPr>
        <w:ind w:left="1020" w:right="20"/>
        <w:spacing w:after="0" w:line="341" w:lineRule="auto"/>
        <w:rPr>
          <w:sz w:val="20"/>
          <w:szCs w:val="20"/>
          <w:color w:val="auto"/>
        </w:rPr>
      </w:pPr>
      <w:r>
        <w:rPr>
          <w:rFonts w:ascii="Arial" w:cs="Arial" w:eastAsia="Arial" w:hAnsi="Arial"/>
          <w:sz w:val="12"/>
          <w:szCs w:val="12"/>
          <w:color w:val="auto"/>
        </w:rPr>
        <w:t>Our People &amp; Compensation Committee meets regularly throughout the year to review our executive compensation program with the goal of ensuring it is consistent with our short-term and long-term goals given the dynamic nature of our business and the market in which we compete for executive talent.</w:t>
      </w:r>
    </w:p>
    <w:p>
      <w:pPr>
        <w:spacing w:after="0" w:line="104" w:lineRule="exact"/>
        <w:rPr>
          <w:sz w:val="20"/>
          <w:szCs w:val="20"/>
          <w:color w:val="auto"/>
        </w:rPr>
      </w:pPr>
    </w:p>
    <w:p>
      <w:pPr>
        <w:ind w:left="1020"/>
        <w:spacing w:after="0" w:line="239" w:lineRule="auto"/>
        <w:rPr>
          <w:sz w:val="20"/>
          <w:szCs w:val="20"/>
          <w:color w:val="auto"/>
        </w:rPr>
      </w:pPr>
      <w:r>
        <w:rPr>
          <w:rFonts w:ascii="Arial" w:cs="Arial" w:eastAsia="Arial" w:hAnsi="Arial"/>
          <w:sz w:val="14"/>
          <w:szCs w:val="14"/>
          <w:color w:val="auto"/>
        </w:rPr>
        <w:t>Our People &amp; Compensation Committee received and reviewed compensation summaries for each NEO at the beginning of Fiscal 2025. The information in these summaries was used by our People &amp; Compensation Committee to assist with analyzing existing compensation and any proposed changes in compensation for each NEO. The summaries included information regarding the accumulated value of unvested equity ownership, how much is unvested, and the amount of potential value earnable under various share price scenarios. The summaries help our People &amp; Compensation Committee to track changes in an NEO’s compensation from year to year and to remain aware of the compensation historically paid to each NEO. In addition to the information and analyses supplied to our People &amp; Compensation Committee as described above and in the peer group segment below, members of our senior management team support our People &amp; Compensation Committee in its work from time to time.</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CONSULTANT</w:t>
      </w:r>
    </w:p>
    <w:p>
      <w:pPr>
        <w:spacing w:after="0" w:line="177" w:lineRule="exact"/>
        <w:rPr>
          <w:sz w:val="20"/>
          <w:szCs w:val="20"/>
          <w:color w:val="auto"/>
        </w:rPr>
      </w:pPr>
    </w:p>
    <w:p>
      <w:pPr>
        <w:ind w:left="1020" w:right="80"/>
        <w:spacing w:after="0" w:line="237" w:lineRule="auto"/>
        <w:rPr>
          <w:sz w:val="20"/>
          <w:szCs w:val="20"/>
          <w:color w:val="auto"/>
        </w:rPr>
      </w:pPr>
      <w:r>
        <w:rPr>
          <w:rFonts w:ascii="Arial" w:cs="Arial" w:eastAsia="Arial" w:hAnsi="Arial"/>
          <w:sz w:val="14"/>
          <w:szCs w:val="14"/>
          <w:color w:val="auto"/>
        </w:rPr>
        <w:t>Our People &amp; Compensation Committee has the authority under its amended and restated charter to directly retain, review fees for, and terminate advisors and consultants as it deems necessary to assist in the fulfillment of its responsibilities. For purposes of its Fiscal 2025 executive compensation decisions, our People &amp; Compensation Committee engaged ClearBridge Compensation Group LLC (ClearBridge) as its independent compensation consultant (the compensation consultant). ClearBridge has served as the compensation consultant to our People &amp; Compensation Committee since the second half of 2022. The compensation consultant provides information and analyses that serve as the basis for setting executive and director compensation levels and advises our People &amp; Compensation Committee on compensation-related decisions. The compensation consultant advises our People &amp; Compensation Committee on the structure of executive and director compensation programs, including the design of incentive plans, the forms and mix of compensation, allocation of equity compensation, regulatory requirements and other topics relevant to executive and director compensation. Our People &amp; Compensation Committee reviews the independence of its compensation consultant annually and found no conflict of interest with ClearBridge during its 2025 independence review.</w:t>
      </w:r>
    </w:p>
    <w:p>
      <w:pPr>
        <w:spacing w:after="0" w:line="168" w:lineRule="exact"/>
        <w:rPr>
          <w:sz w:val="20"/>
          <w:szCs w:val="20"/>
          <w:color w:val="auto"/>
        </w:rPr>
      </w:pPr>
    </w:p>
    <w:p>
      <w:pPr>
        <w:ind w:left="1020" w:right="80"/>
        <w:spacing w:after="0" w:line="237" w:lineRule="auto"/>
        <w:rPr>
          <w:sz w:val="20"/>
          <w:szCs w:val="20"/>
          <w:color w:val="auto"/>
        </w:rPr>
      </w:pPr>
      <w:r>
        <w:rPr>
          <w:rFonts w:ascii="Arial" w:cs="Arial" w:eastAsia="Arial" w:hAnsi="Arial"/>
          <w:sz w:val="14"/>
          <w:szCs w:val="14"/>
          <w:color w:val="auto"/>
        </w:rPr>
        <w:t>ClearBridge did not provide any additional services beyond the compensation-related items highlighted above during Fiscal 2025. Our People &amp; Compensation Committee has adopted protocols governing if and when its compensation consultant’s advice and recommendations can be shared with management, recognizing that, in advising our People &amp; Compensation Committee, it is necessary for the compensation consultant to interact with management to gather information. Our People &amp; Compensation Committee also determines the appropriate forum for receiving recommendations from its compensation consultant. Where appropriate, our People &amp; Compensation Committee invites management to provide context for the recommendations. In other cases, our People &amp; Compensation Committee receives recommendations from its compensation consultant in executive sessions where management is not present. At such times as it deems necessary, our People &amp; Compensation Committee also engages directly with its compensation consultant between formal meetings of the People &amp; Compensation Committee. This approach further protects our People &amp; Compensation Committee’s ability to receive objective advice from its compensation consultant and establishes a forum for independent decisions about executive pay.</w:t>
      </w:r>
    </w:p>
    <w:p>
      <w:pPr>
        <w:spacing w:after="0" w:line="16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PEER GROUP</w:t>
      </w:r>
    </w:p>
    <w:p>
      <w:pPr>
        <w:spacing w:after="0" w:line="177" w:lineRule="exact"/>
        <w:rPr>
          <w:sz w:val="20"/>
          <w:szCs w:val="20"/>
          <w:color w:val="auto"/>
        </w:rPr>
      </w:pPr>
    </w:p>
    <w:p>
      <w:pPr>
        <w:ind w:left="1020"/>
        <w:spacing w:after="0" w:line="287" w:lineRule="auto"/>
        <w:rPr>
          <w:sz w:val="20"/>
          <w:szCs w:val="20"/>
          <w:color w:val="auto"/>
        </w:rPr>
      </w:pPr>
      <w:r>
        <w:rPr>
          <w:rFonts w:ascii="Arial" w:cs="Arial" w:eastAsia="Arial" w:hAnsi="Arial"/>
          <w:sz w:val="12"/>
          <w:szCs w:val="12"/>
          <w:color w:val="auto"/>
        </w:rPr>
        <w:t>Our People &amp; Compensation Committee reviews market compensation levels at least annually to determine the placement of our executive compensation relative to the competitive market for executive talent. This assessment includes evaluation of base salary, and short- and long-term incentive opportunities against executive compensation reported by a peer group of companies selected by our People &amp; Compensation Committee as comparable to Flywire in size and related industry, among other criteria. Our People &amp; Compensation Committee also considers market compensation information collected from survey sources. The compensation consultant supports our People &amp; Compensation Committee in the selection of the peer group of companies and also provides our People &amp; Compensation Committee with analyses of each peer company’s executive compensation information.</w:t>
      </w:r>
    </w:p>
    <w:p>
      <w:pPr>
        <w:spacing w:after="0" w:line="137" w:lineRule="exact"/>
        <w:rPr>
          <w:sz w:val="20"/>
          <w:szCs w:val="20"/>
          <w:color w:val="auto"/>
        </w:rPr>
      </w:pPr>
    </w:p>
    <w:p>
      <w:pPr>
        <w:ind w:left="1020" w:right="20"/>
        <w:spacing w:after="0"/>
        <w:rPr>
          <w:sz w:val="20"/>
          <w:szCs w:val="20"/>
          <w:color w:val="auto"/>
        </w:rPr>
      </w:pPr>
      <w:r>
        <w:rPr>
          <w:rFonts w:ascii="Arial" w:cs="Arial" w:eastAsia="Arial" w:hAnsi="Arial"/>
          <w:sz w:val="14"/>
          <w:szCs w:val="14"/>
          <w:color w:val="auto"/>
        </w:rPr>
        <w:t>In May 2024, our People &amp; Compensation Committee reviewed the changes suggested by its compensation consultant to the group of peer companies which the committee had used in making executive compensation decisions for the year ended December 31, 2024. Criteria considered to determine the recommended changes to the peer company group included industry, company size (i.e., revenue and market capitalization), as well as companies with a meaningful portion of business both in the U.S. and abroad, and duration of time operating as a public company. Based on such factors, it was recommended that Bill</w:t>
      </w:r>
    </w:p>
    <w:p>
      <w:pPr>
        <w:spacing w:after="0" w:line="103"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29 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20"/>
        <w:spacing w:after="0" w:line="242" w:lineRule="auto"/>
        <w:rPr>
          <w:sz w:val="20"/>
          <w:szCs w:val="20"/>
          <w:color w:val="auto"/>
        </w:rPr>
      </w:pPr>
      <w:r>
        <w:rPr>
          <w:rFonts w:ascii="Arial" w:cs="Arial" w:eastAsia="Arial" w:hAnsi="Arial"/>
          <w:sz w:val="14"/>
          <w:szCs w:val="14"/>
          <w:color w:val="auto"/>
        </w:rPr>
        <w:t>Holdings, Inc. and Marqeta, Inc. be added to the compensation peer group and that Engage Smart and Asana be removed because these companies did not meet one or more of the criteria discussed above and was no longer considered to be a meaningful comparison point or the company ceased to be publicly traded. Following this review, our People &amp; Compensation Committee selected the following companies as our peer group for reference purposes when making executive compensation decisions for Fiscal 2025:</w:t>
      </w:r>
    </w:p>
    <w:p>
      <w:pPr>
        <w:spacing w:after="0" w:line="195"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2380" w:type="dxa"/>
            <w:vAlign w:val="bottom"/>
            <w:shd w:val="clear" w:color="auto" w:fill="E8F4FF"/>
          </w:tcPr>
          <w:p>
            <w:pPr>
              <w:ind w:left="60"/>
              <w:spacing w:after="0"/>
              <w:rPr>
                <w:sz w:val="20"/>
                <w:szCs w:val="20"/>
                <w:color w:val="auto"/>
              </w:rPr>
            </w:pPr>
            <w:r>
              <w:rPr>
                <w:rFonts w:ascii="Arial" w:cs="Arial" w:eastAsia="Arial" w:hAnsi="Arial"/>
                <w:sz w:val="12"/>
                <w:szCs w:val="12"/>
                <w:color w:val="auto"/>
              </w:rPr>
              <w:t>Marqeta, Inc.</w:t>
            </w:r>
          </w:p>
        </w:tc>
        <w:tc>
          <w:tcPr>
            <w:tcW w:w="2980" w:type="dxa"/>
            <w:vAlign w:val="bottom"/>
            <w:shd w:val="clear" w:color="auto" w:fill="E8F4FF"/>
          </w:tcPr>
          <w:p>
            <w:pPr>
              <w:ind w:left="80"/>
              <w:spacing w:after="0"/>
              <w:rPr>
                <w:sz w:val="20"/>
                <w:szCs w:val="20"/>
                <w:color w:val="auto"/>
              </w:rPr>
            </w:pPr>
            <w:r>
              <w:rPr>
                <w:rFonts w:ascii="Arial" w:cs="Arial" w:eastAsia="Arial" w:hAnsi="Arial"/>
                <w:sz w:val="12"/>
                <w:szCs w:val="12"/>
                <w:color w:val="auto"/>
              </w:rPr>
              <w:t>JFrog</w:t>
            </w:r>
          </w:p>
        </w:tc>
        <w:tc>
          <w:tcPr>
            <w:tcW w:w="1480" w:type="dxa"/>
            <w:vAlign w:val="bottom"/>
            <w:shd w:val="clear" w:color="auto" w:fill="E8F4FF"/>
          </w:tcPr>
          <w:p>
            <w:pPr>
              <w:ind w:left="40"/>
              <w:spacing w:after="0"/>
              <w:rPr>
                <w:sz w:val="20"/>
                <w:szCs w:val="20"/>
                <w:color w:val="auto"/>
              </w:rPr>
            </w:pPr>
            <w:r>
              <w:rPr>
                <w:rFonts w:ascii="Arial" w:cs="Arial" w:eastAsia="Arial" w:hAnsi="Arial"/>
                <w:sz w:val="12"/>
                <w:szCs w:val="12"/>
                <w:color w:val="auto"/>
              </w:rPr>
              <w:t>Pager Duty</w:t>
            </w:r>
          </w:p>
        </w:tc>
        <w:tc>
          <w:tcPr>
            <w:tcW w:w="2360" w:type="dxa"/>
            <w:vAlign w:val="bottom"/>
            <w:shd w:val="clear" w:color="auto" w:fill="E8F4FF"/>
          </w:tcPr>
          <w:p>
            <w:pPr>
              <w:ind w:left="540"/>
              <w:spacing w:after="0"/>
              <w:rPr>
                <w:sz w:val="20"/>
                <w:szCs w:val="20"/>
                <w:color w:val="auto"/>
              </w:rPr>
            </w:pPr>
            <w:r>
              <w:rPr>
                <w:rFonts w:ascii="Arial" w:cs="Arial" w:eastAsia="Arial" w:hAnsi="Arial"/>
                <w:sz w:val="12"/>
                <w:szCs w:val="12"/>
                <w:color w:val="auto"/>
              </w:rPr>
              <w:t>Repay Holdings</w:t>
            </w:r>
          </w:p>
        </w:tc>
      </w:tr>
      <w:tr>
        <w:trPr>
          <w:trHeight w:val="75"/>
        </w:trPr>
        <w:tc>
          <w:tcPr>
            <w:tcW w:w="2380" w:type="dxa"/>
            <w:vAlign w:val="bottom"/>
            <w:shd w:val="clear" w:color="auto" w:fill="E8F4FF"/>
          </w:tcPr>
          <w:p>
            <w:pPr>
              <w:spacing w:after="0"/>
              <w:rPr>
                <w:sz w:val="6"/>
                <w:szCs w:val="6"/>
                <w:color w:val="auto"/>
              </w:rPr>
            </w:pPr>
          </w:p>
        </w:tc>
        <w:tc>
          <w:tcPr>
            <w:tcW w:w="2980" w:type="dxa"/>
            <w:vAlign w:val="bottom"/>
            <w:shd w:val="clear" w:color="auto" w:fill="E8F4FF"/>
          </w:tcPr>
          <w:p>
            <w:pPr>
              <w:spacing w:after="0"/>
              <w:rPr>
                <w:sz w:val="6"/>
                <w:szCs w:val="6"/>
                <w:color w:val="auto"/>
              </w:rPr>
            </w:pPr>
          </w:p>
        </w:tc>
        <w:tc>
          <w:tcPr>
            <w:tcW w:w="1480" w:type="dxa"/>
            <w:vAlign w:val="bottom"/>
            <w:shd w:val="clear" w:color="auto" w:fill="E8F4FF"/>
          </w:tcPr>
          <w:p>
            <w:pPr>
              <w:spacing w:after="0"/>
              <w:rPr>
                <w:sz w:val="6"/>
                <w:szCs w:val="6"/>
                <w:color w:val="auto"/>
              </w:rPr>
            </w:pPr>
          </w:p>
        </w:tc>
        <w:tc>
          <w:tcPr>
            <w:tcW w:w="2360" w:type="dxa"/>
            <w:vAlign w:val="bottom"/>
            <w:shd w:val="clear" w:color="auto" w:fill="E8F4FF"/>
          </w:tcPr>
          <w:p>
            <w:pPr>
              <w:spacing w:after="0"/>
              <w:rPr>
                <w:sz w:val="6"/>
                <w:szCs w:val="6"/>
                <w:color w:val="auto"/>
              </w:rPr>
            </w:pPr>
          </w:p>
        </w:tc>
      </w:tr>
      <w:tr>
        <w:trPr>
          <w:trHeight w:val="127"/>
        </w:trPr>
        <w:tc>
          <w:tcPr>
            <w:tcW w:w="2380" w:type="dxa"/>
            <w:vAlign w:val="bottom"/>
          </w:tcPr>
          <w:p>
            <w:pPr>
              <w:ind w:left="60"/>
              <w:spacing w:after="0" w:line="128" w:lineRule="exact"/>
              <w:rPr>
                <w:sz w:val="20"/>
                <w:szCs w:val="20"/>
                <w:color w:val="auto"/>
              </w:rPr>
            </w:pPr>
            <w:r>
              <w:rPr>
                <w:rFonts w:ascii="Arial" w:cs="Arial" w:eastAsia="Arial" w:hAnsi="Arial"/>
                <w:sz w:val="12"/>
                <w:szCs w:val="12"/>
                <w:color w:val="auto"/>
              </w:rPr>
              <w:t>AvidXchange (acquired and taken private</w:t>
            </w:r>
          </w:p>
        </w:tc>
        <w:tc>
          <w:tcPr>
            <w:tcW w:w="2980" w:type="dxa"/>
            <w:vAlign w:val="bottom"/>
          </w:tcPr>
          <w:p>
            <w:pPr>
              <w:ind w:left="80"/>
              <w:spacing w:after="0" w:line="128" w:lineRule="exact"/>
              <w:rPr>
                <w:sz w:val="20"/>
                <w:szCs w:val="20"/>
                <w:color w:val="auto"/>
              </w:rPr>
            </w:pPr>
            <w:r>
              <w:rPr>
                <w:rFonts w:ascii="Arial" w:cs="Arial" w:eastAsia="Arial" w:hAnsi="Arial"/>
                <w:sz w:val="12"/>
                <w:szCs w:val="12"/>
                <w:color w:val="auto"/>
              </w:rPr>
              <w:t>Lightspeed Commerce</w:t>
            </w:r>
          </w:p>
        </w:tc>
        <w:tc>
          <w:tcPr>
            <w:tcW w:w="1480" w:type="dxa"/>
            <w:vAlign w:val="bottom"/>
          </w:tcPr>
          <w:p>
            <w:pPr>
              <w:ind w:left="40"/>
              <w:spacing w:after="0" w:line="128" w:lineRule="exact"/>
              <w:rPr>
                <w:sz w:val="20"/>
                <w:szCs w:val="20"/>
                <w:color w:val="auto"/>
              </w:rPr>
            </w:pPr>
            <w:r>
              <w:rPr>
                <w:rFonts w:ascii="Arial" w:cs="Arial" w:eastAsia="Arial" w:hAnsi="Arial"/>
                <w:sz w:val="12"/>
                <w:szCs w:val="12"/>
                <w:color w:val="auto"/>
              </w:rPr>
              <w:t>Payoneer Global</w:t>
            </w:r>
          </w:p>
        </w:tc>
        <w:tc>
          <w:tcPr>
            <w:tcW w:w="2360" w:type="dxa"/>
            <w:vAlign w:val="bottom"/>
          </w:tcPr>
          <w:p>
            <w:pPr>
              <w:spacing w:after="0"/>
              <w:rPr>
                <w:sz w:val="11"/>
                <w:szCs w:val="11"/>
                <w:color w:val="auto"/>
              </w:rPr>
            </w:pPr>
          </w:p>
        </w:tc>
      </w:tr>
      <w:tr>
        <w:trPr>
          <w:trHeight w:val="159"/>
        </w:trPr>
        <w:tc>
          <w:tcPr>
            <w:tcW w:w="2380" w:type="dxa"/>
            <w:vAlign w:val="bottom"/>
          </w:tcPr>
          <w:p>
            <w:pPr>
              <w:ind w:left="60"/>
              <w:spacing w:after="0"/>
              <w:rPr>
                <w:sz w:val="20"/>
                <w:szCs w:val="20"/>
                <w:color w:val="auto"/>
              </w:rPr>
            </w:pPr>
            <w:r>
              <w:rPr>
                <w:rFonts w:ascii="Arial" w:cs="Arial" w:eastAsia="Arial" w:hAnsi="Arial"/>
                <w:sz w:val="12"/>
                <w:szCs w:val="12"/>
                <w:color w:val="auto"/>
              </w:rPr>
              <w:t>in October 2025)</w:t>
            </w:r>
          </w:p>
        </w:tc>
        <w:tc>
          <w:tcPr>
            <w:tcW w:w="2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0"/>
        </w:trPr>
        <w:tc>
          <w:tcPr>
            <w:tcW w:w="2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17"/>
        </w:trPr>
        <w:tc>
          <w:tcPr>
            <w:tcW w:w="2380" w:type="dxa"/>
            <w:vAlign w:val="bottom"/>
            <w:tcBorders>
              <w:bottom w:val="single" w:sz="8" w:color="E8F4FF"/>
            </w:tcBorders>
            <w:shd w:val="clear" w:color="auto" w:fill="E8F4FF"/>
          </w:tcPr>
          <w:p>
            <w:pPr>
              <w:ind w:left="60"/>
              <w:spacing w:after="0"/>
              <w:rPr>
                <w:sz w:val="20"/>
                <w:szCs w:val="20"/>
                <w:color w:val="auto"/>
              </w:rPr>
            </w:pPr>
            <w:r>
              <w:rPr>
                <w:rFonts w:ascii="Arial" w:cs="Arial" w:eastAsia="Arial" w:hAnsi="Arial"/>
                <w:sz w:val="12"/>
                <w:szCs w:val="12"/>
                <w:color w:val="auto"/>
              </w:rPr>
              <w:t>Bill Holdings, Inc.</w:t>
            </w:r>
          </w:p>
        </w:tc>
        <w:tc>
          <w:tcPr>
            <w:tcW w:w="2980" w:type="dxa"/>
            <w:vAlign w:val="bottom"/>
            <w:tcBorders>
              <w:bottom w:val="single" w:sz="8" w:color="E8F4FF"/>
            </w:tcBorders>
            <w:shd w:val="clear" w:color="auto" w:fill="E8F4FF"/>
          </w:tcPr>
          <w:p>
            <w:pPr>
              <w:ind w:left="80"/>
              <w:spacing w:after="0"/>
              <w:rPr>
                <w:sz w:val="20"/>
                <w:szCs w:val="20"/>
                <w:color w:val="auto"/>
              </w:rPr>
            </w:pPr>
            <w:r>
              <w:rPr>
                <w:rFonts w:ascii="Arial" w:cs="Arial" w:eastAsia="Arial" w:hAnsi="Arial"/>
                <w:sz w:val="12"/>
                <w:szCs w:val="12"/>
                <w:color w:val="auto"/>
              </w:rPr>
              <w:t>nCino</w:t>
            </w:r>
          </w:p>
        </w:tc>
        <w:tc>
          <w:tcPr>
            <w:tcW w:w="1480" w:type="dxa"/>
            <w:vAlign w:val="bottom"/>
            <w:tcBorders>
              <w:bottom w:val="single" w:sz="8" w:color="E8F4FF"/>
            </w:tcBorders>
            <w:shd w:val="clear" w:color="auto" w:fill="E8F4FF"/>
          </w:tcPr>
          <w:p>
            <w:pPr>
              <w:ind w:left="40"/>
              <w:spacing w:after="0"/>
              <w:rPr>
                <w:sz w:val="20"/>
                <w:szCs w:val="20"/>
                <w:color w:val="auto"/>
              </w:rPr>
            </w:pPr>
            <w:r>
              <w:rPr>
                <w:rFonts w:ascii="Arial" w:cs="Arial" w:eastAsia="Arial" w:hAnsi="Arial"/>
                <w:sz w:val="12"/>
                <w:szCs w:val="12"/>
                <w:color w:val="auto"/>
              </w:rPr>
              <w:t>Phreesia</w:t>
            </w:r>
          </w:p>
        </w:tc>
        <w:tc>
          <w:tcPr>
            <w:tcW w:w="2360" w:type="dxa"/>
            <w:vAlign w:val="bottom"/>
            <w:tcBorders>
              <w:bottom w:val="single" w:sz="8" w:color="E8F4FF"/>
            </w:tcBorders>
            <w:shd w:val="clear" w:color="auto" w:fill="E8F4FF"/>
          </w:tcPr>
          <w:p>
            <w:pPr>
              <w:spacing w:after="0"/>
              <w:rPr>
                <w:sz w:val="18"/>
                <w:szCs w:val="18"/>
                <w:color w:val="auto"/>
              </w:rPr>
            </w:pPr>
          </w:p>
        </w:tc>
      </w:tr>
      <w:tr>
        <w:trPr>
          <w:trHeight w:val="196"/>
        </w:trPr>
        <w:tc>
          <w:tcPr>
            <w:tcW w:w="2380" w:type="dxa"/>
            <w:vAlign w:val="bottom"/>
          </w:tcPr>
          <w:p>
            <w:pPr>
              <w:ind w:left="60"/>
              <w:spacing w:after="0"/>
              <w:rPr>
                <w:sz w:val="20"/>
                <w:szCs w:val="20"/>
                <w:color w:val="auto"/>
              </w:rPr>
            </w:pPr>
            <w:r>
              <w:rPr>
                <w:rFonts w:ascii="Arial" w:cs="Arial" w:eastAsia="Arial" w:hAnsi="Arial"/>
                <w:sz w:val="12"/>
                <w:szCs w:val="12"/>
                <w:color w:val="auto"/>
              </w:rPr>
              <w:t>EVERTEC</w:t>
            </w:r>
          </w:p>
        </w:tc>
        <w:tc>
          <w:tcPr>
            <w:tcW w:w="2980" w:type="dxa"/>
            <w:vAlign w:val="bottom"/>
          </w:tcPr>
          <w:p>
            <w:pPr>
              <w:ind w:left="80"/>
              <w:spacing w:after="0"/>
              <w:rPr>
                <w:sz w:val="20"/>
                <w:szCs w:val="20"/>
                <w:color w:val="auto"/>
              </w:rPr>
            </w:pPr>
            <w:r>
              <w:rPr>
                <w:rFonts w:ascii="Arial" w:cs="Arial" w:eastAsia="Arial" w:hAnsi="Arial"/>
                <w:sz w:val="12"/>
                <w:szCs w:val="12"/>
                <w:color w:val="auto"/>
              </w:rPr>
              <w:t>Nuvei (acquired and taken private in November 2024)</w:t>
            </w:r>
          </w:p>
        </w:tc>
        <w:tc>
          <w:tcPr>
            <w:tcW w:w="1480" w:type="dxa"/>
            <w:vAlign w:val="bottom"/>
          </w:tcPr>
          <w:p>
            <w:pPr>
              <w:ind w:left="40"/>
              <w:spacing w:after="0"/>
              <w:rPr>
                <w:sz w:val="20"/>
                <w:szCs w:val="20"/>
                <w:color w:val="auto"/>
              </w:rPr>
            </w:pPr>
            <w:r>
              <w:rPr>
                <w:rFonts w:ascii="Arial" w:cs="Arial" w:eastAsia="Arial" w:hAnsi="Arial"/>
                <w:sz w:val="12"/>
                <w:szCs w:val="12"/>
                <w:color w:val="auto"/>
              </w:rPr>
              <w:t>Remitly Global</w:t>
            </w:r>
          </w:p>
        </w:tc>
        <w:tc>
          <w:tcPr>
            <w:tcW w:w="2360" w:type="dxa"/>
            <w:vAlign w:val="bottom"/>
          </w:tcPr>
          <w:p>
            <w:pPr>
              <w:spacing w:after="0"/>
              <w:rPr>
                <w:sz w:val="17"/>
                <w:szCs w:val="17"/>
                <w:color w:val="auto"/>
              </w:rPr>
            </w:pPr>
          </w:p>
        </w:tc>
      </w:tr>
      <w:tr>
        <w:trPr>
          <w:trHeight w:val="75"/>
        </w:trPr>
        <w:tc>
          <w:tcPr>
            <w:tcW w:w="2380" w:type="dxa"/>
            <w:vAlign w:val="bottom"/>
            <w:tcBorders>
              <w:bottom w:val="single" w:sz="8" w:color="2393FF"/>
            </w:tcBorders>
          </w:tcPr>
          <w:p>
            <w:pPr>
              <w:spacing w:after="0"/>
              <w:rPr>
                <w:sz w:val="6"/>
                <w:szCs w:val="6"/>
                <w:color w:val="auto"/>
              </w:rPr>
            </w:pPr>
          </w:p>
        </w:tc>
        <w:tc>
          <w:tcPr>
            <w:tcW w:w="2980" w:type="dxa"/>
            <w:vAlign w:val="bottom"/>
            <w:tcBorders>
              <w:bottom w:val="single" w:sz="8" w:color="2393FF"/>
            </w:tcBorders>
          </w:tcPr>
          <w:p>
            <w:pPr>
              <w:spacing w:after="0"/>
              <w:rPr>
                <w:sz w:val="6"/>
                <w:szCs w:val="6"/>
                <w:color w:val="auto"/>
              </w:rPr>
            </w:pPr>
          </w:p>
        </w:tc>
        <w:tc>
          <w:tcPr>
            <w:tcW w:w="1480" w:type="dxa"/>
            <w:vAlign w:val="bottom"/>
            <w:tcBorders>
              <w:bottom w:val="single" w:sz="8" w:color="2393FF"/>
            </w:tcBorders>
          </w:tcPr>
          <w:p>
            <w:pPr>
              <w:spacing w:after="0"/>
              <w:rPr>
                <w:sz w:val="6"/>
                <w:szCs w:val="6"/>
                <w:color w:val="auto"/>
              </w:rPr>
            </w:pPr>
          </w:p>
        </w:tc>
        <w:tc>
          <w:tcPr>
            <w:tcW w:w="2360" w:type="dxa"/>
            <w:vAlign w:val="bottom"/>
            <w:tcBorders>
              <w:bottom w:val="single" w:sz="8" w:color="2393FF"/>
            </w:tcBorders>
          </w:tcPr>
          <w:p>
            <w:pPr>
              <w:spacing w:after="0"/>
              <w:rPr>
                <w:sz w:val="6"/>
                <w:szCs w:val="6"/>
                <w:color w:val="auto"/>
              </w:rPr>
            </w:pPr>
          </w:p>
        </w:tc>
      </w:tr>
    </w:tbl>
    <w:p>
      <w:pPr>
        <w:spacing w:after="0" w:line="170" w:lineRule="exact"/>
        <w:rPr>
          <w:sz w:val="20"/>
          <w:szCs w:val="20"/>
          <w:color w:val="auto"/>
        </w:rPr>
      </w:pPr>
    </w:p>
    <w:p>
      <w:pPr>
        <w:ind w:left="1020" w:right="60"/>
        <w:spacing w:after="0" w:line="287" w:lineRule="auto"/>
        <w:rPr>
          <w:sz w:val="20"/>
          <w:szCs w:val="20"/>
          <w:color w:val="auto"/>
        </w:rPr>
      </w:pPr>
      <w:r>
        <w:rPr>
          <w:rFonts w:ascii="Arial" w:cs="Arial" w:eastAsia="Arial" w:hAnsi="Arial"/>
          <w:sz w:val="12"/>
          <w:szCs w:val="12"/>
          <w:color w:val="auto"/>
        </w:rPr>
        <w:t>When making compensation decisions for our NEOs, our People &amp; Compensation Committee also reviews published survey and peer group compensation data. Competitive market practices are an important factor in our People &amp; Compensation Committee’s decision-making process, although its decisions are not entirely based upon market practices. Rather, our People &amp; Compensation Committee reviews and considers the peer group and other survey data to obtain a general understanding of current competitive compensation practices. Additionally, reviewing the peer group and survey compensation data enables our People &amp; Compensation Committee to accomplish our goal of paying our NEOs what is appropriate and necessary to attract and retain qualified and committed executives while incentivizing achievement of our corporate goals and conserving cash and equity.</w:t>
      </w:r>
    </w:p>
    <w:p>
      <w:pPr>
        <w:spacing w:after="0" w:line="13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PRINCIPAL ELEMENTS OF COMPENSATION</w:t>
      </w:r>
    </w:p>
    <w:p>
      <w:pPr>
        <w:spacing w:after="0" w:line="177" w:lineRule="exact"/>
        <w:rPr>
          <w:sz w:val="20"/>
          <w:szCs w:val="20"/>
          <w:color w:val="auto"/>
        </w:rPr>
      </w:pPr>
    </w:p>
    <w:p>
      <w:pPr>
        <w:ind w:left="1020" w:right="120"/>
        <w:spacing w:after="0" w:line="236" w:lineRule="auto"/>
        <w:rPr>
          <w:sz w:val="20"/>
          <w:szCs w:val="20"/>
          <w:color w:val="auto"/>
        </w:rPr>
      </w:pPr>
      <w:r>
        <w:rPr>
          <w:rFonts w:ascii="Arial" w:cs="Arial" w:eastAsia="Arial" w:hAnsi="Arial"/>
          <w:sz w:val="13"/>
          <w:szCs w:val="13"/>
          <w:color w:val="auto"/>
        </w:rPr>
        <w:t>Our executive compensation program has the following principal elements: base salary, annual short-term cash incentive bonuses, long-term incentive awards, severance and change in control benefits and other benefits. For base salary, annual cash bonuses and long-term incentive awards for our executive officers, our Company’s compensation philosophy generally is to evaluate individual experience and contribution, as well as corporate performance, and then consider competitive market analysis. The markets we are serving are highly competitive for talent and executive leadership. We consider the full range of market data when making pay decisions, using the 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percentile as a reference point. Given our pay mix, which is weighted more towards equity than cash compared to market, the People &amp; Compensation Committee sets compensation for some executives between the 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and 75</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percentiles, recognizing that the vast majority of the compensation is weighted towards equity than cash to emphasize alignment with stockholders and long-term performance. We believe it is important to drive our Company to over-perform the market in the long term. We also believe that to ensure appropriate pay for performance alignment it may be appropriate for our People &amp; Compensation Committee to approve compensation levels for individual executives that may be above or below target pay for similar positions based on experience, individual contribution and corporate performance. The following table describes the primary compensation elements used by our Company and main objectives of each element:</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43"/>
        </w:trPr>
        <w:tc>
          <w:tcPr>
            <w:tcW w:w="2120" w:type="dxa"/>
            <w:vAlign w:val="bottom"/>
          </w:tcPr>
          <w:p>
            <w:pPr>
              <w:spacing w:after="0"/>
              <w:rPr>
                <w:sz w:val="20"/>
                <w:szCs w:val="20"/>
                <w:color w:val="auto"/>
              </w:rPr>
            </w:pPr>
            <w:r>
              <w:rPr>
                <w:rFonts w:ascii="Arial" w:cs="Arial" w:eastAsia="Arial" w:hAnsi="Arial"/>
                <w:sz w:val="11"/>
                <w:szCs w:val="11"/>
                <w:b w:val="1"/>
                <w:bCs w:val="1"/>
                <w:color w:val="auto"/>
              </w:rPr>
              <w:t>  COMPENSATION ELEMENT</w:t>
            </w:r>
          </w:p>
        </w:tc>
        <w:tc>
          <w:tcPr>
            <w:tcW w:w="7080" w:type="dxa"/>
            <w:vAlign w:val="bottom"/>
          </w:tcPr>
          <w:p>
            <w:pPr>
              <w:ind w:left="180"/>
              <w:spacing w:after="0"/>
              <w:rPr>
                <w:sz w:val="20"/>
                <w:szCs w:val="20"/>
                <w:color w:val="auto"/>
              </w:rPr>
            </w:pPr>
            <w:r>
              <w:rPr>
                <w:rFonts w:ascii="Arial" w:cs="Arial" w:eastAsia="Arial" w:hAnsi="Arial"/>
                <w:sz w:val="11"/>
                <w:szCs w:val="11"/>
                <w:b w:val="1"/>
                <w:bCs w:val="1"/>
                <w:color w:val="auto"/>
              </w:rPr>
              <w:t>OBJECTIVES</w:t>
            </w:r>
          </w:p>
        </w:tc>
      </w:tr>
      <w:tr>
        <w:trPr>
          <w:trHeight w:val="30"/>
        </w:trPr>
        <w:tc>
          <w:tcPr>
            <w:tcW w:w="2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184"/>
        </w:trPr>
        <w:tc>
          <w:tcPr>
            <w:tcW w:w="21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Base Salary</w:t>
            </w:r>
          </w:p>
        </w:tc>
        <w:tc>
          <w:tcPr>
            <w:tcW w:w="7080" w:type="dxa"/>
            <w:vAlign w:val="bottom"/>
            <w:shd w:val="clear" w:color="auto" w:fill="E8F4FF"/>
          </w:tcPr>
          <w:p>
            <w:pPr>
              <w:ind w:left="180"/>
              <w:spacing w:after="0"/>
              <w:rPr>
                <w:sz w:val="20"/>
                <w:szCs w:val="20"/>
                <w:color w:val="auto"/>
              </w:rPr>
            </w:pPr>
            <w:r>
              <w:rPr>
                <w:rFonts w:ascii="Arial" w:cs="Arial" w:eastAsia="Arial" w:hAnsi="Arial"/>
                <w:sz w:val="12"/>
                <w:szCs w:val="12"/>
                <w:color w:val="auto"/>
              </w:rPr>
              <w:t>Our People &amp; Compensation Committee sets base salaries with the intent to attract and retain NEOs, reward satisfactory</w:t>
            </w:r>
          </w:p>
        </w:tc>
      </w:tr>
      <w:tr>
        <w:trPr>
          <w:trHeight w:val="135"/>
        </w:trPr>
        <w:tc>
          <w:tcPr>
            <w:tcW w:w="2120" w:type="dxa"/>
            <w:vAlign w:val="bottom"/>
            <w:shd w:val="clear" w:color="auto" w:fill="E8F4FF"/>
          </w:tcPr>
          <w:p>
            <w:pPr>
              <w:spacing w:after="0"/>
              <w:rPr>
                <w:sz w:val="11"/>
                <w:szCs w:val="11"/>
                <w:color w:val="auto"/>
              </w:rPr>
            </w:pPr>
          </w:p>
        </w:tc>
        <w:tc>
          <w:tcPr>
            <w:tcW w:w="7080" w:type="dxa"/>
            <w:vAlign w:val="bottom"/>
            <w:shd w:val="clear" w:color="auto" w:fill="E8F4FF"/>
          </w:tcPr>
          <w:p>
            <w:pPr>
              <w:ind w:left="180"/>
              <w:spacing w:after="0" w:line="136" w:lineRule="exact"/>
              <w:rPr>
                <w:sz w:val="20"/>
                <w:szCs w:val="20"/>
                <w:color w:val="auto"/>
              </w:rPr>
            </w:pPr>
            <w:r>
              <w:rPr>
                <w:rFonts w:ascii="Arial" w:cs="Arial" w:eastAsia="Arial" w:hAnsi="Arial"/>
                <w:sz w:val="12"/>
                <w:szCs w:val="12"/>
                <w:color w:val="auto"/>
              </w:rPr>
              <w:t>performance and provide a minimum, fixed level of cash compensation to compensate NEOs for their day-to-day</w:t>
            </w:r>
          </w:p>
        </w:tc>
      </w:tr>
      <w:tr>
        <w:trPr>
          <w:trHeight w:val="159"/>
        </w:trPr>
        <w:tc>
          <w:tcPr>
            <w:tcW w:w="2120" w:type="dxa"/>
            <w:vAlign w:val="bottom"/>
            <w:shd w:val="clear" w:color="auto" w:fill="E8F4FF"/>
          </w:tcPr>
          <w:p>
            <w:pPr>
              <w:spacing w:after="0"/>
              <w:rPr>
                <w:sz w:val="13"/>
                <w:szCs w:val="13"/>
                <w:color w:val="auto"/>
              </w:rPr>
            </w:pPr>
          </w:p>
        </w:tc>
        <w:tc>
          <w:tcPr>
            <w:tcW w:w="7080" w:type="dxa"/>
            <w:vAlign w:val="bottom"/>
            <w:shd w:val="clear" w:color="auto" w:fill="E8F4FF"/>
          </w:tcPr>
          <w:p>
            <w:pPr>
              <w:ind w:left="180"/>
              <w:spacing w:after="0"/>
              <w:rPr>
                <w:sz w:val="20"/>
                <w:szCs w:val="20"/>
                <w:color w:val="auto"/>
              </w:rPr>
            </w:pPr>
            <w:r>
              <w:rPr>
                <w:rFonts w:ascii="Arial" w:cs="Arial" w:eastAsia="Arial" w:hAnsi="Arial"/>
                <w:sz w:val="12"/>
                <w:szCs w:val="12"/>
                <w:color w:val="auto"/>
              </w:rPr>
              <w:t>responsibilities.</w:t>
            </w:r>
          </w:p>
        </w:tc>
      </w:tr>
      <w:tr>
        <w:trPr>
          <w:trHeight w:val="75"/>
        </w:trPr>
        <w:tc>
          <w:tcPr>
            <w:tcW w:w="2120" w:type="dxa"/>
            <w:vAlign w:val="bottom"/>
            <w:shd w:val="clear" w:color="auto" w:fill="E8F4FF"/>
          </w:tcPr>
          <w:p>
            <w:pPr>
              <w:spacing w:after="0"/>
              <w:rPr>
                <w:sz w:val="6"/>
                <w:szCs w:val="6"/>
                <w:color w:val="auto"/>
              </w:rPr>
            </w:pPr>
          </w:p>
        </w:tc>
        <w:tc>
          <w:tcPr>
            <w:tcW w:w="7080" w:type="dxa"/>
            <w:vAlign w:val="bottom"/>
            <w:shd w:val="clear" w:color="auto" w:fill="E8F4FF"/>
          </w:tcPr>
          <w:p>
            <w:pPr>
              <w:spacing w:after="0"/>
              <w:rPr>
                <w:sz w:val="6"/>
                <w:szCs w:val="6"/>
                <w:color w:val="auto"/>
              </w:rPr>
            </w:pPr>
          </w:p>
        </w:tc>
      </w:tr>
      <w:tr>
        <w:trPr>
          <w:trHeight w:val="184"/>
        </w:trPr>
        <w:tc>
          <w:tcPr>
            <w:tcW w:w="2120" w:type="dxa"/>
            <w:vAlign w:val="bottom"/>
          </w:tcPr>
          <w:p>
            <w:pPr>
              <w:ind w:left="60"/>
              <w:spacing w:after="0"/>
              <w:rPr>
                <w:sz w:val="20"/>
                <w:szCs w:val="20"/>
                <w:color w:val="auto"/>
              </w:rPr>
            </w:pPr>
            <w:r>
              <w:rPr>
                <w:rFonts w:ascii="Arial" w:cs="Arial" w:eastAsia="Arial" w:hAnsi="Arial"/>
                <w:sz w:val="12"/>
                <w:szCs w:val="12"/>
                <w:b w:val="1"/>
                <w:bCs w:val="1"/>
                <w:color w:val="2393FF"/>
              </w:rPr>
              <w:t>Annual Cash Incentive Bonus</w:t>
            </w:r>
          </w:p>
        </w:tc>
        <w:tc>
          <w:tcPr>
            <w:tcW w:w="7080" w:type="dxa"/>
            <w:vAlign w:val="bottom"/>
          </w:tcPr>
          <w:p>
            <w:pPr>
              <w:ind w:left="180"/>
              <w:spacing w:after="0"/>
              <w:rPr>
                <w:sz w:val="20"/>
                <w:szCs w:val="20"/>
                <w:color w:val="auto"/>
              </w:rPr>
            </w:pPr>
            <w:r>
              <w:rPr>
                <w:rFonts w:ascii="Arial" w:cs="Arial" w:eastAsia="Arial" w:hAnsi="Arial"/>
                <w:sz w:val="12"/>
                <w:szCs w:val="12"/>
                <w:color w:val="auto"/>
              </w:rPr>
              <w:t>Annual cash incentive bonuses are awarded under a performance-based compensation program and are designed to align the</w:t>
            </w:r>
          </w:p>
        </w:tc>
      </w:tr>
      <w:tr>
        <w:trPr>
          <w:trHeight w:val="135"/>
        </w:trPr>
        <w:tc>
          <w:tcPr>
            <w:tcW w:w="2120" w:type="dxa"/>
            <w:vAlign w:val="bottom"/>
          </w:tcPr>
          <w:p>
            <w:pPr>
              <w:spacing w:after="0"/>
              <w:rPr>
                <w:sz w:val="11"/>
                <w:szCs w:val="11"/>
                <w:color w:val="auto"/>
              </w:rPr>
            </w:pPr>
          </w:p>
        </w:tc>
        <w:tc>
          <w:tcPr>
            <w:tcW w:w="7080" w:type="dxa"/>
            <w:vAlign w:val="bottom"/>
          </w:tcPr>
          <w:p>
            <w:pPr>
              <w:ind w:left="180"/>
              <w:spacing w:after="0" w:line="136" w:lineRule="exact"/>
              <w:rPr>
                <w:sz w:val="20"/>
                <w:szCs w:val="20"/>
                <w:color w:val="auto"/>
              </w:rPr>
            </w:pPr>
            <w:r>
              <w:rPr>
                <w:rFonts w:ascii="Arial" w:cs="Arial" w:eastAsia="Arial" w:hAnsi="Arial"/>
                <w:sz w:val="12"/>
                <w:szCs w:val="12"/>
                <w:color w:val="auto"/>
              </w:rPr>
              <w:t>interests of our NEOs and stockholders by providing compensation based on the achievement of pre-established corporate</w:t>
            </w:r>
          </w:p>
        </w:tc>
      </w:tr>
      <w:tr>
        <w:trPr>
          <w:trHeight w:val="159"/>
        </w:trPr>
        <w:tc>
          <w:tcPr>
            <w:tcW w:w="2120" w:type="dxa"/>
            <w:vAlign w:val="bottom"/>
          </w:tcPr>
          <w:p>
            <w:pPr>
              <w:spacing w:after="0"/>
              <w:rPr>
                <w:sz w:val="13"/>
                <w:szCs w:val="13"/>
                <w:color w:val="auto"/>
              </w:rPr>
            </w:pPr>
          </w:p>
        </w:tc>
        <w:tc>
          <w:tcPr>
            <w:tcW w:w="7080" w:type="dxa"/>
            <w:vAlign w:val="bottom"/>
          </w:tcPr>
          <w:p>
            <w:pPr>
              <w:ind w:left="180"/>
              <w:spacing w:after="0"/>
              <w:rPr>
                <w:sz w:val="20"/>
                <w:szCs w:val="20"/>
                <w:color w:val="auto"/>
              </w:rPr>
            </w:pPr>
            <w:r>
              <w:rPr>
                <w:rFonts w:ascii="Arial" w:cs="Arial" w:eastAsia="Arial" w:hAnsi="Arial"/>
                <w:sz w:val="12"/>
                <w:szCs w:val="12"/>
                <w:color w:val="auto"/>
              </w:rPr>
              <w:t>financial goals.</w:t>
            </w:r>
          </w:p>
        </w:tc>
      </w:tr>
      <w:tr>
        <w:trPr>
          <w:trHeight w:val="75"/>
        </w:trPr>
        <w:tc>
          <w:tcPr>
            <w:tcW w:w="2120" w:type="dxa"/>
            <w:vAlign w:val="bottom"/>
          </w:tcPr>
          <w:p>
            <w:pPr>
              <w:spacing w:after="0"/>
              <w:rPr>
                <w:sz w:val="6"/>
                <w:szCs w:val="6"/>
                <w:color w:val="auto"/>
              </w:rPr>
            </w:pPr>
          </w:p>
        </w:tc>
        <w:tc>
          <w:tcPr>
            <w:tcW w:w="7080" w:type="dxa"/>
            <w:vAlign w:val="bottom"/>
          </w:tcPr>
          <w:p>
            <w:pPr>
              <w:spacing w:after="0"/>
              <w:rPr>
                <w:sz w:val="6"/>
                <w:szCs w:val="6"/>
                <w:color w:val="auto"/>
              </w:rPr>
            </w:pPr>
          </w:p>
        </w:tc>
      </w:tr>
      <w:tr>
        <w:trPr>
          <w:trHeight w:val="184"/>
        </w:trPr>
        <w:tc>
          <w:tcPr>
            <w:tcW w:w="21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Long-Term Incentive Awards</w:t>
            </w:r>
          </w:p>
        </w:tc>
        <w:tc>
          <w:tcPr>
            <w:tcW w:w="7080" w:type="dxa"/>
            <w:vAlign w:val="bottom"/>
            <w:shd w:val="clear" w:color="auto" w:fill="E8F4FF"/>
          </w:tcPr>
          <w:p>
            <w:pPr>
              <w:ind w:left="180"/>
              <w:spacing w:after="0"/>
              <w:rPr>
                <w:sz w:val="20"/>
                <w:szCs w:val="20"/>
                <w:color w:val="auto"/>
              </w:rPr>
            </w:pPr>
            <w:r>
              <w:rPr>
                <w:rFonts w:ascii="Arial" w:cs="Arial" w:eastAsia="Arial" w:hAnsi="Arial"/>
                <w:sz w:val="12"/>
                <w:szCs w:val="12"/>
                <w:color w:val="auto"/>
              </w:rPr>
              <w:t>Our People &amp; Compensation Committee structures long-term incentive awards with the goals of aligning our NEOs’ interests</w:t>
            </w:r>
          </w:p>
        </w:tc>
      </w:tr>
      <w:tr>
        <w:trPr>
          <w:trHeight w:val="135"/>
        </w:trPr>
        <w:tc>
          <w:tcPr>
            <w:tcW w:w="2120" w:type="dxa"/>
            <w:vAlign w:val="bottom"/>
            <w:shd w:val="clear" w:color="auto" w:fill="E8F4FF"/>
          </w:tcPr>
          <w:p>
            <w:pPr>
              <w:spacing w:after="0"/>
              <w:rPr>
                <w:sz w:val="11"/>
                <w:szCs w:val="11"/>
                <w:color w:val="auto"/>
              </w:rPr>
            </w:pPr>
          </w:p>
        </w:tc>
        <w:tc>
          <w:tcPr>
            <w:tcW w:w="7080" w:type="dxa"/>
            <w:vAlign w:val="bottom"/>
            <w:shd w:val="clear" w:color="auto" w:fill="E8F4FF"/>
          </w:tcPr>
          <w:p>
            <w:pPr>
              <w:ind w:left="180"/>
              <w:spacing w:after="0" w:line="136" w:lineRule="exact"/>
              <w:rPr>
                <w:sz w:val="20"/>
                <w:szCs w:val="20"/>
                <w:color w:val="auto"/>
              </w:rPr>
            </w:pPr>
            <w:r>
              <w:rPr>
                <w:rFonts w:ascii="Arial" w:cs="Arial" w:eastAsia="Arial" w:hAnsi="Arial"/>
                <w:sz w:val="12"/>
                <w:szCs w:val="12"/>
                <w:color w:val="auto"/>
              </w:rPr>
              <w:t>with those of our stockholders, supporting retention and motivating NEOs to achieve our financial, strategic and operational</w:t>
            </w:r>
          </w:p>
        </w:tc>
      </w:tr>
      <w:tr>
        <w:trPr>
          <w:trHeight w:val="159"/>
        </w:trPr>
        <w:tc>
          <w:tcPr>
            <w:tcW w:w="2120" w:type="dxa"/>
            <w:vAlign w:val="bottom"/>
            <w:shd w:val="clear" w:color="auto" w:fill="E8F4FF"/>
          </w:tcPr>
          <w:p>
            <w:pPr>
              <w:spacing w:after="0"/>
              <w:rPr>
                <w:sz w:val="13"/>
                <w:szCs w:val="13"/>
                <w:color w:val="auto"/>
              </w:rPr>
            </w:pPr>
          </w:p>
        </w:tc>
        <w:tc>
          <w:tcPr>
            <w:tcW w:w="7080" w:type="dxa"/>
            <w:vAlign w:val="bottom"/>
            <w:shd w:val="clear" w:color="auto" w:fill="E8F4FF"/>
          </w:tcPr>
          <w:p>
            <w:pPr>
              <w:ind w:left="180"/>
              <w:spacing w:after="0"/>
              <w:rPr>
                <w:sz w:val="20"/>
                <w:szCs w:val="20"/>
                <w:color w:val="auto"/>
              </w:rPr>
            </w:pPr>
            <w:r>
              <w:rPr>
                <w:rFonts w:ascii="Arial" w:cs="Arial" w:eastAsia="Arial" w:hAnsi="Arial"/>
                <w:sz w:val="12"/>
                <w:szCs w:val="12"/>
                <w:color w:val="auto"/>
              </w:rPr>
              <w:t>goals. In Fiscal 2025, long-term incentive awards were in the form of time-based vesting RSUs.</w:t>
            </w:r>
          </w:p>
        </w:tc>
      </w:tr>
      <w:tr>
        <w:trPr>
          <w:trHeight w:val="75"/>
        </w:trPr>
        <w:tc>
          <w:tcPr>
            <w:tcW w:w="2120" w:type="dxa"/>
            <w:vAlign w:val="bottom"/>
            <w:shd w:val="clear" w:color="auto" w:fill="E8F4FF"/>
          </w:tcPr>
          <w:p>
            <w:pPr>
              <w:spacing w:after="0"/>
              <w:rPr>
                <w:sz w:val="6"/>
                <w:szCs w:val="6"/>
                <w:color w:val="auto"/>
              </w:rPr>
            </w:pPr>
          </w:p>
        </w:tc>
        <w:tc>
          <w:tcPr>
            <w:tcW w:w="7080" w:type="dxa"/>
            <w:vAlign w:val="bottom"/>
            <w:shd w:val="clear" w:color="auto" w:fill="E8F4FF"/>
          </w:tcPr>
          <w:p>
            <w:pPr>
              <w:spacing w:after="0"/>
              <w:rPr>
                <w:sz w:val="6"/>
                <w:szCs w:val="6"/>
                <w:color w:val="auto"/>
              </w:rPr>
            </w:pPr>
          </w:p>
        </w:tc>
      </w:tr>
      <w:tr>
        <w:trPr>
          <w:trHeight w:val="184"/>
        </w:trPr>
        <w:tc>
          <w:tcPr>
            <w:tcW w:w="2120" w:type="dxa"/>
            <w:vAlign w:val="bottom"/>
          </w:tcPr>
          <w:p>
            <w:pPr>
              <w:ind w:left="60"/>
              <w:spacing w:after="0"/>
              <w:rPr>
                <w:sz w:val="20"/>
                <w:szCs w:val="20"/>
                <w:color w:val="auto"/>
              </w:rPr>
            </w:pPr>
            <w:r>
              <w:rPr>
                <w:rFonts w:ascii="Arial" w:cs="Arial" w:eastAsia="Arial" w:hAnsi="Arial"/>
                <w:sz w:val="12"/>
                <w:szCs w:val="12"/>
                <w:b w:val="1"/>
                <w:bCs w:val="1"/>
                <w:color w:val="2393FF"/>
              </w:rPr>
              <w:t>Severance and Change in Control</w:t>
            </w:r>
          </w:p>
        </w:tc>
        <w:tc>
          <w:tcPr>
            <w:tcW w:w="7080" w:type="dxa"/>
            <w:vAlign w:val="bottom"/>
          </w:tcPr>
          <w:p>
            <w:pPr>
              <w:ind w:left="180"/>
              <w:spacing w:after="0"/>
              <w:rPr>
                <w:sz w:val="20"/>
                <w:szCs w:val="20"/>
                <w:color w:val="auto"/>
              </w:rPr>
            </w:pPr>
            <w:r>
              <w:rPr>
                <w:rFonts w:ascii="Arial" w:cs="Arial" w:eastAsia="Arial" w:hAnsi="Arial"/>
                <w:sz w:val="12"/>
                <w:szCs w:val="12"/>
                <w:color w:val="auto"/>
              </w:rPr>
              <w:t>Severance and change in control benefits are included in each NEO’s employment agreement (most recently amended and</w:t>
            </w:r>
          </w:p>
        </w:tc>
      </w:tr>
      <w:tr>
        <w:trPr>
          <w:trHeight w:val="135"/>
        </w:trPr>
        <w:tc>
          <w:tcPr>
            <w:tcW w:w="2120" w:type="dxa"/>
            <w:vAlign w:val="bottom"/>
          </w:tcPr>
          <w:p>
            <w:pPr>
              <w:ind w:left="60"/>
              <w:spacing w:after="0" w:line="136" w:lineRule="exact"/>
              <w:rPr>
                <w:sz w:val="20"/>
                <w:szCs w:val="20"/>
                <w:color w:val="auto"/>
              </w:rPr>
            </w:pPr>
            <w:r>
              <w:rPr>
                <w:rFonts w:ascii="Arial" w:cs="Arial" w:eastAsia="Arial" w:hAnsi="Arial"/>
                <w:sz w:val="12"/>
                <w:szCs w:val="12"/>
                <w:b w:val="1"/>
                <w:bCs w:val="1"/>
                <w:color w:val="2393FF"/>
              </w:rPr>
              <w:t>Benefits</w:t>
            </w:r>
          </w:p>
        </w:tc>
        <w:tc>
          <w:tcPr>
            <w:tcW w:w="7080" w:type="dxa"/>
            <w:vAlign w:val="bottom"/>
          </w:tcPr>
          <w:p>
            <w:pPr>
              <w:ind w:left="180"/>
              <w:spacing w:after="0" w:line="136" w:lineRule="exact"/>
              <w:rPr>
                <w:sz w:val="20"/>
                <w:szCs w:val="20"/>
                <w:color w:val="auto"/>
              </w:rPr>
            </w:pPr>
            <w:r>
              <w:rPr>
                <w:rFonts w:ascii="Arial" w:cs="Arial" w:eastAsia="Arial" w:hAnsi="Arial"/>
                <w:sz w:val="12"/>
                <w:szCs w:val="12"/>
                <w:color w:val="auto"/>
              </w:rPr>
              <w:t>restated for each NEO in August 2025) in order to promote stability and continuity of our senior management team in the event</w:t>
            </w:r>
          </w:p>
        </w:tc>
      </w:tr>
      <w:tr>
        <w:trPr>
          <w:trHeight w:val="135"/>
        </w:trPr>
        <w:tc>
          <w:tcPr>
            <w:tcW w:w="2120" w:type="dxa"/>
            <w:vAlign w:val="bottom"/>
          </w:tcPr>
          <w:p>
            <w:pPr>
              <w:spacing w:after="0"/>
              <w:rPr>
                <w:sz w:val="11"/>
                <w:szCs w:val="11"/>
                <w:color w:val="auto"/>
              </w:rPr>
            </w:pPr>
          </w:p>
        </w:tc>
        <w:tc>
          <w:tcPr>
            <w:tcW w:w="7080" w:type="dxa"/>
            <w:vAlign w:val="bottom"/>
          </w:tcPr>
          <w:p>
            <w:pPr>
              <w:ind w:left="180"/>
              <w:spacing w:after="0" w:line="136" w:lineRule="exact"/>
              <w:rPr>
                <w:sz w:val="20"/>
                <w:szCs w:val="20"/>
                <w:color w:val="auto"/>
              </w:rPr>
            </w:pPr>
            <w:r>
              <w:rPr>
                <w:rFonts w:ascii="Arial" w:cs="Arial" w:eastAsia="Arial" w:hAnsi="Arial"/>
                <w:sz w:val="12"/>
                <w:szCs w:val="12"/>
                <w:color w:val="auto"/>
              </w:rPr>
              <w:t>of a potential change in control and/or an involuntary termination. Our People &amp; Compensation Committee believes these</w:t>
            </w:r>
          </w:p>
        </w:tc>
      </w:tr>
      <w:tr>
        <w:trPr>
          <w:trHeight w:val="159"/>
        </w:trPr>
        <w:tc>
          <w:tcPr>
            <w:tcW w:w="2120" w:type="dxa"/>
            <w:vAlign w:val="bottom"/>
          </w:tcPr>
          <w:p>
            <w:pPr>
              <w:spacing w:after="0"/>
              <w:rPr>
                <w:sz w:val="13"/>
                <w:szCs w:val="13"/>
                <w:color w:val="auto"/>
              </w:rPr>
            </w:pPr>
          </w:p>
        </w:tc>
        <w:tc>
          <w:tcPr>
            <w:tcW w:w="7080" w:type="dxa"/>
            <w:vAlign w:val="bottom"/>
          </w:tcPr>
          <w:p>
            <w:pPr>
              <w:ind w:left="180"/>
              <w:spacing w:after="0"/>
              <w:rPr>
                <w:sz w:val="20"/>
                <w:szCs w:val="20"/>
                <w:color w:val="auto"/>
              </w:rPr>
            </w:pPr>
            <w:r>
              <w:rPr>
                <w:rFonts w:ascii="Arial" w:cs="Arial" w:eastAsia="Arial" w:hAnsi="Arial"/>
                <w:sz w:val="12"/>
                <w:szCs w:val="12"/>
                <w:color w:val="auto"/>
              </w:rPr>
              <w:t>provisions help to align each of our NEO’s interests appropriately with those of our stockholders in these scenarios.</w:t>
            </w:r>
          </w:p>
        </w:tc>
      </w:tr>
      <w:tr>
        <w:trPr>
          <w:trHeight w:val="75"/>
        </w:trPr>
        <w:tc>
          <w:tcPr>
            <w:tcW w:w="2120" w:type="dxa"/>
            <w:vAlign w:val="bottom"/>
          </w:tcPr>
          <w:p>
            <w:pPr>
              <w:spacing w:after="0"/>
              <w:rPr>
                <w:sz w:val="6"/>
                <w:szCs w:val="6"/>
                <w:color w:val="auto"/>
              </w:rPr>
            </w:pPr>
          </w:p>
        </w:tc>
        <w:tc>
          <w:tcPr>
            <w:tcW w:w="7080" w:type="dxa"/>
            <w:vAlign w:val="bottom"/>
          </w:tcPr>
          <w:p>
            <w:pPr>
              <w:spacing w:after="0"/>
              <w:rPr>
                <w:sz w:val="6"/>
                <w:szCs w:val="6"/>
                <w:color w:val="auto"/>
              </w:rPr>
            </w:pPr>
          </w:p>
        </w:tc>
      </w:tr>
      <w:tr>
        <w:trPr>
          <w:trHeight w:val="184"/>
        </w:trPr>
        <w:tc>
          <w:tcPr>
            <w:tcW w:w="21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Benefits</w:t>
            </w:r>
          </w:p>
        </w:tc>
        <w:tc>
          <w:tcPr>
            <w:tcW w:w="7080" w:type="dxa"/>
            <w:vAlign w:val="bottom"/>
            <w:shd w:val="clear" w:color="auto" w:fill="E8F4FF"/>
          </w:tcPr>
          <w:p>
            <w:pPr>
              <w:ind w:left="180"/>
              <w:spacing w:after="0"/>
              <w:rPr>
                <w:sz w:val="20"/>
                <w:szCs w:val="20"/>
                <w:color w:val="auto"/>
              </w:rPr>
            </w:pPr>
            <w:r>
              <w:rPr>
                <w:rFonts w:ascii="Arial" w:cs="Arial" w:eastAsia="Arial" w:hAnsi="Arial"/>
                <w:sz w:val="12"/>
                <w:szCs w:val="12"/>
                <w:color w:val="auto"/>
              </w:rPr>
              <w:t>We offer competitive health and welfare benefits, as well as participation in an employee stock purchase plan and other</w:t>
            </w:r>
          </w:p>
        </w:tc>
      </w:tr>
      <w:tr>
        <w:trPr>
          <w:trHeight w:val="159"/>
        </w:trPr>
        <w:tc>
          <w:tcPr>
            <w:tcW w:w="2120" w:type="dxa"/>
            <w:vAlign w:val="bottom"/>
            <w:shd w:val="clear" w:color="auto" w:fill="E8F4FF"/>
          </w:tcPr>
          <w:p>
            <w:pPr>
              <w:spacing w:after="0"/>
              <w:rPr>
                <w:sz w:val="13"/>
                <w:szCs w:val="13"/>
                <w:color w:val="auto"/>
              </w:rPr>
            </w:pPr>
          </w:p>
        </w:tc>
        <w:tc>
          <w:tcPr>
            <w:tcW w:w="7080" w:type="dxa"/>
            <w:vAlign w:val="bottom"/>
            <w:shd w:val="clear" w:color="auto" w:fill="E8F4FF"/>
          </w:tcPr>
          <w:p>
            <w:pPr>
              <w:ind w:left="180"/>
              <w:spacing w:after="0"/>
              <w:rPr>
                <w:sz w:val="20"/>
                <w:szCs w:val="20"/>
                <w:color w:val="auto"/>
              </w:rPr>
            </w:pPr>
            <w:r>
              <w:rPr>
                <w:rFonts w:ascii="Arial" w:cs="Arial" w:eastAsia="Arial" w:hAnsi="Arial"/>
                <w:sz w:val="12"/>
                <w:szCs w:val="12"/>
                <w:color w:val="auto"/>
              </w:rPr>
              <w:t>employee benefit plans, to align with competitive norms for comparable companies.</w:t>
            </w:r>
          </w:p>
        </w:tc>
      </w:tr>
      <w:tr>
        <w:trPr>
          <w:trHeight w:val="75"/>
        </w:trPr>
        <w:tc>
          <w:tcPr>
            <w:tcW w:w="2120" w:type="dxa"/>
            <w:vAlign w:val="bottom"/>
            <w:tcBorders>
              <w:bottom w:val="single" w:sz="8" w:color="2393FF"/>
            </w:tcBorders>
            <w:shd w:val="clear" w:color="auto" w:fill="E8F4FF"/>
          </w:tcPr>
          <w:p>
            <w:pPr>
              <w:spacing w:after="0"/>
              <w:rPr>
                <w:sz w:val="6"/>
                <w:szCs w:val="6"/>
                <w:color w:val="auto"/>
              </w:rPr>
            </w:pPr>
          </w:p>
        </w:tc>
        <w:tc>
          <w:tcPr>
            <w:tcW w:w="7080" w:type="dxa"/>
            <w:vAlign w:val="bottom"/>
            <w:tcBorders>
              <w:bottom w:val="single" w:sz="8" w:color="2393FF"/>
            </w:tcBorders>
            <w:shd w:val="clear" w:color="auto" w:fill="E8F4FF"/>
          </w:tcPr>
          <w:p>
            <w:pPr>
              <w:spacing w:after="0"/>
              <w:rPr>
                <w:sz w:val="6"/>
                <w:szCs w:val="6"/>
                <w:color w:val="auto"/>
              </w:rPr>
            </w:pPr>
          </w:p>
        </w:tc>
      </w:tr>
      <w:tr>
        <w:trPr>
          <w:trHeight w:val="243"/>
        </w:trPr>
        <w:tc>
          <w:tcPr>
            <w:tcW w:w="2120" w:type="dxa"/>
            <w:vAlign w:val="bottom"/>
          </w:tcPr>
          <w:p>
            <w:pPr>
              <w:spacing w:after="0"/>
              <w:rPr>
                <w:sz w:val="21"/>
                <w:szCs w:val="21"/>
                <w:color w:val="auto"/>
              </w:rPr>
            </w:pPr>
          </w:p>
        </w:tc>
        <w:tc>
          <w:tcPr>
            <w:tcW w:w="7080" w:type="dxa"/>
            <w:vAlign w:val="bottom"/>
          </w:tcPr>
          <w:p>
            <w:pPr>
              <w:ind w:left="1140"/>
              <w:spacing w:after="0"/>
              <w:rPr>
                <w:sz w:val="20"/>
                <w:szCs w:val="20"/>
                <w:color w:val="auto"/>
              </w:rPr>
            </w:pPr>
            <w:r>
              <w:rPr>
                <w:rFonts w:ascii="Arial" w:cs="Arial" w:eastAsia="Arial" w:hAnsi="Arial"/>
                <w:sz w:val="11"/>
                <w:szCs w:val="11"/>
                <w:b w:val="1"/>
                <w:bCs w:val="1"/>
                <w:color w:val="auto"/>
              </w:rPr>
              <w:t>Flywire Corporation       30      2026 Proxy Statement</w:t>
            </w:r>
          </w:p>
        </w:tc>
      </w:tr>
    </w:tbl>
    <w:p>
      <w:pPr>
        <w:sectPr>
          <w:pgSz w:w="11900" w:h="16838" w:orient="portrait"/>
          <w:cols w:equalWidth="0" w:num="1">
            <w:col w:w="10220"/>
          </w:cols>
          <w:pgMar w:left="320" w:top="425" w:right="1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FISCAL 2025 COMPENSATION DECISIONS</w:t>
      </w:r>
    </w:p>
    <w:p>
      <w:pPr>
        <w:spacing w:after="0" w:line="177" w:lineRule="exact"/>
        <w:rPr>
          <w:sz w:val="20"/>
          <w:szCs w:val="20"/>
          <w:color w:val="auto"/>
        </w:rPr>
      </w:pPr>
    </w:p>
    <w:p>
      <w:pPr>
        <w:ind w:left="1020"/>
        <w:spacing w:after="0" w:line="283" w:lineRule="auto"/>
        <w:rPr>
          <w:sz w:val="20"/>
          <w:szCs w:val="20"/>
          <w:color w:val="auto"/>
        </w:rPr>
      </w:pPr>
      <w:r>
        <w:rPr>
          <w:rFonts w:ascii="Arial" w:cs="Arial" w:eastAsia="Arial" w:hAnsi="Arial"/>
          <w:sz w:val="12"/>
          <w:szCs w:val="12"/>
          <w:color w:val="auto"/>
        </w:rPr>
        <w:t>In determining the criteria for our NEOs’ incentive compensation, our People &amp; Compensation Committee considers a variety of factors, including alignment of our NEOs’ compensation with our stockholders’ returns, and from time to time may adjust these factors or performance metrics based on our Company’s transactions or the occurrence of unknown or unexpected events, such as changes in accounting policies or shifts in regulatory environment, during the applicable measurement period. On the corporate level, our People &amp; Compensation Committee selected certain key financial metrics that are important to the business which include the Revenue Less Ancillary Services (FXN) Growth Rate and adjusted EBITDA margin as metrics that our People &amp; Compensation Committee believes are important for both short-term success as well as for creating long-term sustainable stockholder value. As a result, our NEOs are focused on our Revenue Less Ancillary Services (FXN) growth rate and adjusted EBITDA margin, which we believe is aligned with our stockholders’ perspective on our Company’s ability to grow and succeed in the short- and long-term. For more discussion on our Revenue Less Ancillary Services (FXN) growth rate and adjusted EBITDA margin metrics, see “2025 Corporate Objectives” below.</w:t>
      </w:r>
    </w:p>
    <w:p>
      <w:pPr>
        <w:spacing w:after="0" w:line="29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MIX</w:t>
      </w:r>
    </w:p>
    <w:p>
      <w:pPr>
        <w:spacing w:after="0" w:line="177" w:lineRule="exact"/>
        <w:rPr>
          <w:sz w:val="20"/>
          <w:szCs w:val="20"/>
          <w:color w:val="auto"/>
        </w:rPr>
      </w:pPr>
    </w:p>
    <w:p>
      <w:pPr>
        <w:ind w:left="1020" w:right="60"/>
        <w:spacing w:after="0" w:line="287" w:lineRule="auto"/>
        <w:rPr>
          <w:sz w:val="20"/>
          <w:szCs w:val="20"/>
          <w:color w:val="auto"/>
        </w:rPr>
      </w:pPr>
      <w:r>
        <w:rPr>
          <w:rFonts w:ascii="Arial" w:cs="Arial" w:eastAsia="Arial" w:hAnsi="Arial"/>
          <w:sz w:val="12"/>
          <w:szCs w:val="12"/>
          <w:color w:val="auto"/>
        </w:rPr>
        <w:t>The People &amp; Compensation Committee seeks to align the Company’s executive compensation program with our business strategy and the long-term interests of our stockholders. Our executive compensation program is designed to provide a balanced mix of annual and long-term incentives, as well as fixed and variable cash and equity compensation. In Fiscal 2025, equity compensation continued to represent a significant portion of our executives’ total compensation, reinforcing strong alignment between the interests of our executives and those of our stockholders. As shown in the charts below, for Fiscal 2025, 95% of the CEO’s annual target compensation mix, and 91%, on average, of the remaining NEOs annual target compensation mix, was variable based on company performance or delivered in the form of RSUs the value of which varies based on the value of our common stock.</w:t>
      </w:r>
    </w:p>
    <w:p>
      <w:pPr>
        <w:spacing w:after="0" w:line="13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REALIZABLE PAY</w:t>
      </w:r>
    </w:p>
    <w:p>
      <w:pPr>
        <w:spacing w:after="0" w:line="177" w:lineRule="exact"/>
        <w:rPr>
          <w:sz w:val="20"/>
          <w:szCs w:val="20"/>
          <w:color w:val="auto"/>
        </w:rPr>
      </w:pPr>
    </w:p>
    <w:p>
      <w:pPr>
        <w:ind w:left="1020" w:right="140"/>
        <w:spacing w:after="0" w:line="242" w:lineRule="auto"/>
        <w:rPr>
          <w:sz w:val="20"/>
          <w:szCs w:val="20"/>
          <w:color w:val="auto"/>
        </w:rPr>
      </w:pPr>
      <w:r>
        <w:rPr>
          <w:rFonts w:ascii="Arial" w:cs="Arial" w:eastAsia="Arial" w:hAnsi="Arial"/>
          <w:sz w:val="14"/>
          <w:szCs w:val="14"/>
          <w:color w:val="auto"/>
        </w:rPr>
        <w:t>As described above, the vast majority of our executives’ compensation is tied to the achievement of company objectives and/or varies based on stock price performance. Because of this, realizable pay may differ from target pay. The chart below illustrates the relationship between our CEO’s target and realizable total direct compensation (TDC). As shown in the exhibit below, the significant weighting of the equity component of our CEO’s compensation results in realized pay that varies based company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4149725" cy="2046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49725"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20" w:right="40"/>
        <w:spacing w:after="0" w:line="258" w:lineRule="auto"/>
        <w:rPr>
          <w:sz w:val="20"/>
          <w:szCs w:val="20"/>
          <w:color w:val="auto"/>
        </w:rPr>
      </w:pPr>
      <w:r>
        <w:rPr>
          <w:rFonts w:ascii="Arial" w:cs="Arial" w:eastAsia="Arial" w:hAnsi="Arial"/>
          <w:sz w:val="14"/>
          <w:szCs w:val="14"/>
          <w:color w:val="auto"/>
        </w:rPr>
        <w:t>Target TDC: Target TDC is the sum of our CEO’s base salary, target bonus opportunity, and target long-term incentive opportunity for the applicable fiscal year, as disclosed in the CD&amp;A (of this proxy statement and relevant past proxy statements).</w:t>
      </w:r>
    </w:p>
    <w:p>
      <w:pPr>
        <w:spacing w:after="0" w:line="150" w:lineRule="exact"/>
        <w:rPr>
          <w:sz w:val="20"/>
          <w:szCs w:val="20"/>
          <w:color w:val="auto"/>
        </w:rPr>
      </w:pPr>
    </w:p>
    <w:p>
      <w:pPr>
        <w:ind w:left="1020" w:right="40"/>
        <w:spacing w:after="0" w:line="258" w:lineRule="auto"/>
        <w:rPr>
          <w:sz w:val="20"/>
          <w:szCs w:val="20"/>
          <w:color w:val="auto"/>
        </w:rPr>
      </w:pPr>
      <w:r>
        <w:rPr>
          <w:rFonts w:ascii="Arial" w:cs="Arial" w:eastAsia="Arial" w:hAnsi="Arial"/>
          <w:sz w:val="14"/>
          <w:szCs w:val="14"/>
          <w:color w:val="auto"/>
        </w:rPr>
        <w:t>Realizable TDC: Realizable TDC is the sum of our CEO’s actual earned base salary, actual bonus earned, and equity award values based on the number of shares granted in the applicable fiscal year multiplied by the closing stock price per share on the last day of Fiscal 2025.</w:t>
      </w:r>
    </w:p>
    <w:p>
      <w:pPr>
        <w:spacing w:after="0" w:line="89"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31 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BASE SALARY</w:t>
      </w:r>
    </w:p>
    <w:p>
      <w:pPr>
        <w:spacing w:after="0" w:line="177" w:lineRule="exact"/>
        <w:rPr>
          <w:sz w:val="20"/>
          <w:szCs w:val="20"/>
          <w:color w:val="auto"/>
        </w:rPr>
      </w:pPr>
    </w:p>
    <w:p>
      <w:pPr>
        <w:ind w:left="1020"/>
        <w:spacing w:after="0" w:line="237" w:lineRule="auto"/>
        <w:rPr>
          <w:sz w:val="20"/>
          <w:szCs w:val="20"/>
          <w:color w:val="auto"/>
        </w:rPr>
      </w:pPr>
      <w:r>
        <w:rPr>
          <w:rFonts w:ascii="Arial" w:cs="Arial" w:eastAsia="Arial" w:hAnsi="Arial"/>
          <w:sz w:val="14"/>
          <w:szCs w:val="14"/>
          <w:color w:val="auto"/>
        </w:rPr>
        <w:t>Base salaries for our NEOs are initially determined as a result of negotiation between the executive and our management in consultation with, and subject to the approval of, our People &amp; Compensation Committee. Our People &amp; Compensation Committee reviews base salaries annually, typically in the first quarter, and has discretion to provide increases based on our People &amp; Compensation Committee’s understanding of current competitive pay practices, promotions, our Chief Executive Officer’s recommendation (except for his own salary), changes in responsibilities and performance, annual budget for increases, our overall financial and operational results, the general economy, length of tenure, internal pay fairness and other factors our People &amp; Compensation Committee deem appropriate. Base salaries may also be adjusted during the year upon promotion, changes in functional responsibility or based on internal equity or external market conditions. Our People &amp; Compensation Committee makes these decisions after reviewing the recommendation of our Chief Executive Officer (except as it concerns his own salary) and consulting with its compensation consultant. Following its review, in February 2025, our People &amp; Compensation Committee determined not to adjust the annual base salaries of our then serving NEOs. The following table shows the annual base salary for each NEO for Fiscal 2025.</w:t>
      </w:r>
    </w:p>
    <w:p>
      <w:pPr>
        <w:spacing w:after="0" w:line="172"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7540" w:type="dxa"/>
            <w:vAlign w:val="bottom"/>
            <w:vMerge w:val="restart"/>
          </w:tcPr>
          <w:p>
            <w:pPr>
              <w:spacing w:after="0"/>
              <w:rPr>
                <w:sz w:val="20"/>
                <w:szCs w:val="20"/>
                <w:color w:val="auto"/>
              </w:rPr>
            </w:pPr>
            <w:r>
              <w:rPr>
                <w:rFonts w:ascii="Arial" w:cs="Arial" w:eastAsia="Arial" w:hAnsi="Arial"/>
                <w:sz w:val="11"/>
                <w:szCs w:val="11"/>
                <w:b w:val="1"/>
                <w:bCs w:val="1"/>
                <w:color w:val="auto"/>
              </w:rPr>
              <w:t>  NAME</w:t>
            </w:r>
          </w:p>
        </w:tc>
        <w:tc>
          <w:tcPr>
            <w:tcW w:w="1660" w:type="dxa"/>
            <w:vAlign w:val="bottom"/>
          </w:tcPr>
          <w:p>
            <w:pPr>
              <w:jc w:val="right"/>
              <w:ind w:right="122"/>
              <w:spacing w:after="0"/>
              <w:rPr>
                <w:sz w:val="20"/>
                <w:szCs w:val="20"/>
                <w:color w:val="auto"/>
              </w:rPr>
            </w:pPr>
            <w:r>
              <w:rPr>
                <w:rFonts w:ascii="Arial" w:cs="Arial" w:eastAsia="Arial" w:hAnsi="Arial"/>
                <w:sz w:val="11"/>
                <w:szCs w:val="11"/>
                <w:b w:val="1"/>
                <w:bCs w:val="1"/>
                <w:color w:val="auto"/>
              </w:rPr>
              <w:t>FISCAL 2025 BASE</w:t>
            </w:r>
          </w:p>
        </w:tc>
        <w:tc>
          <w:tcPr>
            <w:tcW w:w="0" w:type="dxa"/>
            <w:vAlign w:val="bottom"/>
          </w:tcPr>
          <w:p>
            <w:pPr>
              <w:spacing w:after="0"/>
              <w:rPr>
                <w:sz w:val="1"/>
                <w:szCs w:val="1"/>
                <w:color w:val="auto"/>
              </w:rPr>
            </w:pPr>
          </w:p>
        </w:tc>
      </w:tr>
      <w:tr>
        <w:trPr>
          <w:trHeight w:val="143"/>
        </w:trPr>
        <w:tc>
          <w:tcPr>
            <w:tcW w:w="7540" w:type="dxa"/>
            <w:vAlign w:val="bottom"/>
            <w:vMerge w:val="continue"/>
          </w:tcPr>
          <w:p>
            <w:pPr>
              <w:spacing w:after="0"/>
              <w:rPr>
                <w:sz w:val="12"/>
                <w:szCs w:val="12"/>
                <w:color w:val="auto"/>
              </w:rPr>
            </w:pPr>
          </w:p>
        </w:tc>
        <w:tc>
          <w:tcPr>
            <w:tcW w:w="1660" w:type="dxa"/>
            <w:vAlign w:val="bottom"/>
          </w:tcPr>
          <w:p>
            <w:pPr>
              <w:jc w:val="right"/>
              <w:ind w:right="122"/>
              <w:spacing w:after="0"/>
              <w:rPr>
                <w:sz w:val="20"/>
                <w:szCs w:val="20"/>
                <w:color w:val="auto"/>
              </w:rPr>
            </w:pPr>
            <w:r>
              <w:rPr>
                <w:rFonts w:ascii="Arial" w:cs="Arial" w:eastAsia="Arial" w:hAnsi="Arial"/>
                <w:sz w:val="11"/>
                <w:szCs w:val="11"/>
                <w:b w:val="1"/>
                <w:bCs w:val="1"/>
                <w:color w:val="auto"/>
              </w:rPr>
              <w:t>SALARY ($)</w:t>
            </w:r>
          </w:p>
        </w:tc>
        <w:tc>
          <w:tcPr>
            <w:tcW w:w="0" w:type="dxa"/>
            <w:vAlign w:val="bottom"/>
          </w:tcPr>
          <w:p>
            <w:pPr>
              <w:spacing w:after="0"/>
              <w:rPr>
                <w:sz w:val="1"/>
                <w:szCs w:val="1"/>
                <w:color w:val="auto"/>
              </w:rPr>
            </w:pPr>
          </w:p>
        </w:tc>
      </w:tr>
      <w:tr>
        <w:trPr>
          <w:trHeight w:val="30"/>
        </w:trPr>
        <w:tc>
          <w:tcPr>
            <w:tcW w:w="7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54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1660" w:type="dxa"/>
            <w:vAlign w:val="bottom"/>
            <w:shd w:val="clear" w:color="auto" w:fill="E8F4FF"/>
          </w:tcPr>
          <w:p>
            <w:pPr>
              <w:jc w:val="right"/>
              <w:ind w:right="122"/>
              <w:spacing w:after="0"/>
              <w:rPr>
                <w:sz w:val="20"/>
                <w:szCs w:val="20"/>
                <w:color w:val="auto"/>
              </w:rPr>
            </w:pPr>
            <w:r>
              <w:rPr>
                <w:rFonts w:ascii="Arial" w:cs="Arial" w:eastAsia="Arial" w:hAnsi="Arial"/>
                <w:sz w:val="12"/>
                <w:szCs w:val="12"/>
                <w:color w:val="auto"/>
              </w:rPr>
              <w:t>450,000</w:t>
            </w:r>
          </w:p>
        </w:tc>
        <w:tc>
          <w:tcPr>
            <w:tcW w:w="0" w:type="dxa"/>
            <w:vAlign w:val="bottom"/>
          </w:tcPr>
          <w:p>
            <w:pPr>
              <w:spacing w:after="0"/>
              <w:rPr>
                <w:sz w:val="1"/>
                <w:szCs w:val="1"/>
                <w:color w:val="auto"/>
              </w:rPr>
            </w:pPr>
          </w:p>
        </w:tc>
      </w:tr>
      <w:tr>
        <w:trPr>
          <w:trHeight w:val="69"/>
        </w:trPr>
        <w:tc>
          <w:tcPr>
            <w:tcW w:w="7540" w:type="dxa"/>
            <w:vAlign w:val="bottom"/>
            <w:shd w:val="clear" w:color="auto" w:fill="E8F4FF"/>
          </w:tcPr>
          <w:p>
            <w:pPr>
              <w:spacing w:after="0"/>
              <w:rPr>
                <w:sz w:val="5"/>
                <w:szCs w:val="5"/>
                <w:color w:val="auto"/>
              </w:rPr>
            </w:pPr>
          </w:p>
        </w:tc>
        <w:tc>
          <w:tcPr>
            <w:tcW w:w="166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1660" w:type="dxa"/>
            <w:vAlign w:val="bottom"/>
          </w:tcPr>
          <w:p>
            <w:pPr>
              <w:jc w:val="right"/>
              <w:ind w:right="122"/>
              <w:spacing w:after="0"/>
              <w:rPr>
                <w:sz w:val="20"/>
                <w:szCs w:val="20"/>
                <w:color w:val="auto"/>
              </w:rPr>
            </w:pPr>
            <w:r>
              <w:rPr>
                <w:rFonts w:ascii="Arial" w:cs="Arial" w:eastAsia="Arial" w:hAnsi="Arial"/>
                <w:sz w:val="12"/>
                <w:szCs w:val="12"/>
                <w:color w:val="auto"/>
              </w:rPr>
              <w:t>350,000</w:t>
            </w:r>
          </w:p>
        </w:tc>
        <w:tc>
          <w:tcPr>
            <w:tcW w:w="0" w:type="dxa"/>
            <w:vAlign w:val="bottom"/>
          </w:tcPr>
          <w:p>
            <w:pPr>
              <w:spacing w:after="0"/>
              <w:rPr>
                <w:sz w:val="1"/>
                <w:szCs w:val="1"/>
                <w:color w:val="auto"/>
              </w:rPr>
            </w:pPr>
          </w:p>
        </w:tc>
      </w:tr>
      <w:tr>
        <w:trPr>
          <w:trHeight w:val="69"/>
        </w:trPr>
        <w:tc>
          <w:tcPr>
            <w:tcW w:w="75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1660" w:type="dxa"/>
            <w:vAlign w:val="bottom"/>
            <w:shd w:val="clear" w:color="auto" w:fill="E8F4FF"/>
          </w:tcPr>
          <w:p>
            <w:pPr>
              <w:jc w:val="right"/>
              <w:ind w:right="122"/>
              <w:spacing w:after="0"/>
              <w:rPr>
                <w:sz w:val="20"/>
                <w:szCs w:val="20"/>
                <w:color w:val="auto"/>
              </w:rPr>
            </w:pPr>
            <w:r>
              <w:rPr>
                <w:rFonts w:ascii="Arial" w:cs="Arial" w:eastAsia="Arial" w:hAnsi="Arial"/>
                <w:sz w:val="12"/>
                <w:szCs w:val="12"/>
                <w:color w:val="auto"/>
              </w:rPr>
              <w:t>410,000</w:t>
            </w:r>
          </w:p>
        </w:tc>
        <w:tc>
          <w:tcPr>
            <w:tcW w:w="0" w:type="dxa"/>
            <w:vAlign w:val="bottom"/>
          </w:tcPr>
          <w:p>
            <w:pPr>
              <w:spacing w:after="0"/>
              <w:rPr>
                <w:sz w:val="1"/>
                <w:szCs w:val="1"/>
                <w:color w:val="auto"/>
              </w:rPr>
            </w:pPr>
          </w:p>
        </w:tc>
      </w:tr>
      <w:tr>
        <w:trPr>
          <w:trHeight w:val="69"/>
        </w:trPr>
        <w:tc>
          <w:tcPr>
            <w:tcW w:w="7540" w:type="dxa"/>
            <w:vAlign w:val="bottom"/>
            <w:shd w:val="clear" w:color="auto" w:fill="E8F4FF"/>
          </w:tcPr>
          <w:p>
            <w:pPr>
              <w:spacing w:after="0"/>
              <w:rPr>
                <w:sz w:val="5"/>
                <w:szCs w:val="5"/>
                <w:color w:val="auto"/>
              </w:rPr>
            </w:pPr>
          </w:p>
        </w:tc>
        <w:tc>
          <w:tcPr>
            <w:tcW w:w="166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54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1660" w:type="dxa"/>
            <w:vAlign w:val="bottom"/>
          </w:tcPr>
          <w:p>
            <w:pPr>
              <w:jc w:val="right"/>
              <w:ind w:right="122"/>
              <w:spacing w:after="0"/>
              <w:rPr>
                <w:sz w:val="20"/>
                <w:szCs w:val="20"/>
                <w:color w:val="auto"/>
              </w:rPr>
            </w:pPr>
            <w:r>
              <w:rPr>
                <w:rFonts w:ascii="Arial" w:cs="Arial" w:eastAsia="Arial" w:hAnsi="Arial"/>
                <w:sz w:val="12"/>
                <w:szCs w:val="12"/>
                <w:color w:val="auto"/>
              </w:rPr>
              <w:t>310,000</w:t>
            </w:r>
          </w:p>
        </w:tc>
        <w:tc>
          <w:tcPr>
            <w:tcW w:w="0" w:type="dxa"/>
            <w:vAlign w:val="bottom"/>
          </w:tcPr>
          <w:p>
            <w:pPr>
              <w:spacing w:after="0"/>
              <w:rPr>
                <w:sz w:val="1"/>
                <w:szCs w:val="1"/>
                <w:color w:val="auto"/>
              </w:rPr>
            </w:pPr>
          </w:p>
        </w:tc>
      </w:tr>
      <w:tr>
        <w:trPr>
          <w:trHeight w:val="69"/>
        </w:trPr>
        <w:tc>
          <w:tcPr>
            <w:tcW w:w="75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54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1660" w:type="dxa"/>
            <w:vAlign w:val="bottom"/>
            <w:shd w:val="clear" w:color="auto" w:fill="E8F4FF"/>
          </w:tcPr>
          <w:p>
            <w:pPr>
              <w:jc w:val="right"/>
              <w:ind w:right="122"/>
              <w:spacing w:after="0"/>
              <w:rPr>
                <w:sz w:val="20"/>
                <w:szCs w:val="20"/>
                <w:color w:val="auto"/>
              </w:rPr>
            </w:pPr>
            <w:r>
              <w:rPr>
                <w:rFonts w:ascii="Arial" w:cs="Arial" w:eastAsia="Arial" w:hAnsi="Arial"/>
                <w:sz w:val="12"/>
                <w:szCs w:val="12"/>
                <w:color w:val="auto"/>
              </w:rPr>
              <w:t>310,000</w:t>
            </w:r>
          </w:p>
        </w:tc>
        <w:tc>
          <w:tcPr>
            <w:tcW w:w="0" w:type="dxa"/>
            <w:vAlign w:val="bottom"/>
          </w:tcPr>
          <w:p>
            <w:pPr>
              <w:spacing w:after="0"/>
              <w:rPr>
                <w:sz w:val="1"/>
                <w:szCs w:val="1"/>
                <w:color w:val="auto"/>
              </w:rPr>
            </w:pPr>
          </w:p>
        </w:tc>
      </w:tr>
      <w:tr>
        <w:trPr>
          <w:trHeight w:val="69"/>
        </w:trPr>
        <w:tc>
          <w:tcPr>
            <w:tcW w:w="7540" w:type="dxa"/>
            <w:vAlign w:val="bottom"/>
            <w:tcBorders>
              <w:bottom w:val="single" w:sz="8" w:color="2393FF"/>
            </w:tcBorders>
            <w:shd w:val="clear" w:color="auto" w:fill="E8F4FF"/>
          </w:tcPr>
          <w:p>
            <w:pPr>
              <w:spacing w:after="0"/>
              <w:rPr>
                <w:sz w:val="5"/>
                <w:szCs w:val="5"/>
                <w:color w:val="auto"/>
              </w:rPr>
            </w:pPr>
          </w:p>
        </w:tc>
        <w:tc>
          <w:tcPr>
            <w:tcW w:w="1660" w:type="dxa"/>
            <w:vAlign w:val="bottom"/>
            <w:tcBorders>
              <w:bottom w:val="single" w:sz="8" w:color="2393FF"/>
            </w:tcBorders>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ANNUAL CASH INCENTIVE BONUS COMPENSATION</w:t>
      </w:r>
    </w:p>
    <w:p>
      <w:pPr>
        <w:spacing w:after="0" w:line="177" w:lineRule="exact"/>
        <w:rPr>
          <w:sz w:val="20"/>
          <w:szCs w:val="20"/>
          <w:color w:val="auto"/>
        </w:rPr>
      </w:pPr>
    </w:p>
    <w:p>
      <w:pPr>
        <w:ind w:left="1020" w:right="20"/>
        <w:spacing w:after="0"/>
        <w:rPr>
          <w:sz w:val="20"/>
          <w:szCs w:val="20"/>
          <w:color w:val="auto"/>
        </w:rPr>
      </w:pPr>
      <w:r>
        <w:rPr>
          <w:rFonts w:ascii="Arial" w:cs="Arial" w:eastAsia="Arial" w:hAnsi="Arial"/>
          <w:sz w:val="14"/>
          <w:szCs w:val="14"/>
          <w:color w:val="auto"/>
        </w:rPr>
        <w:t>Our annual cash incentive bonus compensation program promotes our pay for performance philosophy by providing all executives and other management-level eligible corporate employees with direct financial incentives in the form of annual cash awards for achievement of certain corporate financial goals established and approved by our People &amp; Compensation Committee at the start of the year. If we achieve results that are below threshold levels, these NEOs receive no cash incentive bonus, while results that are above threshold levels result in a cash incentive bonus payout based on a pre-determined scale, subject to a maximum amount of 150% in Fiscal 2025.</w:t>
      </w:r>
    </w:p>
    <w:p>
      <w:pPr>
        <w:spacing w:after="0" w:line="164" w:lineRule="exact"/>
        <w:rPr>
          <w:sz w:val="20"/>
          <w:szCs w:val="20"/>
          <w:color w:val="auto"/>
        </w:rPr>
      </w:pPr>
    </w:p>
    <w:p>
      <w:pPr>
        <w:ind w:left="1020"/>
        <w:spacing w:after="0"/>
        <w:rPr>
          <w:sz w:val="20"/>
          <w:szCs w:val="20"/>
          <w:color w:val="auto"/>
        </w:rPr>
      </w:pPr>
      <w:r>
        <w:rPr>
          <w:rFonts w:ascii="Arial" w:cs="Arial" w:eastAsia="Arial" w:hAnsi="Arial"/>
          <w:sz w:val="14"/>
          <w:szCs w:val="14"/>
          <w:u w:val="single" w:color="auto"/>
          <w:color w:val="auto"/>
        </w:rPr>
        <w:t>Target Bonus Opportunities</w:t>
      </w:r>
    </w:p>
    <w:p>
      <w:pPr>
        <w:spacing w:after="0" w:line="9" w:lineRule="exact"/>
        <w:rPr>
          <w:sz w:val="20"/>
          <w:szCs w:val="20"/>
          <w:color w:val="auto"/>
        </w:rPr>
      </w:pPr>
    </w:p>
    <w:p>
      <w:pPr>
        <w:ind w:left="1020" w:right="60"/>
        <w:spacing w:after="0" w:line="280" w:lineRule="auto"/>
        <w:rPr>
          <w:sz w:val="20"/>
          <w:szCs w:val="20"/>
          <w:color w:val="auto"/>
        </w:rPr>
      </w:pPr>
      <w:r>
        <w:rPr>
          <w:rFonts w:ascii="Arial" w:cs="Arial" w:eastAsia="Arial" w:hAnsi="Arial"/>
          <w:sz w:val="12"/>
          <w:szCs w:val="12"/>
          <w:color w:val="auto"/>
        </w:rPr>
        <w:t>Our People &amp; Compensation Committee sets each NEO’s individual target cash incentive amount based on each NEO’s employment agreement provisions, our Chief Executive Officer’s recommendation (except for his own target), internal pay fairness, our People &amp; Compensation Committee’s general understanding of current competitive pay practices and other factors it deems appropriate. After evaluating the competitive positioning of our NEOs’ total target cash compensation in the context of our overall compensation philosophy, in February 2025 our People &amp; Compensation Committee determined to increase the target cash bonus amounts for Messrs. Massaro, Orgel, King and Butterfield with the goal of positioning total target cash compensation opportunities closer to market. The increases are intended to move each executive’s total target cash compensation closer to competitive market levels, using more incremental pay opportunity that is performance-based rather than fixed, and thereby supporting our ability to attract and retain the executive talent needed to execute our business strategy. As a result, the Fiscal 2025 target bonus opportunities for our NEOs were:</w:t>
      </w:r>
    </w:p>
    <w:p>
      <w:pPr>
        <w:spacing w:after="0" w:line="14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2700" w:type="dxa"/>
            <w:vAlign w:val="bottom"/>
          </w:tcPr>
          <w:p>
            <w:pPr>
              <w:jc w:val="right"/>
              <w:ind w:right="443"/>
              <w:spacing w:after="0"/>
              <w:rPr>
                <w:sz w:val="20"/>
                <w:szCs w:val="20"/>
                <w:color w:val="auto"/>
              </w:rPr>
            </w:pPr>
            <w:r>
              <w:rPr>
                <w:rFonts w:ascii="Arial" w:cs="Arial" w:eastAsia="Arial" w:hAnsi="Arial"/>
                <w:sz w:val="11"/>
                <w:szCs w:val="11"/>
                <w:b w:val="1"/>
                <w:bCs w:val="1"/>
                <w:color w:val="auto"/>
              </w:rPr>
              <w:t>FISCAL 2024 TARGET BONUS</w:t>
            </w:r>
          </w:p>
        </w:tc>
        <w:tc>
          <w:tcPr>
            <w:tcW w:w="2100" w:type="dxa"/>
            <w:vAlign w:val="bottom"/>
          </w:tcPr>
          <w:p>
            <w:pPr>
              <w:jc w:val="right"/>
              <w:ind w:right="163"/>
              <w:spacing w:after="0"/>
              <w:rPr>
                <w:sz w:val="20"/>
                <w:szCs w:val="20"/>
                <w:color w:val="auto"/>
              </w:rPr>
            </w:pPr>
            <w:r>
              <w:rPr>
                <w:rFonts w:ascii="Arial" w:cs="Arial" w:eastAsia="Arial" w:hAnsi="Arial"/>
                <w:sz w:val="11"/>
                <w:szCs w:val="11"/>
                <w:b w:val="1"/>
                <w:bCs w:val="1"/>
                <w:color w:val="auto"/>
              </w:rPr>
              <w:t>FISCAL 2025 TARGET BONUS</w:t>
            </w:r>
          </w:p>
        </w:tc>
        <w:tc>
          <w:tcPr>
            <w:tcW w:w="1280" w:type="dxa"/>
            <w:vAlign w:val="bottom"/>
            <w:vMerge w:val="restart"/>
          </w:tcPr>
          <w:p>
            <w:pPr>
              <w:jc w:val="right"/>
              <w:ind w:right="302"/>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13"/>
        </w:trPr>
        <w:tc>
          <w:tcPr>
            <w:tcW w:w="3120" w:type="dxa"/>
            <w:vAlign w:val="bottom"/>
          </w:tcPr>
          <w:p>
            <w:pPr>
              <w:spacing w:after="0"/>
              <w:rPr>
                <w:sz w:val="9"/>
                <w:szCs w:val="9"/>
                <w:color w:val="auto"/>
              </w:rPr>
            </w:pPr>
          </w:p>
        </w:tc>
        <w:tc>
          <w:tcPr>
            <w:tcW w:w="2700" w:type="dxa"/>
            <w:vAlign w:val="bottom"/>
          </w:tcPr>
          <w:p>
            <w:pPr>
              <w:jc w:val="right"/>
              <w:ind w:right="423"/>
              <w:spacing w:after="0" w:line="113" w:lineRule="exact"/>
              <w:rPr>
                <w:sz w:val="20"/>
                <w:szCs w:val="20"/>
                <w:color w:val="auto"/>
              </w:rPr>
            </w:pPr>
            <w:r>
              <w:rPr>
                <w:rFonts w:ascii="Arial" w:cs="Arial" w:eastAsia="Arial" w:hAnsi="Arial"/>
                <w:sz w:val="11"/>
                <w:szCs w:val="11"/>
                <w:b w:val="1"/>
                <w:bCs w:val="1"/>
                <w:color w:val="auto"/>
              </w:rPr>
              <w:t>OPPORTUNITY</w:t>
            </w:r>
          </w:p>
        </w:tc>
        <w:tc>
          <w:tcPr>
            <w:tcW w:w="2100" w:type="dxa"/>
            <w:vAlign w:val="bottom"/>
          </w:tcPr>
          <w:p>
            <w:pPr>
              <w:jc w:val="right"/>
              <w:ind w:right="163"/>
              <w:spacing w:after="0" w:line="113" w:lineRule="exact"/>
              <w:rPr>
                <w:sz w:val="20"/>
                <w:szCs w:val="20"/>
                <w:color w:val="auto"/>
              </w:rPr>
            </w:pPr>
            <w:r>
              <w:rPr>
                <w:rFonts w:ascii="Arial" w:cs="Arial" w:eastAsia="Arial" w:hAnsi="Arial"/>
                <w:sz w:val="11"/>
                <w:szCs w:val="11"/>
                <w:b w:val="1"/>
                <w:bCs w:val="1"/>
                <w:color w:val="auto"/>
              </w:rPr>
              <w:t>OPPORTUNITY</w:t>
            </w: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3120" w:type="dxa"/>
            <w:vAlign w:val="bottom"/>
          </w:tcPr>
          <w:p>
            <w:pPr>
              <w:spacing w:after="0"/>
              <w:rPr>
                <w:sz w:val="20"/>
                <w:szCs w:val="20"/>
                <w:color w:val="auto"/>
              </w:rPr>
            </w:pPr>
            <w:r>
              <w:rPr>
                <w:rFonts w:ascii="Arial" w:cs="Arial" w:eastAsia="Arial" w:hAnsi="Arial"/>
                <w:sz w:val="11"/>
                <w:szCs w:val="11"/>
                <w:b w:val="1"/>
                <w:bCs w:val="1"/>
                <w:color w:val="auto"/>
              </w:rPr>
              <w:t>  NAME</w:t>
            </w:r>
          </w:p>
        </w:tc>
        <w:tc>
          <w:tcPr>
            <w:tcW w:w="2700" w:type="dxa"/>
            <w:vAlign w:val="bottom"/>
          </w:tcPr>
          <w:p>
            <w:pPr>
              <w:jc w:val="right"/>
              <w:ind w:right="423"/>
              <w:spacing w:after="0"/>
              <w:rPr>
                <w:sz w:val="20"/>
                <w:szCs w:val="20"/>
                <w:color w:val="auto"/>
              </w:rPr>
            </w:pPr>
            <w:r>
              <w:rPr>
                <w:rFonts w:ascii="Arial" w:cs="Arial" w:eastAsia="Arial" w:hAnsi="Arial"/>
                <w:sz w:val="11"/>
                <w:szCs w:val="11"/>
                <w:b w:val="1"/>
                <w:bCs w:val="1"/>
                <w:color w:val="auto"/>
              </w:rPr>
              <w:t>($)</w:t>
            </w:r>
          </w:p>
        </w:tc>
        <w:tc>
          <w:tcPr>
            <w:tcW w:w="2100" w:type="dxa"/>
            <w:vAlign w:val="bottom"/>
          </w:tcPr>
          <w:p>
            <w:pPr>
              <w:jc w:val="right"/>
              <w:ind w:right="163"/>
              <w:spacing w:after="0"/>
              <w:rPr>
                <w:sz w:val="20"/>
                <w:szCs w:val="20"/>
                <w:color w:val="auto"/>
              </w:rPr>
            </w:pPr>
            <w:r>
              <w:rPr>
                <w:rFonts w:ascii="Arial" w:cs="Arial" w:eastAsia="Arial" w:hAnsi="Arial"/>
                <w:sz w:val="11"/>
                <w:szCs w:val="11"/>
                <w:b w:val="1"/>
                <w:bCs w:val="1"/>
                <w:color w:val="auto"/>
              </w:rPr>
              <w:t>($)</w:t>
            </w:r>
          </w:p>
        </w:tc>
        <w:tc>
          <w:tcPr>
            <w:tcW w:w="1280" w:type="dxa"/>
            <w:vAlign w:val="bottom"/>
          </w:tcPr>
          <w:p>
            <w:pPr>
              <w:jc w:val="right"/>
              <w:ind w:right="302"/>
              <w:spacing w:after="0"/>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30"/>
        </w:trPr>
        <w:tc>
          <w:tcPr>
            <w:tcW w:w="3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2700" w:type="dxa"/>
            <w:vAlign w:val="bottom"/>
            <w:shd w:val="clear" w:color="auto" w:fill="E8F4FF"/>
          </w:tcPr>
          <w:p>
            <w:pPr>
              <w:jc w:val="right"/>
              <w:ind w:right="423"/>
              <w:spacing w:after="0"/>
              <w:rPr>
                <w:sz w:val="20"/>
                <w:szCs w:val="20"/>
                <w:color w:val="auto"/>
              </w:rPr>
            </w:pPr>
            <w:r>
              <w:rPr>
                <w:rFonts w:ascii="Arial" w:cs="Arial" w:eastAsia="Arial" w:hAnsi="Arial"/>
                <w:sz w:val="12"/>
                <w:szCs w:val="12"/>
                <w:color w:val="auto"/>
              </w:rPr>
              <w:t>450,000</w:t>
            </w:r>
          </w:p>
        </w:tc>
        <w:tc>
          <w:tcPr>
            <w:tcW w:w="2100" w:type="dxa"/>
            <w:vAlign w:val="bottom"/>
            <w:shd w:val="clear" w:color="auto" w:fill="E8F4FF"/>
          </w:tcPr>
          <w:p>
            <w:pPr>
              <w:jc w:val="right"/>
              <w:ind w:right="163"/>
              <w:spacing w:after="0"/>
              <w:rPr>
                <w:sz w:val="20"/>
                <w:szCs w:val="20"/>
                <w:color w:val="auto"/>
              </w:rPr>
            </w:pPr>
            <w:r>
              <w:rPr>
                <w:rFonts w:ascii="Arial" w:cs="Arial" w:eastAsia="Arial" w:hAnsi="Arial"/>
                <w:sz w:val="12"/>
                <w:szCs w:val="12"/>
                <w:color w:val="auto"/>
              </w:rPr>
              <w:t>500,000</w:t>
            </w:r>
          </w:p>
        </w:tc>
        <w:tc>
          <w:tcPr>
            <w:tcW w:w="1280" w:type="dxa"/>
            <w:vAlign w:val="bottom"/>
            <w:shd w:val="clear" w:color="auto" w:fill="E8F4FF"/>
          </w:tcPr>
          <w:p>
            <w:pPr>
              <w:jc w:val="right"/>
              <w:ind w:right="302"/>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69"/>
        </w:trPr>
        <w:tc>
          <w:tcPr>
            <w:tcW w:w="3120" w:type="dxa"/>
            <w:vAlign w:val="bottom"/>
            <w:shd w:val="clear" w:color="auto" w:fill="E8F4FF"/>
          </w:tcPr>
          <w:p>
            <w:pPr>
              <w:spacing w:after="0"/>
              <w:rPr>
                <w:sz w:val="5"/>
                <w:szCs w:val="5"/>
                <w:color w:val="auto"/>
              </w:rPr>
            </w:pPr>
          </w:p>
        </w:tc>
        <w:tc>
          <w:tcPr>
            <w:tcW w:w="2700" w:type="dxa"/>
            <w:vAlign w:val="bottom"/>
            <w:shd w:val="clear" w:color="auto" w:fill="E8F4FF"/>
          </w:tcPr>
          <w:p>
            <w:pPr>
              <w:spacing w:after="0"/>
              <w:rPr>
                <w:sz w:val="5"/>
                <w:szCs w:val="5"/>
                <w:color w:val="auto"/>
              </w:rPr>
            </w:pPr>
          </w:p>
        </w:tc>
        <w:tc>
          <w:tcPr>
            <w:tcW w:w="2100" w:type="dxa"/>
            <w:vAlign w:val="bottom"/>
            <w:shd w:val="clear" w:color="auto" w:fill="E8F4FF"/>
          </w:tcPr>
          <w:p>
            <w:pPr>
              <w:spacing w:after="0"/>
              <w:rPr>
                <w:sz w:val="5"/>
                <w:szCs w:val="5"/>
                <w:color w:val="auto"/>
              </w:rPr>
            </w:pPr>
          </w:p>
        </w:tc>
        <w:tc>
          <w:tcPr>
            <w:tcW w:w="128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2700" w:type="dxa"/>
            <w:vAlign w:val="bottom"/>
          </w:tcPr>
          <w:p>
            <w:pPr>
              <w:jc w:val="right"/>
              <w:ind w:right="423"/>
              <w:spacing w:after="0"/>
              <w:rPr>
                <w:sz w:val="20"/>
                <w:szCs w:val="20"/>
                <w:color w:val="auto"/>
              </w:rPr>
            </w:pPr>
            <w:r>
              <w:rPr>
                <w:rFonts w:ascii="Arial" w:cs="Arial" w:eastAsia="Arial" w:hAnsi="Arial"/>
                <w:sz w:val="12"/>
                <w:szCs w:val="12"/>
                <w:color w:val="auto"/>
              </w:rPr>
              <w:t>225,000</w:t>
            </w:r>
          </w:p>
        </w:tc>
        <w:tc>
          <w:tcPr>
            <w:tcW w:w="2100" w:type="dxa"/>
            <w:vAlign w:val="bottom"/>
          </w:tcPr>
          <w:p>
            <w:pPr>
              <w:jc w:val="right"/>
              <w:ind w:right="163"/>
              <w:spacing w:after="0"/>
              <w:rPr>
                <w:sz w:val="20"/>
                <w:szCs w:val="20"/>
                <w:color w:val="auto"/>
              </w:rPr>
            </w:pPr>
            <w:r>
              <w:rPr>
                <w:rFonts w:ascii="Arial" w:cs="Arial" w:eastAsia="Arial" w:hAnsi="Arial"/>
                <w:sz w:val="12"/>
                <w:szCs w:val="12"/>
                <w:color w:val="auto"/>
              </w:rPr>
              <w:t>300,000</w:t>
            </w:r>
          </w:p>
        </w:tc>
        <w:tc>
          <w:tcPr>
            <w:tcW w:w="1280" w:type="dxa"/>
            <w:vAlign w:val="bottom"/>
          </w:tcPr>
          <w:p>
            <w:pPr>
              <w:jc w:val="right"/>
              <w:ind w:right="302"/>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69"/>
        </w:trPr>
        <w:tc>
          <w:tcPr>
            <w:tcW w:w="31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1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2700" w:type="dxa"/>
            <w:vAlign w:val="bottom"/>
            <w:shd w:val="clear" w:color="auto" w:fill="E8F4FF"/>
          </w:tcPr>
          <w:p>
            <w:pPr>
              <w:jc w:val="right"/>
              <w:ind w:right="323"/>
              <w:spacing w:after="0"/>
              <w:rPr>
                <w:sz w:val="20"/>
                <w:szCs w:val="20"/>
                <w:color w:val="auto"/>
              </w:rPr>
            </w:pPr>
            <w:r>
              <w:rPr>
                <w:rFonts w:ascii="Arial" w:cs="Arial" w:eastAsia="Arial" w:hAnsi="Arial"/>
                <w:sz w:val="12"/>
                <w:szCs w:val="12"/>
                <w:color w:val="auto"/>
              </w:rPr>
              <w:t>300,000</w:t>
            </w:r>
            <w:r>
              <w:rPr>
                <w:rFonts w:ascii="Arial" w:cs="Arial" w:eastAsia="Arial" w:hAnsi="Arial"/>
                <w:sz w:val="18"/>
                <w:szCs w:val="18"/>
                <w:color w:val="auto"/>
                <w:vertAlign w:val="superscript"/>
              </w:rPr>
              <w:t>(1)</w:t>
            </w:r>
          </w:p>
        </w:tc>
        <w:tc>
          <w:tcPr>
            <w:tcW w:w="2100" w:type="dxa"/>
            <w:vAlign w:val="bottom"/>
            <w:shd w:val="clear" w:color="auto" w:fill="E8F4FF"/>
          </w:tcPr>
          <w:p>
            <w:pPr>
              <w:jc w:val="right"/>
              <w:ind w:right="163"/>
              <w:spacing w:after="0"/>
              <w:rPr>
                <w:sz w:val="20"/>
                <w:szCs w:val="20"/>
                <w:color w:val="auto"/>
              </w:rPr>
            </w:pPr>
            <w:r>
              <w:rPr>
                <w:rFonts w:ascii="Arial" w:cs="Arial" w:eastAsia="Arial" w:hAnsi="Arial"/>
                <w:sz w:val="12"/>
                <w:szCs w:val="12"/>
                <w:color w:val="auto"/>
              </w:rPr>
              <w:t>300,000</w:t>
            </w:r>
          </w:p>
        </w:tc>
        <w:tc>
          <w:tcPr>
            <w:tcW w:w="1280" w:type="dxa"/>
            <w:vAlign w:val="bottom"/>
            <w:shd w:val="clear" w:color="auto" w:fill="E8F4FF"/>
          </w:tcPr>
          <w:p>
            <w:pPr>
              <w:jc w:val="right"/>
              <w:ind w:right="30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2"/>
        </w:trPr>
        <w:tc>
          <w:tcPr>
            <w:tcW w:w="312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2700" w:type="dxa"/>
            <w:vAlign w:val="bottom"/>
          </w:tcPr>
          <w:p>
            <w:pPr>
              <w:jc w:val="right"/>
              <w:ind w:right="423"/>
              <w:spacing w:after="0"/>
              <w:rPr>
                <w:sz w:val="20"/>
                <w:szCs w:val="20"/>
                <w:color w:val="auto"/>
              </w:rPr>
            </w:pPr>
            <w:r>
              <w:rPr>
                <w:rFonts w:ascii="Arial" w:cs="Arial" w:eastAsia="Arial" w:hAnsi="Arial"/>
                <w:sz w:val="12"/>
                <w:szCs w:val="12"/>
                <w:color w:val="auto"/>
              </w:rPr>
              <w:t>150,000</w:t>
            </w:r>
          </w:p>
        </w:tc>
        <w:tc>
          <w:tcPr>
            <w:tcW w:w="2100" w:type="dxa"/>
            <w:vAlign w:val="bottom"/>
          </w:tcPr>
          <w:p>
            <w:pPr>
              <w:jc w:val="right"/>
              <w:ind w:right="163"/>
              <w:spacing w:after="0"/>
              <w:rPr>
                <w:sz w:val="20"/>
                <w:szCs w:val="20"/>
                <w:color w:val="auto"/>
              </w:rPr>
            </w:pPr>
            <w:r>
              <w:rPr>
                <w:rFonts w:ascii="Arial" w:cs="Arial" w:eastAsia="Arial" w:hAnsi="Arial"/>
                <w:sz w:val="12"/>
                <w:szCs w:val="12"/>
                <w:color w:val="auto"/>
              </w:rPr>
              <w:t>200,000</w:t>
            </w:r>
          </w:p>
        </w:tc>
        <w:tc>
          <w:tcPr>
            <w:tcW w:w="1280" w:type="dxa"/>
            <w:vAlign w:val="bottom"/>
          </w:tcPr>
          <w:p>
            <w:pPr>
              <w:jc w:val="right"/>
              <w:ind w:right="302"/>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69"/>
        </w:trPr>
        <w:tc>
          <w:tcPr>
            <w:tcW w:w="31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2700" w:type="dxa"/>
            <w:vAlign w:val="bottom"/>
            <w:shd w:val="clear" w:color="auto" w:fill="E8F4FF"/>
          </w:tcPr>
          <w:p>
            <w:pPr>
              <w:jc w:val="right"/>
              <w:ind w:right="423"/>
              <w:spacing w:after="0"/>
              <w:rPr>
                <w:sz w:val="20"/>
                <w:szCs w:val="20"/>
                <w:color w:val="auto"/>
              </w:rPr>
            </w:pPr>
            <w:r>
              <w:rPr>
                <w:rFonts w:ascii="Arial" w:cs="Arial" w:eastAsia="Arial" w:hAnsi="Arial"/>
                <w:sz w:val="12"/>
                <w:szCs w:val="12"/>
                <w:color w:val="auto"/>
              </w:rPr>
              <w:t>150,000</w:t>
            </w:r>
          </w:p>
        </w:tc>
        <w:tc>
          <w:tcPr>
            <w:tcW w:w="2100" w:type="dxa"/>
            <w:vAlign w:val="bottom"/>
            <w:shd w:val="clear" w:color="auto" w:fill="E8F4FF"/>
          </w:tcPr>
          <w:p>
            <w:pPr>
              <w:jc w:val="right"/>
              <w:ind w:right="163"/>
              <w:spacing w:after="0"/>
              <w:rPr>
                <w:sz w:val="20"/>
                <w:szCs w:val="20"/>
                <w:color w:val="auto"/>
              </w:rPr>
            </w:pPr>
            <w:r>
              <w:rPr>
                <w:rFonts w:ascii="Arial" w:cs="Arial" w:eastAsia="Arial" w:hAnsi="Arial"/>
                <w:sz w:val="12"/>
                <w:szCs w:val="12"/>
                <w:color w:val="auto"/>
              </w:rPr>
              <w:t>200,000</w:t>
            </w:r>
          </w:p>
        </w:tc>
        <w:tc>
          <w:tcPr>
            <w:tcW w:w="1280" w:type="dxa"/>
            <w:vAlign w:val="bottom"/>
            <w:shd w:val="clear" w:color="auto" w:fill="E8F4FF"/>
          </w:tcPr>
          <w:p>
            <w:pPr>
              <w:jc w:val="right"/>
              <w:ind w:right="302"/>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69"/>
        </w:trPr>
        <w:tc>
          <w:tcPr>
            <w:tcW w:w="3120" w:type="dxa"/>
            <w:vAlign w:val="bottom"/>
            <w:tcBorders>
              <w:bottom w:val="single" w:sz="8" w:color="2393FF"/>
            </w:tcBorders>
            <w:shd w:val="clear" w:color="auto" w:fill="E8F4FF"/>
          </w:tcPr>
          <w:p>
            <w:pPr>
              <w:spacing w:after="0"/>
              <w:rPr>
                <w:sz w:val="5"/>
                <w:szCs w:val="5"/>
                <w:color w:val="auto"/>
              </w:rPr>
            </w:pPr>
          </w:p>
        </w:tc>
        <w:tc>
          <w:tcPr>
            <w:tcW w:w="2700" w:type="dxa"/>
            <w:vAlign w:val="bottom"/>
            <w:tcBorders>
              <w:bottom w:val="single" w:sz="8" w:color="2393FF"/>
            </w:tcBorders>
            <w:shd w:val="clear" w:color="auto" w:fill="E8F4FF"/>
          </w:tcPr>
          <w:p>
            <w:pPr>
              <w:spacing w:after="0"/>
              <w:rPr>
                <w:sz w:val="5"/>
                <w:szCs w:val="5"/>
                <w:color w:val="auto"/>
              </w:rPr>
            </w:pPr>
          </w:p>
        </w:tc>
        <w:tc>
          <w:tcPr>
            <w:tcW w:w="2100" w:type="dxa"/>
            <w:vAlign w:val="bottom"/>
            <w:tcBorders>
              <w:bottom w:val="single" w:sz="8" w:color="2393FF"/>
            </w:tcBorders>
            <w:shd w:val="clear" w:color="auto" w:fill="E8F4FF"/>
          </w:tcPr>
          <w:p>
            <w:pPr>
              <w:spacing w:after="0"/>
              <w:rPr>
                <w:sz w:val="5"/>
                <w:szCs w:val="5"/>
                <w:color w:val="auto"/>
              </w:rPr>
            </w:pPr>
          </w:p>
        </w:tc>
        <w:tc>
          <w:tcPr>
            <w:tcW w:w="1280" w:type="dxa"/>
            <w:vAlign w:val="bottom"/>
            <w:tcBorders>
              <w:bottom w:val="single" w:sz="8" w:color="2393FF"/>
            </w:tcBorders>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80" w:hanging="353"/>
        <w:spacing w:after="0"/>
        <w:tabs>
          <w:tab w:leader="none" w:pos="1380" w:val="left"/>
        </w:tabs>
        <w:numPr>
          <w:ilvl w:val="0"/>
          <w:numId w:val="68"/>
        </w:numPr>
        <w:rPr>
          <w:rFonts w:ascii="Arial" w:cs="Arial" w:eastAsia="Arial" w:hAnsi="Arial"/>
          <w:sz w:val="11"/>
          <w:szCs w:val="11"/>
          <w:color w:val="333333"/>
        </w:rPr>
      </w:pPr>
      <w:r>
        <w:rPr>
          <w:rFonts w:ascii="Arial" w:cs="Arial" w:eastAsia="Arial" w:hAnsi="Arial"/>
          <w:sz w:val="11"/>
          <w:szCs w:val="11"/>
          <w:color w:val="333333"/>
        </w:rPr>
        <w:t>$249,041 after proration based on Mr. Pitigoi’s start date.</w:t>
      </w:r>
    </w:p>
    <w:p>
      <w:pPr>
        <w:spacing w:after="0" w:line="11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32 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600"/>
        <w:spacing w:after="0" w:line="258" w:lineRule="auto"/>
        <w:rPr>
          <w:sz w:val="20"/>
          <w:szCs w:val="20"/>
          <w:color w:val="auto"/>
        </w:rPr>
      </w:pPr>
      <w:r>
        <w:rPr>
          <w:rFonts w:ascii="Arial" w:cs="Arial" w:eastAsia="Arial" w:hAnsi="Arial"/>
          <w:sz w:val="14"/>
          <w:szCs w:val="14"/>
          <w:color w:val="auto"/>
        </w:rPr>
        <w:t>In addition, our People &amp; Compensation Committee determined that for Fiscal 2025 each NEO’s cash incentive bonus would be based solely on 2025 corporate objectives.</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4"/>
          <w:szCs w:val="14"/>
          <w:u w:val="single" w:color="auto"/>
          <w:color w:val="auto"/>
        </w:rPr>
        <w:t>2025 Corporate Objectives</w:t>
      </w:r>
    </w:p>
    <w:p>
      <w:pPr>
        <w:spacing w:after="0" w:line="9" w:lineRule="exact"/>
        <w:rPr>
          <w:sz w:val="20"/>
          <w:szCs w:val="20"/>
          <w:color w:val="auto"/>
        </w:rPr>
      </w:pPr>
    </w:p>
    <w:p>
      <w:pPr>
        <w:ind w:left="1020" w:right="400"/>
        <w:spacing w:after="0"/>
        <w:rPr>
          <w:sz w:val="20"/>
          <w:szCs w:val="20"/>
          <w:color w:val="auto"/>
        </w:rPr>
      </w:pPr>
      <w:r>
        <w:rPr>
          <w:rFonts w:ascii="Arial" w:cs="Arial" w:eastAsia="Arial" w:hAnsi="Arial"/>
          <w:sz w:val="14"/>
          <w:szCs w:val="14"/>
          <w:color w:val="auto"/>
        </w:rPr>
        <w:t>Our People &amp; Compensation Committee established (i) Revenue Less Ancillary Services (FXN) growth rate and (ii) Adjusted EBITDA margin as the corporate components of our 2025 cash incentive bonus program, with each of the components weighted as set forth below.</w:t>
      </w:r>
    </w:p>
    <w:p>
      <w:pPr>
        <w:spacing w:after="0" w:line="162" w:lineRule="exact"/>
        <w:rPr>
          <w:sz w:val="20"/>
          <w:szCs w:val="20"/>
          <w:color w:val="auto"/>
        </w:rPr>
      </w:pPr>
    </w:p>
    <w:p>
      <w:pPr>
        <w:ind w:left="1020" w:right="20"/>
        <w:spacing w:after="0" w:line="276" w:lineRule="auto"/>
        <w:rPr>
          <w:sz w:val="20"/>
          <w:szCs w:val="20"/>
          <w:color w:val="auto"/>
        </w:rPr>
      </w:pPr>
      <w:r>
        <w:rPr>
          <w:rFonts w:ascii="Arial" w:cs="Arial" w:eastAsia="Arial" w:hAnsi="Arial"/>
          <w:sz w:val="12"/>
          <w:szCs w:val="12"/>
          <w:color w:val="auto"/>
        </w:rPr>
        <w:t>In 2024 and prior years, Revenue Less Ancillary Services (FXN) and Adjusted EBITDA were measured as a dollar value for purposes of our annual cash incentive. In 2025, our People &amp; Compensation Committee transitioned to growth rate and margin-based metrics (both non-GAAP financial measures) to better align incentive plan measurements with how management analyzes financial results and evaluates ongoing operational performance. These metrics were also selected because they are two of the key performance metrics stockholders use in evaluating Flywire. Revenue Less Ancillary Services represents our consolidated revenue in accordance with GAAP, less (x) pass-through cost for printing and mailing services and (y) marketing fees. Revenue Less Ancillary Services (FXN) represents Revenue Less Ancillary Services adjusted to show presentation on a FX Neutral basis. The FX Neutral information presented is calculated by translating current period results using prior period weighted average foreign currency exchange rates. EBITDA represents our consolidated net income (loss) in accordance with GAAP adjusted to exclude (i) interest expense, (ii) interest income,</w:t>
      </w:r>
    </w:p>
    <w:p>
      <w:pPr>
        <w:spacing w:after="0" w:line="4" w:lineRule="exact"/>
        <w:rPr>
          <w:sz w:val="20"/>
          <w:szCs w:val="20"/>
          <w:color w:val="auto"/>
        </w:rPr>
      </w:pPr>
    </w:p>
    <w:p>
      <w:pPr>
        <w:ind w:left="1240" w:hanging="213"/>
        <w:spacing w:after="0"/>
        <w:tabs>
          <w:tab w:leader="none" w:pos="1240" w:val="left"/>
        </w:tabs>
        <w:numPr>
          <w:ilvl w:val="0"/>
          <w:numId w:val="69"/>
        </w:numPr>
        <w:rPr>
          <w:rFonts w:ascii="Arial" w:cs="Arial" w:eastAsia="Arial" w:hAnsi="Arial"/>
          <w:sz w:val="12"/>
          <w:szCs w:val="12"/>
          <w:color w:val="auto"/>
        </w:rPr>
      </w:pPr>
      <w:r>
        <w:rPr>
          <w:rFonts w:ascii="Arial" w:cs="Arial" w:eastAsia="Arial" w:hAnsi="Arial"/>
          <w:sz w:val="12"/>
          <w:szCs w:val="12"/>
          <w:color w:val="auto"/>
        </w:rPr>
        <w:t>provision for (benefit from) income taxes, and (iv) depreciation and amortization. Adjusted EBITDA represents EBITDA further adjusted by excluding</w:t>
      </w:r>
    </w:p>
    <w:p>
      <w:pPr>
        <w:spacing w:after="0" w:line="19" w:lineRule="exact"/>
        <w:rPr>
          <w:rFonts w:ascii="Arial" w:cs="Arial" w:eastAsia="Arial" w:hAnsi="Arial"/>
          <w:sz w:val="12"/>
          <w:szCs w:val="12"/>
          <w:color w:val="auto"/>
        </w:rPr>
      </w:pPr>
    </w:p>
    <w:p>
      <w:pPr>
        <w:ind w:left="1020" w:firstLine="7"/>
        <w:spacing w:after="0" w:line="274" w:lineRule="auto"/>
        <w:tabs>
          <w:tab w:leader="none" w:pos="1178" w:val="left"/>
        </w:tabs>
        <w:numPr>
          <w:ilvl w:val="0"/>
          <w:numId w:val="70"/>
        </w:numPr>
        <w:rPr>
          <w:rFonts w:ascii="Arial" w:cs="Arial" w:eastAsia="Arial" w:hAnsi="Arial"/>
          <w:sz w:val="12"/>
          <w:szCs w:val="12"/>
          <w:color w:val="auto"/>
        </w:rPr>
      </w:pPr>
      <w:r>
        <w:rPr>
          <w:rFonts w:ascii="Arial" w:cs="Arial" w:eastAsia="Arial" w:hAnsi="Arial"/>
          <w:sz w:val="12"/>
          <w:szCs w:val="12"/>
          <w:color w:val="auto"/>
        </w:rPr>
        <w:t>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costs and</w:t>
      </w:r>
    </w:p>
    <w:p>
      <w:pPr>
        <w:ind w:left="1020" w:right="200" w:firstLine="7"/>
        <w:spacing w:after="0" w:line="237" w:lineRule="auto"/>
        <w:tabs>
          <w:tab w:leader="none" w:pos="1305" w:val="left"/>
        </w:tabs>
        <w:numPr>
          <w:ilvl w:val="0"/>
          <w:numId w:val="71"/>
        </w:numPr>
        <w:rPr>
          <w:rFonts w:ascii="Arial" w:cs="Arial" w:eastAsia="Arial" w:hAnsi="Arial"/>
          <w:sz w:val="14"/>
          <w:szCs w:val="14"/>
          <w:color w:val="auto"/>
        </w:rPr>
      </w:pPr>
      <w:r>
        <w:rPr>
          <w:rFonts w:ascii="Arial" w:cs="Arial" w:eastAsia="Arial" w:hAnsi="Arial"/>
          <w:sz w:val="14"/>
          <w:szCs w:val="14"/>
          <w:color w:val="auto"/>
        </w:rPr>
        <w:t>gain (loss) from investments. Adjusted EBITDA Margin represents Adjusted EBITDA divided by Revenue Less Ancillary Services. Our People &amp; Compensation Committee has discretion to modify performance results that reflect significant transactions (such as acquisitions, divestitures, or newly-formed joint ventures) or other unusual items (such as changes in accounting rules or other regulations) if such events were not anticipated at the time performance targets were initially established.</w:t>
      </w:r>
    </w:p>
    <w:p>
      <w:pPr>
        <w:spacing w:after="0" w:line="163" w:lineRule="exact"/>
        <w:rPr>
          <w:sz w:val="20"/>
          <w:szCs w:val="20"/>
          <w:color w:val="auto"/>
        </w:rPr>
      </w:pPr>
    </w:p>
    <w:p>
      <w:pPr>
        <w:ind w:left="1020" w:right="160"/>
        <w:spacing w:after="0" w:line="242" w:lineRule="auto"/>
        <w:rPr>
          <w:sz w:val="20"/>
          <w:szCs w:val="20"/>
          <w:color w:val="auto"/>
        </w:rPr>
      </w:pPr>
      <w:r>
        <w:rPr>
          <w:rFonts w:ascii="Arial" w:cs="Arial" w:eastAsia="Arial" w:hAnsi="Arial"/>
          <w:sz w:val="14"/>
          <w:szCs w:val="14"/>
          <w:color w:val="auto"/>
        </w:rPr>
        <w:t>Each of the components was assigned a threshold level, which is the minimum achievement level that must be satisfied to receive a portion of the applicable bonus amounts, and a maximum level, which, if achieved or exceeded, would result in our NEOs receiving up to 150% of the target amount attributed to that component. The percentage payout for each of the financial components was determined using linear interpolation between the points shown in the table below.</w:t>
      </w:r>
    </w:p>
    <w:p>
      <w:pPr>
        <w:spacing w:after="0" w:line="16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corporate components of the 2025 cash incentive bonus program are set forth below:</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1640" w:type="dxa"/>
            <w:vAlign w:val="bottom"/>
          </w:tcPr>
          <w:p>
            <w:pPr>
              <w:ind w:left="1560"/>
              <w:spacing w:after="0"/>
              <w:rPr>
                <w:sz w:val="20"/>
                <w:szCs w:val="20"/>
                <w:color w:val="auto"/>
              </w:rPr>
            </w:pPr>
            <w:r>
              <w:rPr>
                <w:rFonts w:ascii="Arial" w:cs="Arial" w:eastAsia="Arial" w:hAnsi="Arial"/>
                <w:sz w:val="8"/>
                <w:szCs w:val="8"/>
                <w:b w:val="1"/>
                <w:bCs w:val="1"/>
                <w:color w:val="auto"/>
                <w:w w:val="74"/>
              </w:rPr>
              <w:t> </w:t>
            </w:r>
          </w:p>
        </w:tc>
        <w:tc>
          <w:tcPr>
            <w:tcW w:w="1200" w:type="dxa"/>
            <w:vAlign w:val="bottom"/>
          </w:tcPr>
          <w:p>
            <w:pPr>
              <w:jc w:val="right"/>
              <w:ind w:right="204"/>
              <w:spacing w:after="0"/>
              <w:rPr>
                <w:sz w:val="20"/>
                <w:szCs w:val="20"/>
                <w:color w:val="auto"/>
              </w:rPr>
            </w:pPr>
            <w:r>
              <w:rPr>
                <w:rFonts w:ascii="Arial" w:cs="Arial" w:eastAsia="Arial" w:hAnsi="Arial"/>
                <w:sz w:val="11"/>
                <w:szCs w:val="11"/>
                <w:b w:val="1"/>
                <w:bCs w:val="1"/>
                <w:color w:val="auto"/>
                <w:w w:val="97"/>
              </w:rPr>
              <w:t>      THRESHOLD</w:t>
            </w:r>
          </w:p>
        </w:tc>
        <w:tc>
          <w:tcPr>
            <w:tcW w:w="1140" w:type="dxa"/>
            <w:vAlign w:val="bottom"/>
          </w:tcPr>
          <w:p>
            <w:pPr>
              <w:spacing w:after="0"/>
              <w:rPr>
                <w:sz w:val="10"/>
                <w:szCs w:val="10"/>
                <w:color w:val="auto"/>
              </w:rPr>
            </w:pPr>
          </w:p>
        </w:tc>
        <w:tc>
          <w:tcPr>
            <w:tcW w:w="1360" w:type="dxa"/>
            <w:vAlign w:val="bottom"/>
          </w:tcPr>
          <w:p>
            <w:pPr>
              <w:jc w:val="right"/>
              <w:ind w:right="64"/>
              <w:spacing w:after="0"/>
              <w:rPr>
                <w:sz w:val="20"/>
                <w:szCs w:val="20"/>
                <w:color w:val="auto"/>
              </w:rPr>
            </w:pPr>
            <w:r>
              <w:rPr>
                <w:rFonts w:ascii="Arial" w:cs="Arial" w:eastAsia="Arial" w:hAnsi="Arial"/>
                <w:sz w:val="11"/>
                <w:szCs w:val="11"/>
                <w:b w:val="1"/>
                <w:bCs w:val="1"/>
                <w:color w:val="auto"/>
              </w:rPr>
              <w:t>TARGET</w:t>
            </w:r>
          </w:p>
        </w:tc>
        <w:tc>
          <w:tcPr>
            <w:tcW w:w="1100" w:type="dxa"/>
            <w:vAlign w:val="bottom"/>
          </w:tcPr>
          <w:p>
            <w:pPr>
              <w:ind w:left="580"/>
              <w:spacing w:after="0"/>
              <w:rPr>
                <w:sz w:val="20"/>
                <w:szCs w:val="20"/>
                <w:color w:val="auto"/>
              </w:rPr>
            </w:pPr>
            <w:r>
              <w:rPr>
                <w:rFonts w:ascii="Arial" w:cs="Arial" w:eastAsia="Arial" w:hAnsi="Arial"/>
                <w:sz w:val="11"/>
                <w:szCs w:val="11"/>
                <w:b w:val="1"/>
                <w:bCs w:val="1"/>
                <w:color w:val="auto"/>
                <w:w w:val="92"/>
              </w:rPr>
              <w:t>MAXIMUM</w:t>
            </w:r>
          </w:p>
        </w:tc>
      </w:tr>
      <w:tr>
        <w:trPr>
          <w:trHeight w:val="154"/>
        </w:trPr>
        <w:tc>
          <w:tcPr>
            <w:tcW w:w="2760" w:type="dxa"/>
            <w:vAlign w:val="bottom"/>
          </w:tcPr>
          <w:p>
            <w:pPr>
              <w:spacing w:after="0"/>
              <w:rPr>
                <w:sz w:val="20"/>
                <w:szCs w:val="20"/>
                <w:color w:val="auto"/>
              </w:rPr>
            </w:pPr>
            <w:r>
              <w:rPr>
                <w:rFonts w:ascii="Arial" w:cs="Arial" w:eastAsia="Arial" w:hAnsi="Arial"/>
                <w:sz w:val="11"/>
                <w:szCs w:val="11"/>
                <w:b w:val="1"/>
                <w:bCs w:val="1"/>
                <w:color w:val="auto"/>
              </w:rPr>
              <w:t>  CORPORATE COMPONENT*</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4"/>
              </w:rPr>
              <w:t>WEIGHTING</w:t>
            </w:r>
          </w:p>
        </w:tc>
        <w:tc>
          <w:tcPr>
            <w:tcW w:w="1200" w:type="dxa"/>
            <w:vAlign w:val="bottom"/>
          </w:tcPr>
          <w:p>
            <w:pPr>
              <w:jc w:val="right"/>
              <w:ind w:right="204"/>
              <w:spacing w:after="0"/>
              <w:rPr>
                <w:sz w:val="20"/>
                <w:szCs w:val="20"/>
                <w:color w:val="auto"/>
              </w:rPr>
            </w:pPr>
            <w:r>
              <w:rPr>
                <w:rFonts w:ascii="Arial" w:cs="Arial" w:eastAsia="Arial" w:hAnsi="Arial"/>
                <w:sz w:val="11"/>
                <w:szCs w:val="11"/>
                <w:b w:val="1"/>
                <w:bCs w:val="1"/>
                <w:color w:val="auto"/>
              </w:rPr>
              <w:t>0% PAYOUT</w:t>
            </w:r>
          </w:p>
        </w:tc>
        <w:tc>
          <w:tcPr>
            <w:tcW w:w="1140" w:type="dxa"/>
            <w:vAlign w:val="bottom"/>
          </w:tcPr>
          <w:p>
            <w:pPr>
              <w:ind w:left="240"/>
              <w:spacing w:after="0"/>
              <w:rPr>
                <w:sz w:val="20"/>
                <w:szCs w:val="20"/>
                <w:color w:val="auto"/>
              </w:rPr>
            </w:pPr>
            <w:r>
              <w:rPr>
                <w:rFonts w:ascii="Arial" w:cs="Arial" w:eastAsia="Arial" w:hAnsi="Arial"/>
                <w:sz w:val="11"/>
                <w:szCs w:val="11"/>
                <w:b w:val="1"/>
                <w:bCs w:val="1"/>
                <w:color w:val="auto"/>
              </w:rPr>
              <w:t>50% PAYOUT</w:t>
            </w:r>
          </w:p>
        </w:tc>
        <w:tc>
          <w:tcPr>
            <w:tcW w:w="1360" w:type="dxa"/>
            <w:vAlign w:val="bottom"/>
          </w:tcPr>
          <w:p>
            <w:pPr>
              <w:jc w:val="right"/>
              <w:ind w:right="64"/>
              <w:spacing w:after="0"/>
              <w:rPr>
                <w:sz w:val="20"/>
                <w:szCs w:val="20"/>
                <w:color w:val="auto"/>
              </w:rPr>
            </w:pPr>
            <w:r>
              <w:rPr>
                <w:rFonts w:ascii="Arial" w:cs="Arial" w:eastAsia="Arial" w:hAnsi="Arial"/>
                <w:sz w:val="11"/>
                <w:szCs w:val="11"/>
                <w:b w:val="1"/>
                <w:bCs w:val="1"/>
                <w:color w:val="auto"/>
              </w:rPr>
              <w:t>       100% PAYOUT</w:t>
            </w:r>
          </w:p>
        </w:tc>
        <w:tc>
          <w:tcPr>
            <w:tcW w:w="1100" w:type="dxa"/>
            <w:vAlign w:val="bottom"/>
          </w:tcPr>
          <w:p>
            <w:pPr>
              <w:jc w:val="center"/>
              <w:ind w:left="64"/>
              <w:spacing w:after="0"/>
              <w:rPr>
                <w:sz w:val="20"/>
                <w:szCs w:val="20"/>
                <w:color w:val="auto"/>
              </w:rPr>
            </w:pPr>
            <w:r>
              <w:rPr>
                <w:rFonts w:ascii="Arial" w:cs="Arial" w:eastAsia="Arial" w:hAnsi="Arial"/>
                <w:sz w:val="11"/>
                <w:szCs w:val="11"/>
                <w:b w:val="1"/>
                <w:bCs w:val="1"/>
                <w:color w:val="auto"/>
                <w:w w:val="92"/>
              </w:rPr>
              <w:t>       150% PAYOUT</w:t>
            </w:r>
          </w:p>
        </w:tc>
      </w:tr>
      <w:tr>
        <w:trPr>
          <w:trHeight w:val="30"/>
        </w:trPr>
        <w:tc>
          <w:tcPr>
            <w:tcW w:w="2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2"/>
        </w:trPr>
        <w:tc>
          <w:tcPr>
            <w:tcW w:w="2760" w:type="dxa"/>
            <w:vAlign w:val="bottom"/>
            <w:shd w:val="clear" w:color="auto" w:fill="E8F4FF"/>
          </w:tcPr>
          <w:p>
            <w:pPr>
              <w:ind w:left="60"/>
              <w:spacing w:after="0"/>
              <w:rPr>
                <w:sz w:val="20"/>
                <w:szCs w:val="20"/>
                <w:color w:val="auto"/>
              </w:rPr>
            </w:pPr>
            <w:r>
              <w:rPr>
                <w:rFonts w:ascii="Arial" w:cs="Arial" w:eastAsia="Arial" w:hAnsi="Arial"/>
                <w:sz w:val="12"/>
                <w:szCs w:val="12"/>
                <w:color w:val="2393FF"/>
              </w:rPr>
              <w:t>Revenue Less Ancillary Services (FXN) Growth</w:t>
            </w:r>
          </w:p>
        </w:tc>
        <w:tc>
          <w:tcPr>
            <w:tcW w:w="1640" w:type="dxa"/>
            <w:vAlign w:val="bottom"/>
            <w:shd w:val="clear" w:color="auto" w:fill="E8F4FF"/>
          </w:tcPr>
          <w:p>
            <w:pPr>
              <w:spacing w:after="0"/>
              <w:rPr>
                <w:sz w:val="14"/>
                <w:szCs w:val="14"/>
                <w:color w:val="auto"/>
              </w:rPr>
            </w:pPr>
          </w:p>
        </w:tc>
        <w:tc>
          <w:tcPr>
            <w:tcW w:w="1200" w:type="dxa"/>
            <w:vAlign w:val="bottom"/>
            <w:shd w:val="clear" w:color="auto" w:fill="E8F4FF"/>
          </w:tcPr>
          <w:p>
            <w:pPr>
              <w:spacing w:after="0"/>
              <w:rPr>
                <w:sz w:val="14"/>
                <w:szCs w:val="14"/>
                <w:color w:val="auto"/>
              </w:rPr>
            </w:pPr>
          </w:p>
        </w:tc>
        <w:tc>
          <w:tcPr>
            <w:tcW w:w="1140" w:type="dxa"/>
            <w:vAlign w:val="bottom"/>
            <w:shd w:val="clear" w:color="auto" w:fill="E8F4FF"/>
          </w:tcPr>
          <w:p>
            <w:pPr>
              <w:spacing w:after="0"/>
              <w:rPr>
                <w:sz w:val="14"/>
                <w:szCs w:val="14"/>
                <w:color w:val="auto"/>
              </w:rPr>
            </w:pPr>
          </w:p>
        </w:tc>
        <w:tc>
          <w:tcPr>
            <w:tcW w:w="1360" w:type="dxa"/>
            <w:vAlign w:val="bottom"/>
            <w:shd w:val="clear" w:color="auto" w:fill="E8F4FF"/>
          </w:tcPr>
          <w:p>
            <w:pPr>
              <w:spacing w:after="0"/>
              <w:rPr>
                <w:sz w:val="14"/>
                <w:szCs w:val="14"/>
                <w:color w:val="auto"/>
              </w:rPr>
            </w:pPr>
          </w:p>
        </w:tc>
        <w:tc>
          <w:tcPr>
            <w:tcW w:w="1100" w:type="dxa"/>
            <w:vAlign w:val="bottom"/>
            <w:shd w:val="clear" w:color="auto" w:fill="E8F4FF"/>
          </w:tcPr>
          <w:p>
            <w:pPr>
              <w:spacing w:after="0"/>
              <w:rPr>
                <w:sz w:val="14"/>
                <w:szCs w:val="14"/>
                <w:color w:val="auto"/>
              </w:rPr>
            </w:pPr>
          </w:p>
        </w:tc>
      </w:tr>
      <w:tr>
        <w:trPr>
          <w:trHeight w:val="159"/>
        </w:trPr>
        <w:tc>
          <w:tcPr>
            <w:tcW w:w="2760" w:type="dxa"/>
            <w:vAlign w:val="bottom"/>
            <w:shd w:val="clear" w:color="auto" w:fill="E8F4FF"/>
          </w:tcPr>
          <w:p>
            <w:pPr>
              <w:ind w:left="180"/>
              <w:spacing w:after="0"/>
              <w:rPr>
                <w:sz w:val="20"/>
                <w:szCs w:val="20"/>
                <w:color w:val="auto"/>
              </w:rPr>
            </w:pPr>
            <w:r>
              <w:rPr>
                <w:rFonts w:ascii="Arial" w:cs="Arial" w:eastAsia="Arial" w:hAnsi="Arial"/>
                <w:sz w:val="12"/>
                <w:szCs w:val="12"/>
                <w:color w:val="2393FF"/>
              </w:rPr>
              <w:t>Rate (%)</w:t>
            </w:r>
          </w:p>
        </w:tc>
        <w:tc>
          <w:tcPr>
            <w:tcW w:w="1640" w:type="dxa"/>
            <w:vAlign w:val="bottom"/>
            <w:shd w:val="clear" w:color="auto" w:fill="E8F4FF"/>
          </w:tcPr>
          <w:p>
            <w:pPr>
              <w:jc w:val="center"/>
              <w:spacing w:after="0"/>
              <w:rPr>
                <w:sz w:val="20"/>
                <w:szCs w:val="20"/>
                <w:color w:val="auto"/>
              </w:rPr>
            </w:pPr>
            <w:r>
              <w:rPr>
                <w:rFonts w:ascii="Arial" w:cs="Arial" w:eastAsia="Arial" w:hAnsi="Arial"/>
                <w:sz w:val="12"/>
                <w:szCs w:val="12"/>
                <w:color w:val="auto"/>
                <w:w w:val="99"/>
              </w:rPr>
              <w:t>50%</w:t>
            </w:r>
          </w:p>
        </w:tc>
        <w:tc>
          <w:tcPr>
            <w:tcW w:w="1200" w:type="dxa"/>
            <w:vAlign w:val="bottom"/>
            <w:shd w:val="clear" w:color="auto" w:fill="E8F4FF"/>
          </w:tcPr>
          <w:p>
            <w:pPr>
              <w:jc w:val="right"/>
              <w:ind w:right="544"/>
              <w:spacing w:after="0"/>
              <w:rPr>
                <w:sz w:val="20"/>
                <w:szCs w:val="20"/>
                <w:color w:val="auto"/>
              </w:rPr>
            </w:pPr>
            <w:r>
              <w:rPr>
                <w:rFonts w:ascii="Arial" w:cs="Arial" w:eastAsia="Arial" w:hAnsi="Arial"/>
                <w:sz w:val="12"/>
                <w:szCs w:val="12"/>
                <w:color w:val="auto"/>
              </w:rPr>
              <w:t>&lt;12%</w:t>
            </w:r>
          </w:p>
        </w:tc>
        <w:tc>
          <w:tcPr>
            <w:tcW w:w="1140" w:type="dxa"/>
            <w:vAlign w:val="bottom"/>
            <w:shd w:val="clear" w:color="auto" w:fill="E8F4FF"/>
          </w:tcPr>
          <w:p>
            <w:pPr>
              <w:jc w:val="right"/>
              <w:ind w:right="402"/>
              <w:spacing w:after="0"/>
              <w:rPr>
                <w:sz w:val="20"/>
                <w:szCs w:val="20"/>
                <w:color w:val="auto"/>
              </w:rPr>
            </w:pPr>
            <w:r>
              <w:rPr>
                <w:rFonts w:ascii="Arial" w:cs="Arial" w:eastAsia="Arial" w:hAnsi="Arial"/>
                <w:sz w:val="12"/>
                <w:szCs w:val="12"/>
                <w:color w:val="auto"/>
              </w:rPr>
              <w:t>14%</w:t>
            </w:r>
          </w:p>
        </w:tc>
        <w:tc>
          <w:tcPr>
            <w:tcW w:w="1360" w:type="dxa"/>
            <w:vAlign w:val="bottom"/>
            <w:shd w:val="clear" w:color="auto" w:fill="E8F4FF"/>
          </w:tcPr>
          <w:p>
            <w:pPr>
              <w:jc w:val="right"/>
              <w:ind w:right="444"/>
              <w:spacing w:after="0"/>
              <w:rPr>
                <w:sz w:val="20"/>
                <w:szCs w:val="20"/>
                <w:color w:val="auto"/>
              </w:rPr>
            </w:pPr>
            <w:r>
              <w:rPr>
                <w:rFonts w:ascii="Arial" w:cs="Arial" w:eastAsia="Arial" w:hAnsi="Arial"/>
                <w:sz w:val="12"/>
                <w:szCs w:val="12"/>
                <w:color w:val="auto"/>
              </w:rPr>
              <w:t>17%</w:t>
            </w:r>
          </w:p>
        </w:tc>
        <w:tc>
          <w:tcPr>
            <w:tcW w:w="1100" w:type="dxa"/>
            <w:vAlign w:val="bottom"/>
            <w:shd w:val="clear" w:color="auto" w:fill="E8F4FF"/>
          </w:tcPr>
          <w:p>
            <w:pPr>
              <w:jc w:val="center"/>
              <w:ind w:left="64"/>
              <w:spacing w:after="0"/>
              <w:rPr>
                <w:sz w:val="20"/>
                <w:szCs w:val="20"/>
                <w:color w:val="auto"/>
              </w:rPr>
            </w:pPr>
            <w:r>
              <w:rPr>
                <w:rFonts w:ascii="Arial" w:cs="Arial" w:eastAsia="Arial" w:hAnsi="Arial"/>
                <w:sz w:val="12"/>
                <w:szCs w:val="12"/>
                <w:color w:val="auto"/>
                <w:w w:val="96"/>
              </w:rPr>
              <w:t>&gt;21%</w:t>
            </w:r>
          </w:p>
        </w:tc>
      </w:tr>
      <w:tr>
        <w:trPr>
          <w:trHeight w:val="75"/>
        </w:trPr>
        <w:tc>
          <w:tcPr>
            <w:tcW w:w="2760" w:type="dxa"/>
            <w:vAlign w:val="bottom"/>
            <w:shd w:val="clear" w:color="auto" w:fill="E8F4FF"/>
          </w:tcPr>
          <w:p>
            <w:pPr>
              <w:spacing w:after="0"/>
              <w:rPr>
                <w:sz w:val="6"/>
                <w:szCs w:val="6"/>
                <w:color w:val="auto"/>
              </w:rPr>
            </w:pPr>
          </w:p>
        </w:tc>
        <w:tc>
          <w:tcPr>
            <w:tcW w:w="1640" w:type="dxa"/>
            <w:vAlign w:val="bottom"/>
            <w:shd w:val="clear" w:color="auto" w:fill="E8F4FF"/>
          </w:tcPr>
          <w:p>
            <w:pPr>
              <w:spacing w:after="0"/>
              <w:rPr>
                <w:sz w:val="6"/>
                <w:szCs w:val="6"/>
                <w:color w:val="auto"/>
              </w:rPr>
            </w:pPr>
          </w:p>
        </w:tc>
        <w:tc>
          <w:tcPr>
            <w:tcW w:w="1200" w:type="dxa"/>
            <w:vAlign w:val="bottom"/>
            <w:shd w:val="clear" w:color="auto" w:fill="E8F4FF"/>
          </w:tcPr>
          <w:p>
            <w:pPr>
              <w:spacing w:after="0"/>
              <w:rPr>
                <w:sz w:val="6"/>
                <w:szCs w:val="6"/>
                <w:color w:val="auto"/>
              </w:rPr>
            </w:pPr>
          </w:p>
        </w:tc>
        <w:tc>
          <w:tcPr>
            <w:tcW w:w="1140" w:type="dxa"/>
            <w:vAlign w:val="bottom"/>
            <w:shd w:val="clear" w:color="auto" w:fill="E8F4FF"/>
          </w:tcPr>
          <w:p>
            <w:pPr>
              <w:spacing w:after="0"/>
              <w:rPr>
                <w:sz w:val="6"/>
                <w:szCs w:val="6"/>
                <w:color w:val="auto"/>
              </w:rPr>
            </w:pPr>
          </w:p>
        </w:tc>
        <w:tc>
          <w:tcPr>
            <w:tcW w:w="1360" w:type="dxa"/>
            <w:vAlign w:val="bottom"/>
            <w:shd w:val="clear" w:color="auto" w:fill="E8F4FF"/>
          </w:tcPr>
          <w:p>
            <w:pPr>
              <w:spacing w:after="0"/>
              <w:rPr>
                <w:sz w:val="6"/>
                <w:szCs w:val="6"/>
                <w:color w:val="auto"/>
              </w:rPr>
            </w:pPr>
          </w:p>
        </w:tc>
        <w:tc>
          <w:tcPr>
            <w:tcW w:w="1100" w:type="dxa"/>
            <w:vAlign w:val="bottom"/>
            <w:shd w:val="clear" w:color="auto" w:fill="E8F4FF"/>
          </w:tcPr>
          <w:p>
            <w:pPr>
              <w:spacing w:after="0"/>
              <w:rPr>
                <w:sz w:val="6"/>
                <w:szCs w:val="6"/>
                <w:color w:val="auto"/>
              </w:rPr>
            </w:pPr>
          </w:p>
        </w:tc>
      </w:tr>
      <w:tr>
        <w:trPr>
          <w:trHeight w:val="196"/>
        </w:trPr>
        <w:tc>
          <w:tcPr>
            <w:tcW w:w="2760" w:type="dxa"/>
            <w:vAlign w:val="bottom"/>
          </w:tcPr>
          <w:p>
            <w:pPr>
              <w:ind w:left="60"/>
              <w:spacing w:after="0"/>
              <w:rPr>
                <w:sz w:val="20"/>
                <w:szCs w:val="20"/>
                <w:color w:val="auto"/>
              </w:rPr>
            </w:pPr>
            <w:r>
              <w:rPr>
                <w:rFonts w:ascii="Arial" w:cs="Arial" w:eastAsia="Arial" w:hAnsi="Arial"/>
                <w:sz w:val="12"/>
                <w:szCs w:val="12"/>
                <w:color w:val="2393FF"/>
              </w:rPr>
              <w:t>Adjusted EBITDA Margin (%)</w:t>
            </w:r>
          </w:p>
        </w:tc>
        <w:tc>
          <w:tcPr>
            <w:tcW w:w="1640" w:type="dxa"/>
            <w:vAlign w:val="bottom"/>
          </w:tcPr>
          <w:p>
            <w:pPr>
              <w:jc w:val="center"/>
              <w:spacing w:after="0"/>
              <w:rPr>
                <w:sz w:val="20"/>
                <w:szCs w:val="20"/>
                <w:color w:val="auto"/>
              </w:rPr>
            </w:pPr>
            <w:r>
              <w:rPr>
                <w:rFonts w:ascii="Arial" w:cs="Arial" w:eastAsia="Arial" w:hAnsi="Arial"/>
                <w:sz w:val="12"/>
                <w:szCs w:val="12"/>
                <w:color w:val="auto"/>
                <w:w w:val="99"/>
              </w:rPr>
              <w:t>50%</w:t>
            </w:r>
          </w:p>
        </w:tc>
        <w:tc>
          <w:tcPr>
            <w:tcW w:w="1200" w:type="dxa"/>
            <w:vAlign w:val="bottom"/>
          </w:tcPr>
          <w:p>
            <w:pPr>
              <w:jc w:val="right"/>
              <w:ind w:right="544"/>
              <w:spacing w:after="0"/>
              <w:rPr>
                <w:sz w:val="20"/>
                <w:szCs w:val="20"/>
                <w:color w:val="auto"/>
              </w:rPr>
            </w:pPr>
            <w:r>
              <w:rPr>
                <w:rFonts w:ascii="Arial" w:cs="Arial" w:eastAsia="Arial" w:hAnsi="Arial"/>
                <w:sz w:val="12"/>
                <w:szCs w:val="12"/>
                <w:color w:val="auto"/>
              </w:rPr>
              <w:t>&lt;17%</w:t>
            </w:r>
          </w:p>
        </w:tc>
        <w:tc>
          <w:tcPr>
            <w:tcW w:w="1140" w:type="dxa"/>
            <w:vAlign w:val="bottom"/>
          </w:tcPr>
          <w:p>
            <w:pPr>
              <w:jc w:val="right"/>
              <w:ind w:right="342"/>
              <w:spacing w:after="0"/>
              <w:rPr>
                <w:sz w:val="20"/>
                <w:szCs w:val="20"/>
                <w:color w:val="auto"/>
              </w:rPr>
            </w:pPr>
            <w:r>
              <w:rPr>
                <w:rFonts w:ascii="Arial" w:cs="Arial" w:eastAsia="Arial" w:hAnsi="Arial"/>
                <w:sz w:val="12"/>
                <w:szCs w:val="12"/>
                <w:color w:val="auto"/>
              </w:rPr>
              <w:t>17.5%</w:t>
            </w:r>
          </w:p>
        </w:tc>
        <w:tc>
          <w:tcPr>
            <w:tcW w:w="1360" w:type="dxa"/>
            <w:vAlign w:val="bottom"/>
          </w:tcPr>
          <w:p>
            <w:pPr>
              <w:jc w:val="right"/>
              <w:ind w:right="404"/>
              <w:spacing w:after="0"/>
              <w:rPr>
                <w:sz w:val="20"/>
                <w:szCs w:val="20"/>
                <w:color w:val="auto"/>
              </w:rPr>
            </w:pPr>
            <w:r>
              <w:rPr>
                <w:rFonts w:ascii="Arial" w:cs="Arial" w:eastAsia="Arial" w:hAnsi="Arial"/>
                <w:sz w:val="12"/>
                <w:szCs w:val="12"/>
                <w:color w:val="auto"/>
              </w:rPr>
              <w:t>18.5%</w:t>
            </w:r>
          </w:p>
        </w:tc>
        <w:tc>
          <w:tcPr>
            <w:tcW w:w="1100" w:type="dxa"/>
            <w:vAlign w:val="bottom"/>
          </w:tcPr>
          <w:p>
            <w:pPr>
              <w:jc w:val="center"/>
              <w:ind w:left="64"/>
              <w:spacing w:after="0"/>
              <w:rPr>
                <w:sz w:val="20"/>
                <w:szCs w:val="20"/>
                <w:color w:val="auto"/>
              </w:rPr>
            </w:pPr>
            <w:r>
              <w:rPr>
                <w:rFonts w:ascii="Arial" w:cs="Arial" w:eastAsia="Arial" w:hAnsi="Arial"/>
                <w:sz w:val="12"/>
                <w:szCs w:val="12"/>
                <w:color w:val="auto"/>
                <w:w w:val="96"/>
              </w:rPr>
              <w:t>&gt;19%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47625</wp:posOffset>
            </wp:positionV>
            <wp:extent cx="583819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1"/>
          <w:szCs w:val="11"/>
          <w:color w:val="333333"/>
        </w:rPr>
        <w:t>*Sertifi results excluded.</w:t>
      </w:r>
    </w:p>
    <w:p>
      <w:pPr>
        <w:spacing w:after="0" w:line="137" w:lineRule="exact"/>
        <w:rPr>
          <w:sz w:val="20"/>
          <w:szCs w:val="20"/>
          <w:color w:val="auto"/>
        </w:rPr>
      </w:pPr>
    </w:p>
    <w:p>
      <w:pPr>
        <w:ind w:left="1020" w:right="20"/>
        <w:spacing w:after="0"/>
        <w:rPr>
          <w:sz w:val="20"/>
          <w:szCs w:val="20"/>
          <w:color w:val="auto"/>
        </w:rPr>
      </w:pPr>
      <w:r>
        <w:rPr>
          <w:rFonts w:ascii="Arial" w:cs="Arial" w:eastAsia="Arial" w:hAnsi="Arial"/>
          <w:sz w:val="14"/>
          <w:szCs w:val="14"/>
          <w:color w:val="auto"/>
        </w:rPr>
        <w:t>In Fiscal 2025, our Revenue Less Ancillary Services (FXN) growth rate was 16.4%, and our Adjusted EBITDA margin was 19.7%. These amounts were calculated using the pre-determined adjustment factors previously adopted by the People &amp; Compensation Committee to exclude the contributions from the Sertifi acquisition. Our People &amp; Compensation Committee did not make any discretionary adjustments to either corporate component for Fiscal 2025. Our NEOs received 94% payout for the Revenue Less Ancillary Services (FXN) growth rate component and 150% for the Adjusted EBITDA margin component.</w:t>
      </w:r>
    </w:p>
    <w:p>
      <w:pPr>
        <w:spacing w:after="0" w:line="103"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33 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u w:val="single" w:color="auto"/>
          <w:color w:val="auto"/>
        </w:rPr>
        <w:t>2025 Bonus Awarded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above calculations resulted in the following payout amounts under the 2025 cash incentive bonus program for each of our NEOs:</w:t>
      </w:r>
    </w:p>
    <w:p>
      <w:pPr>
        <w:spacing w:after="0" w:line="16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1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PERCENTAGE OF</w:t>
            </w:r>
          </w:p>
        </w:tc>
        <w:tc>
          <w:tcPr>
            <w:tcW w:w="1940" w:type="dxa"/>
            <w:vAlign w:val="bottom"/>
          </w:tcPr>
          <w:p>
            <w:pPr>
              <w:jc w:val="right"/>
              <w:ind w:right="142"/>
              <w:spacing w:after="0"/>
              <w:rPr>
                <w:sz w:val="20"/>
                <w:szCs w:val="20"/>
                <w:color w:val="auto"/>
              </w:rPr>
            </w:pPr>
            <w:r>
              <w:rPr>
                <w:rFonts w:ascii="Arial" w:cs="Arial" w:eastAsia="Arial" w:hAnsi="Arial"/>
                <w:sz w:val="11"/>
                <w:szCs w:val="11"/>
                <w:b w:val="1"/>
                <w:bCs w:val="1"/>
                <w:color w:val="auto"/>
              </w:rPr>
              <w:t>               ACTUAL BONUS</w:t>
            </w:r>
          </w:p>
        </w:tc>
      </w:tr>
      <w:tr>
        <w:trPr>
          <w:trHeight w:val="154"/>
        </w:trPr>
        <w:tc>
          <w:tcPr>
            <w:tcW w:w="3140" w:type="dxa"/>
            <w:vAlign w:val="bottom"/>
          </w:tcPr>
          <w:p>
            <w:pPr>
              <w:spacing w:after="0"/>
              <w:rPr>
                <w:sz w:val="20"/>
                <w:szCs w:val="20"/>
                <w:color w:val="auto"/>
              </w:rPr>
            </w:pPr>
            <w:r>
              <w:rPr>
                <w:rFonts w:ascii="Arial" w:cs="Arial" w:eastAsia="Arial" w:hAnsi="Arial"/>
                <w:sz w:val="11"/>
                <w:szCs w:val="11"/>
                <w:b w:val="1"/>
                <w:bCs w:val="1"/>
                <w:color w:val="auto"/>
              </w:rPr>
              <w:t>  EXECUTIVE</w:t>
            </w:r>
          </w:p>
        </w:tc>
        <w:tc>
          <w:tcPr>
            <w:tcW w:w="1880" w:type="dxa"/>
            <w:vAlign w:val="bottom"/>
          </w:tcPr>
          <w:p>
            <w:pPr>
              <w:jc w:val="right"/>
              <w:ind w:right="321"/>
              <w:spacing w:after="0"/>
              <w:rPr>
                <w:sz w:val="20"/>
                <w:szCs w:val="20"/>
                <w:color w:val="auto"/>
              </w:rPr>
            </w:pPr>
            <w:r>
              <w:rPr>
                <w:rFonts w:ascii="Arial" w:cs="Arial" w:eastAsia="Arial" w:hAnsi="Arial"/>
                <w:sz w:val="11"/>
                <w:szCs w:val="11"/>
                <w:b w:val="1"/>
                <w:bCs w:val="1"/>
                <w:color w:val="auto"/>
              </w:rPr>
              <w:t>TARGET BONUS</w:t>
            </w:r>
          </w:p>
        </w:tc>
        <w:tc>
          <w:tcPr>
            <w:tcW w:w="22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              TARGET AWARDED</w:t>
            </w:r>
          </w:p>
        </w:tc>
        <w:tc>
          <w:tcPr>
            <w:tcW w:w="1940" w:type="dxa"/>
            <w:vAlign w:val="bottom"/>
          </w:tcPr>
          <w:p>
            <w:pPr>
              <w:jc w:val="right"/>
              <w:ind w:right="142"/>
              <w:spacing w:after="0"/>
              <w:rPr>
                <w:sz w:val="20"/>
                <w:szCs w:val="20"/>
                <w:color w:val="auto"/>
              </w:rPr>
            </w:pPr>
            <w:r>
              <w:rPr>
                <w:rFonts w:ascii="Arial" w:cs="Arial" w:eastAsia="Arial" w:hAnsi="Arial"/>
                <w:sz w:val="11"/>
                <w:szCs w:val="11"/>
                <w:b w:val="1"/>
                <w:bCs w:val="1"/>
                <w:color w:val="auto"/>
              </w:rPr>
              <w:t>AWARDED</w:t>
            </w:r>
          </w:p>
        </w:tc>
      </w:tr>
      <w:tr>
        <w:trPr>
          <w:trHeight w:val="30"/>
        </w:trPr>
        <w:tc>
          <w:tcPr>
            <w:tcW w:w="3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2"/>
        </w:trPr>
        <w:tc>
          <w:tcPr>
            <w:tcW w:w="314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1880" w:type="dxa"/>
            <w:vAlign w:val="bottom"/>
            <w:shd w:val="clear" w:color="auto" w:fill="E8F4FF"/>
          </w:tcPr>
          <w:p>
            <w:pPr>
              <w:jc w:val="right"/>
              <w:ind w:right="321"/>
              <w:spacing w:after="0"/>
              <w:rPr>
                <w:sz w:val="20"/>
                <w:szCs w:val="20"/>
                <w:color w:val="auto"/>
              </w:rPr>
            </w:pPr>
            <w:r>
              <w:rPr>
                <w:rFonts w:ascii="Arial" w:cs="Arial" w:eastAsia="Arial" w:hAnsi="Arial"/>
                <w:sz w:val="12"/>
                <w:szCs w:val="12"/>
                <w:color w:val="auto"/>
              </w:rPr>
              <w:t>$500,000</w:t>
            </w:r>
          </w:p>
        </w:tc>
        <w:tc>
          <w:tcPr>
            <w:tcW w:w="1800" w:type="dxa"/>
            <w:vAlign w:val="bottom"/>
            <w:shd w:val="clear" w:color="auto" w:fill="E8F4FF"/>
          </w:tcPr>
          <w:p>
            <w:pPr>
              <w:ind w:left="1420"/>
              <w:spacing w:after="0"/>
              <w:rPr>
                <w:sz w:val="20"/>
                <w:szCs w:val="20"/>
                <w:color w:val="auto"/>
              </w:rPr>
            </w:pPr>
            <w:r>
              <w:rPr>
                <w:rFonts w:ascii="Arial" w:cs="Arial" w:eastAsia="Arial" w:hAnsi="Arial"/>
                <w:sz w:val="12"/>
                <w:szCs w:val="12"/>
                <w:color w:val="auto"/>
                <w:w w:val="84"/>
              </w:rPr>
              <w:t>122% </w:t>
            </w:r>
          </w:p>
        </w:tc>
        <w:tc>
          <w:tcPr>
            <w:tcW w:w="440" w:type="dxa"/>
            <w:vAlign w:val="bottom"/>
            <w:shd w:val="clear" w:color="auto" w:fill="E8F4FF"/>
          </w:tcPr>
          <w:p>
            <w:pPr>
              <w:ind w:left="60"/>
              <w:spacing w:after="0"/>
              <w:rPr>
                <w:sz w:val="20"/>
                <w:szCs w:val="20"/>
                <w:color w:val="auto"/>
              </w:rPr>
            </w:pPr>
            <w:r>
              <w:rPr>
                <w:rFonts w:ascii="Arial" w:cs="Arial" w:eastAsia="Arial" w:hAnsi="Arial"/>
                <w:sz w:val="12"/>
                <w:szCs w:val="12"/>
                <w:color w:val="auto"/>
              </w:rPr>
              <w:t> </w:t>
            </w:r>
          </w:p>
        </w:tc>
        <w:tc>
          <w:tcPr>
            <w:tcW w:w="1940" w:type="dxa"/>
            <w:vAlign w:val="bottom"/>
            <w:shd w:val="clear" w:color="auto" w:fill="E8F4FF"/>
          </w:tcPr>
          <w:p>
            <w:pPr>
              <w:jc w:val="right"/>
              <w:ind w:right="142"/>
              <w:spacing w:after="0"/>
              <w:rPr>
                <w:sz w:val="20"/>
                <w:szCs w:val="20"/>
                <w:color w:val="auto"/>
              </w:rPr>
            </w:pPr>
            <w:r>
              <w:rPr>
                <w:rFonts w:ascii="Arial" w:cs="Arial" w:eastAsia="Arial" w:hAnsi="Arial"/>
                <w:sz w:val="12"/>
                <w:szCs w:val="12"/>
                <w:color w:val="auto"/>
              </w:rPr>
              <w:t>$610,000</w:t>
            </w:r>
          </w:p>
        </w:tc>
      </w:tr>
      <w:tr>
        <w:trPr>
          <w:trHeight w:val="69"/>
        </w:trPr>
        <w:tc>
          <w:tcPr>
            <w:tcW w:w="3140" w:type="dxa"/>
            <w:vAlign w:val="bottom"/>
            <w:shd w:val="clear" w:color="auto" w:fill="E8F4FF"/>
          </w:tcPr>
          <w:p>
            <w:pPr>
              <w:spacing w:after="0"/>
              <w:rPr>
                <w:sz w:val="5"/>
                <w:szCs w:val="5"/>
                <w:color w:val="auto"/>
              </w:rPr>
            </w:pPr>
          </w:p>
        </w:tc>
        <w:tc>
          <w:tcPr>
            <w:tcW w:w="1880" w:type="dxa"/>
            <w:vAlign w:val="bottom"/>
            <w:shd w:val="clear" w:color="auto" w:fill="E8F4FF"/>
          </w:tcPr>
          <w:p>
            <w:pPr>
              <w:spacing w:after="0"/>
              <w:rPr>
                <w:sz w:val="5"/>
                <w:szCs w:val="5"/>
                <w:color w:val="auto"/>
              </w:rPr>
            </w:pPr>
          </w:p>
        </w:tc>
        <w:tc>
          <w:tcPr>
            <w:tcW w:w="1800" w:type="dxa"/>
            <w:vAlign w:val="bottom"/>
            <w:shd w:val="clear" w:color="auto" w:fill="E8F4FF"/>
          </w:tcPr>
          <w:p>
            <w:pPr>
              <w:spacing w:after="0"/>
              <w:rPr>
                <w:sz w:val="5"/>
                <w:szCs w:val="5"/>
                <w:color w:val="auto"/>
              </w:rPr>
            </w:pPr>
          </w:p>
        </w:tc>
        <w:tc>
          <w:tcPr>
            <w:tcW w:w="440" w:type="dxa"/>
            <w:vAlign w:val="bottom"/>
            <w:shd w:val="clear" w:color="auto" w:fill="E8F4FF"/>
          </w:tcPr>
          <w:p>
            <w:pPr>
              <w:spacing w:after="0"/>
              <w:rPr>
                <w:sz w:val="5"/>
                <w:szCs w:val="5"/>
                <w:color w:val="auto"/>
              </w:rPr>
            </w:pPr>
          </w:p>
        </w:tc>
        <w:tc>
          <w:tcPr>
            <w:tcW w:w="1940" w:type="dxa"/>
            <w:vAlign w:val="bottom"/>
            <w:shd w:val="clear" w:color="auto" w:fill="E8F4FF"/>
          </w:tcPr>
          <w:p>
            <w:pPr>
              <w:spacing w:after="0"/>
              <w:rPr>
                <w:sz w:val="5"/>
                <w:szCs w:val="5"/>
                <w:color w:val="auto"/>
              </w:rPr>
            </w:pPr>
          </w:p>
        </w:tc>
      </w:tr>
      <w:tr>
        <w:trPr>
          <w:trHeight w:val="202"/>
        </w:trPr>
        <w:tc>
          <w:tcPr>
            <w:tcW w:w="314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1880" w:type="dxa"/>
            <w:vAlign w:val="bottom"/>
          </w:tcPr>
          <w:p>
            <w:pPr>
              <w:jc w:val="right"/>
              <w:ind w:right="321"/>
              <w:spacing w:after="0"/>
              <w:rPr>
                <w:sz w:val="20"/>
                <w:szCs w:val="20"/>
                <w:color w:val="auto"/>
              </w:rPr>
            </w:pPr>
            <w:r>
              <w:rPr>
                <w:rFonts w:ascii="Arial" w:cs="Arial" w:eastAsia="Arial" w:hAnsi="Arial"/>
                <w:sz w:val="12"/>
                <w:szCs w:val="12"/>
                <w:color w:val="auto"/>
              </w:rPr>
              <w:t>$300,000</w:t>
            </w:r>
          </w:p>
        </w:tc>
        <w:tc>
          <w:tcPr>
            <w:tcW w:w="1800" w:type="dxa"/>
            <w:vAlign w:val="bottom"/>
          </w:tcPr>
          <w:p>
            <w:pPr>
              <w:ind w:left="1420"/>
              <w:spacing w:after="0"/>
              <w:rPr>
                <w:sz w:val="20"/>
                <w:szCs w:val="20"/>
                <w:color w:val="auto"/>
              </w:rPr>
            </w:pPr>
            <w:r>
              <w:rPr>
                <w:rFonts w:ascii="Arial" w:cs="Arial" w:eastAsia="Arial" w:hAnsi="Arial"/>
                <w:sz w:val="12"/>
                <w:szCs w:val="12"/>
                <w:color w:val="auto"/>
                <w:w w:val="84"/>
              </w:rPr>
              <w:t>122% </w:t>
            </w:r>
          </w:p>
        </w:tc>
        <w:tc>
          <w:tcPr>
            <w:tcW w:w="440" w:type="dxa"/>
            <w:vAlign w:val="bottom"/>
          </w:tcPr>
          <w:p>
            <w:pPr>
              <w:ind w:left="60"/>
              <w:spacing w:after="0"/>
              <w:rPr>
                <w:sz w:val="20"/>
                <w:szCs w:val="20"/>
                <w:color w:val="auto"/>
              </w:rPr>
            </w:pPr>
            <w:r>
              <w:rPr>
                <w:rFonts w:ascii="Arial" w:cs="Arial" w:eastAsia="Arial" w:hAnsi="Arial"/>
                <w:sz w:val="12"/>
                <w:szCs w:val="12"/>
                <w:color w:val="auto"/>
              </w:rPr>
              <w:t> </w:t>
            </w:r>
          </w:p>
        </w:tc>
        <w:tc>
          <w:tcPr>
            <w:tcW w:w="1940" w:type="dxa"/>
            <w:vAlign w:val="bottom"/>
          </w:tcPr>
          <w:p>
            <w:pPr>
              <w:jc w:val="right"/>
              <w:ind w:right="142"/>
              <w:spacing w:after="0"/>
              <w:rPr>
                <w:sz w:val="20"/>
                <w:szCs w:val="20"/>
                <w:color w:val="auto"/>
              </w:rPr>
            </w:pPr>
            <w:r>
              <w:rPr>
                <w:rFonts w:ascii="Arial" w:cs="Arial" w:eastAsia="Arial" w:hAnsi="Arial"/>
                <w:sz w:val="12"/>
                <w:szCs w:val="12"/>
                <w:color w:val="auto"/>
              </w:rPr>
              <w:t>$366,000</w:t>
            </w:r>
          </w:p>
        </w:tc>
      </w:tr>
      <w:tr>
        <w:trPr>
          <w:trHeight w:val="69"/>
        </w:trPr>
        <w:tc>
          <w:tcPr>
            <w:tcW w:w="31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940" w:type="dxa"/>
            <w:vAlign w:val="bottom"/>
          </w:tcPr>
          <w:p>
            <w:pPr>
              <w:spacing w:after="0"/>
              <w:rPr>
                <w:sz w:val="5"/>
                <w:szCs w:val="5"/>
                <w:color w:val="auto"/>
              </w:rPr>
            </w:pPr>
          </w:p>
        </w:tc>
      </w:tr>
      <w:tr>
        <w:trPr>
          <w:trHeight w:val="202"/>
        </w:trPr>
        <w:tc>
          <w:tcPr>
            <w:tcW w:w="314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1880" w:type="dxa"/>
            <w:vAlign w:val="bottom"/>
            <w:shd w:val="clear" w:color="auto" w:fill="E8F4FF"/>
          </w:tcPr>
          <w:p>
            <w:pPr>
              <w:jc w:val="right"/>
              <w:ind w:right="321"/>
              <w:spacing w:after="0"/>
              <w:rPr>
                <w:sz w:val="20"/>
                <w:szCs w:val="20"/>
                <w:color w:val="auto"/>
              </w:rPr>
            </w:pPr>
            <w:r>
              <w:rPr>
                <w:rFonts w:ascii="Arial" w:cs="Arial" w:eastAsia="Arial" w:hAnsi="Arial"/>
                <w:sz w:val="12"/>
                <w:szCs w:val="12"/>
                <w:color w:val="auto"/>
              </w:rPr>
              <w:t>$300,000</w:t>
            </w:r>
          </w:p>
        </w:tc>
        <w:tc>
          <w:tcPr>
            <w:tcW w:w="1800" w:type="dxa"/>
            <w:vAlign w:val="bottom"/>
            <w:shd w:val="clear" w:color="auto" w:fill="E8F4FF"/>
          </w:tcPr>
          <w:p>
            <w:pPr>
              <w:ind w:left="1420"/>
              <w:spacing w:after="0"/>
              <w:rPr>
                <w:sz w:val="20"/>
                <w:szCs w:val="20"/>
                <w:color w:val="auto"/>
              </w:rPr>
            </w:pPr>
            <w:r>
              <w:rPr>
                <w:rFonts w:ascii="Arial" w:cs="Arial" w:eastAsia="Arial" w:hAnsi="Arial"/>
                <w:sz w:val="12"/>
                <w:szCs w:val="12"/>
                <w:color w:val="auto"/>
                <w:w w:val="84"/>
              </w:rPr>
              <w:t>122% </w:t>
            </w:r>
          </w:p>
        </w:tc>
        <w:tc>
          <w:tcPr>
            <w:tcW w:w="440" w:type="dxa"/>
            <w:vAlign w:val="bottom"/>
            <w:shd w:val="clear" w:color="auto" w:fill="E8F4FF"/>
          </w:tcPr>
          <w:p>
            <w:pPr>
              <w:ind w:left="60"/>
              <w:spacing w:after="0"/>
              <w:rPr>
                <w:sz w:val="20"/>
                <w:szCs w:val="20"/>
                <w:color w:val="auto"/>
              </w:rPr>
            </w:pPr>
            <w:r>
              <w:rPr>
                <w:rFonts w:ascii="Arial" w:cs="Arial" w:eastAsia="Arial" w:hAnsi="Arial"/>
                <w:sz w:val="12"/>
                <w:szCs w:val="12"/>
                <w:color w:val="auto"/>
              </w:rPr>
              <w:t> </w:t>
            </w:r>
          </w:p>
        </w:tc>
        <w:tc>
          <w:tcPr>
            <w:tcW w:w="1940" w:type="dxa"/>
            <w:vAlign w:val="bottom"/>
            <w:shd w:val="clear" w:color="auto" w:fill="E8F4FF"/>
          </w:tcPr>
          <w:p>
            <w:pPr>
              <w:jc w:val="right"/>
              <w:ind w:right="142"/>
              <w:spacing w:after="0"/>
              <w:rPr>
                <w:sz w:val="20"/>
                <w:szCs w:val="20"/>
                <w:color w:val="auto"/>
              </w:rPr>
            </w:pPr>
            <w:r>
              <w:rPr>
                <w:rFonts w:ascii="Arial" w:cs="Arial" w:eastAsia="Arial" w:hAnsi="Arial"/>
                <w:sz w:val="12"/>
                <w:szCs w:val="12"/>
                <w:color w:val="auto"/>
              </w:rPr>
              <w:t>$366,000</w:t>
            </w:r>
          </w:p>
        </w:tc>
      </w:tr>
      <w:tr>
        <w:trPr>
          <w:trHeight w:val="69"/>
        </w:trPr>
        <w:tc>
          <w:tcPr>
            <w:tcW w:w="3140" w:type="dxa"/>
            <w:vAlign w:val="bottom"/>
            <w:shd w:val="clear" w:color="auto" w:fill="E8F4FF"/>
          </w:tcPr>
          <w:p>
            <w:pPr>
              <w:spacing w:after="0"/>
              <w:rPr>
                <w:sz w:val="5"/>
                <w:szCs w:val="5"/>
                <w:color w:val="auto"/>
              </w:rPr>
            </w:pPr>
          </w:p>
        </w:tc>
        <w:tc>
          <w:tcPr>
            <w:tcW w:w="1880" w:type="dxa"/>
            <w:vAlign w:val="bottom"/>
            <w:shd w:val="clear" w:color="auto" w:fill="E8F4FF"/>
          </w:tcPr>
          <w:p>
            <w:pPr>
              <w:spacing w:after="0"/>
              <w:rPr>
                <w:sz w:val="5"/>
                <w:szCs w:val="5"/>
                <w:color w:val="auto"/>
              </w:rPr>
            </w:pPr>
          </w:p>
        </w:tc>
        <w:tc>
          <w:tcPr>
            <w:tcW w:w="1800" w:type="dxa"/>
            <w:vAlign w:val="bottom"/>
            <w:shd w:val="clear" w:color="auto" w:fill="E8F4FF"/>
          </w:tcPr>
          <w:p>
            <w:pPr>
              <w:spacing w:after="0"/>
              <w:rPr>
                <w:sz w:val="5"/>
                <w:szCs w:val="5"/>
                <w:color w:val="auto"/>
              </w:rPr>
            </w:pPr>
          </w:p>
        </w:tc>
        <w:tc>
          <w:tcPr>
            <w:tcW w:w="440" w:type="dxa"/>
            <w:vAlign w:val="bottom"/>
            <w:shd w:val="clear" w:color="auto" w:fill="E8F4FF"/>
          </w:tcPr>
          <w:p>
            <w:pPr>
              <w:spacing w:after="0"/>
              <w:rPr>
                <w:sz w:val="5"/>
                <w:szCs w:val="5"/>
                <w:color w:val="auto"/>
              </w:rPr>
            </w:pPr>
          </w:p>
        </w:tc>
        <w:tc>
          <w:tcPr>
            <w:tcW w:w="1940" w:type="dxa"/>
            <w:vAlign w:val="bottom"/>
            <w:shd w:val="clear" w:color="auto" w:fill="E8F4FF"/>
          </w:tcPr>
          <w:p>
            <w:pPr>
              <w:spacing w:after="0"/>
              <w:rPr>
                <w:sz w:val="5"/>
                <w:szCs w:val="5"/>
                <w:color w:val="auto"/>
              </w:rPr>
            </w:pPr>
          </w:p>
        </w:tc>
      </w:tr>
      <w:tr>
        <w:trPr>
          <w:trHeight w:val="202"/>
        </w:trPr>
        <w:tc>
          <w:tcPr>
            <w:tcW w:w="314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1880" w:type="dxa"/>
            <w:vAlign w:val="bottom"/>
          </w:tcPr>
          <w:p>
            <w:pPr>
              <w:jc w:val="right"/>
              <w:ind w:right="321"/>
              <w:spacing w:after="0"/>
              <w:rPr>
                <w:sz w:val="20"/>
                <w:szCs w:val="20"/>
                <w:color w:val="auto"/>
              </w:rPr>
            </w:pPr>
            <w:r>
              <w:rPr>
                <w:rFonts w:ascii="Arial" w:cs="Arial" w:eastAsia="Arial" w:hAnsi="Arial"/>
                <w:sz w:val="12"/>
                <w:szCs w:val="12"/>
                <w:color w:val="auto"/>
              </w:rPr>
              <w:t>$200,000</w:t>
            </w:r>
          </w:p>
        </w:tc>
        <w:tc>
          <w:tcPr>
            <w:tcW w:w="1800" w:type="dxa"/>
            <w:vAlign w:val="bottom"/>
          </w:tcPr>
          <w:p>
            <w:pPr>
              <w:ind w:left="1420"/>
              <w:spacing w:after="0"/>
              <w:rPr>
                <w:sz w:val="20"/>
                <w:szCs w:val="20"/>
                <w:color w:val="auto"/>
              </w:rPr>
            </w:pPr>
            <w:r>
              <w:rPr>
                <w:rFonts w:ascii="Arial" w:cs="Arial" w:eastAsia="Arial" w:hAnsi="Arial"/>
                <w:sz w:val="12"/>
                <w:szCs w:val="12"/>
                <w:color w:val="auto"/>
                <w:w w:val="84"/>
              </w:rPr>
              <w:t>122% </w:t>
            </w:r>
          </w:p>
        </w:tc>
        <w:tc>
          <w:tcPr>
            <w:tcW w:w="440" w:type="dxa"/>
            <w:vAlign w:val="bottom"/>
          </w:tcPr>
          <w:p>
            <w:pPr>
              <w:ind w:left="60"/>
              <w:spacing w:after="0"/>
              <w:rPr>
                <w:sz w:val="20"/>
                <w:szCs w:val="20"/>
                <w:color w:val="auto"/>
              </w:rPr>
            </w:pPr>
            <w:r>
              <w:rPr>
                <w:rFonts w:ascii="Arial" w:cs="Arial" w:eastAsia="Arial" w:hAnsi="Arial"/>
                <w:sz w:val="12"/>
                <w:szCs w:val="12"/>
                <w:color w:val="auto"/>
              </w:rPr>
              <w:t> </w:t>
            </w:r>
          </w:p>
        </w:tc>
        <w:tc>
          <w:tcPr>
            <w:tcW w:w="1940" w:type="dxa"/>
            <w:vAlign w:val="bottom"/>
          </w:tcPr>
          <w:p>
            <w:pPr>
              <w:jc w:val="right"/>
              <w:ind w:right="142"/>
              <w:spacing w:after="0"/>
              <w:rPr>
                <w:sz w:val="20"/>
                <w:szCs w:val="20"/>
                <w:color w:val="auto"/>
              </w:rPr>
            </w:pPr>
            <w:r>
              <w:rPr>
                <w:rFonts w:ascii="Arial" w:cs="Arial" w:eastAsia="Arial" w:hAnsi="Arial"/>
                <w:sz w:val="12"/>
                <w:szCs w:val="12"/>
                <w:color w:val="auto"/>
              </w:rPr>
              <w:t>$244,000</w:t>
            </w:r>
          </w:p>
        </w:tc>
      </w:tr>
      <w:tr>
        <w:trPr>
          <w:trHeight w:val="69"/>
        </w:trPr>
        <w:tc>
          <w:tcPr>
            <w:tcW w:w="31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940" w:type="dxa"/>
            <w:vAlign w:val="bottom"/>
          </w:tcPr>
          <w:p>
            <w:pPr>
              <w:spacing w:after="0"/>
              <w:rPr>
                <w:sz w:val="5"/>
                <w:szCs w:val="5"/>
                <w:color w:val="auto"/>
              </w:rPr>
            </w:pPr>
          </w:p>
        </w:tc>
      </w:tr>
      <w:tr>
        <w:trPr>
          <w:trHeight w:val="202"/>
        </w:trPr>
        <w:tc>
          <w:tcPr>
            <w:tcW w:w="314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1880" w:type="dxa"/>
            <w:vAlign w:val="bottom"/>
            <w:shd w:val="clear" w:color="auto" w:fill="E8F4FF"/>
          </w:tcPr>
          <w:p>
            <w:pPr>
              <w:jc w:val="right"/>
              <w:ind w:right="321"/>
              <w:spacing w:after="0"/>
              <w:rPr>
                <w:sz w:val="20"/>
                <w:szCs w:val="20"/>
                <w:color w:val="auto"/>
              </w:rPr>
            </w:pPr>
            <w:r>
              <w:rPr>
                <w:rFonts w:ascii="Arial" w:cs="Arial" w:eastAsia="Arial" w:hAnsi="Arial"/>
                <w:sz w:val="12"/>
                <w:szCs w:val="12"/>
                <w:color w:val="auto"/>
              </w:rPr>
              <w:t>$200,000</w:t>
            </w:r>
          </w:p>
        </w:tc>
        <w:tc>
          <w:tcPr>
            <w:tcW w:w="1800" w:type="dxa"/>
            <w:vAlign w:val="bottom"/>
            <w:shd w:val="clear" w:color="auto" w:fill="E8F4FF"/>
          </w:tcPr>
          <w:p>
            <w:pPr>
              <w:ind w:left="1420"/>
              <w:spacing w:after="0"/>
              <w:rPr>
                <w:sz w:val="20"/>
                <w:szCs w:val="20"/>
                <w:color w:val="auto"/>
              </w:rPr>
            </w:pPr>
            <w:r>
              <w:rPr>
                <w:rFonts w:ascii="Arial" w:cs="Arial" w:eastAsia="Arial" w:hAnsi="Arial"/>
                <w:sz w:val="12"/>
                <w:szCs w:val="12"/>
                <w:color w:val="auto"/>
                <w:w w:val="84"/>
              </w:rPr>
              <w:t>122% </w:t>
            </w:r>
          </w:p>
        </w:tc>
        <w:tc>
          <w:tcPr>
            <w:tcW w:w="440" w:type="dxa"/>
            <w:vAlign w:val="bottom"/>
            <w:shd w:val="clear" w:color="auto" w:fill="E8F4FF"/>
          </w:tcPr>
          <w:p>
            <w:pPr>
              <w:ind w:left="60"/>
              <w:spacing w:after="0"/>
              <w:rPr>
                <w:sz w:val="20"/>
                <w:szCs w:val="20"/>
                <w:color w:val="auto"/>
              </w:rPr>
            </w:pPr>
            <w:r>
              <w:rPr>
                <w:rFonts w:ascii="Arial" w:cs="Arial" w:eastAsia="Arial" w:hAnsi="Arial"/>
                <w:sz w:val="12"/>
                <w:szCs w:val="12"/>
                <w:color w:val="auto"/>
              </w:rPr>
              <w:t> </w:t>
            </w:r>
          </w:p>
        </w:tc>
        <w:tc>
          <w:tcPr>
            <w:tcW w:w="1940" w:type="dxa"/>
            <w:vAlign w:val="bottom"/>
            <w:shd w:val="clear" w:color="auto" w:fill="E8F4FF"/>
          </w:tcPr>
          <w:p>
            <w:pPr>
              <w:jc w:val="right"/>
              <w:ind w:right="142"/>
              <w:spacing w:after="0"/>
              <w:rPr>
                <w:sz w:val="20"/>
                <w:szCs w:val="20"/>
                <w:color w:val="auto"/>
              </w:rPr>
            </w:pPr>
            <w:r>
              <w:rPr>
                <w:rFonts w:ascii="Arial" w:cs="Arial" w:eastAsia="Arial" w:hAnsi="Arial"/>
                <w:sz w:val="12"/>
                <w:szCs w:val="12"/>
                <w:color w:val="auto"/>
              </w:rPr>
              <w:t>$244,000</w:t>
            </w:r>
          </w:p>
        </w:tc>
      </w:tr>
      <w:tr>
        <w:trPr>
          <w:trHeight w:val="69"/>
        </w:trPr>
        <w:tc>
          <w:tcPr>
            <w:tcW w:w="3140" w:type="dxa"/>
            <w:vAlign w:val="bottom"/>
            <w:tcBorders>
              <w:bottom w:val="single" w:sz="8" w:color="2393FF"/>
            </w:tcBorders>
            <w:shd w:val="clear" w:color="auto" w:fill="E8F4FF"/>
          </w:tcPr>
          <w:p>
            <w:pPr>
              <w:spacing w:after="0"/>
              <w:rPr>
                <w:sz w:val="5"/>
                <w:szCs w:val="5"/>
                <w:color w:val="auto"/>
              </w:rPr>
            </w:pPr>
          </w:p>
        </w:tc>
        <w:tc>
          <w:tcPr>
            <w:tcW w:w="1880" w:type="dxa"/>
            <w:vAlign w:val="bottom"/>
            <w:tcBorders>
              <w:bottom w:val="single" w:sz="8" w:color="2393FF"/>
            </w:tcBorders>
            <w:shd w:val="clear" w:color="auto" w:fill="E8F4FF"/>
          </w:tcPr>
          <w:p>
            <w:pPr>
              <w:spacing w:after="0"/>
              <w:rPr>
                <w:sz w:val="5"/>
                <w:szCs w:val="5"/>
                <w:color w:val="auto"/>
              </w:rPr>
            </w:pPr>
          </w:p>
        </w:tc>
        <w:tc>
          <w:tcPr>
            <w:tcW w:w="1800" w:type="dxa"/>
            <w:vAlign w:val="bottom"/>
            <w:tcBorders>
              <w:bottom w:val="single" w:sz="8" w:color="2393FF"/>
            </w:tcBorders>
            <w:shd w:val="clear" w:color="auto" w:fill="E8F4FF"/>
          </w:tcPr>
          <w:p>
            <w:pPr>
              <w:spacing w:after="0"/>
              <w:rPr>
                <w:sz w:val="5"/>
                <w:szCs w:val="5"/>
                <w:color w:val="auto"/>
              </w:rPr>
            </w:pPr>
          </w:p>
        </w:tc>
        <w:tc>
          <w:tcPr>
            <w:tcW w:w="440" w:type="dxa"/>
            <w:vAlign w:val="bottom"/>
            <w:tcBorders>
              <w:bottom w:val="single" w:sz="8" w:color="2393FF"/>
            </w:tcBorders>
            <w:shd w:val="clear" w:color="auto" w:fill="E8F4FF"/>
          </w:tcPr>
          <w:p>
            <w:pPr>
              <w:spacing w:after="0"/>
              <w:rPr>
                <w:sz w:val="5"/>
                <w:szCs w:val="5"/>
                <w:color w:val="auto"/>
              </w:rPr>
            </w:pPr>
          </w:p>
        </w:tc>
        <w:tc>
          <w:tcPr>
            <w:tcW w:w="1940" w:type="dxa"/>
            <w:vAlign w:val="bottom"/>
            <w:tcBorders>
              <w:bottom w:val="single" w:sz="8" w:color="2393FF"/>
            </w:tcBorders>
            <w:shd w:val="clear" w:color="auto" w:fill="E8F4FF"/>
          </w:tcPr>
          <w:p>
            <w:pPr>
              <w:spacing w:after="0"/>
              <w:rPr>
                <w:sz w:val="5"/>
                <w:szCs w:val="5"/>
                <w:color w:val="auto"/>
              </w:rPr>
            </w:pPr>
          </w:p>
        </w:tc>
      </w:tr>
    </w:tbl>
    <w:p>
      <w:pPr>
        <w:spacing w:after="0" w:line="136" w:lineRule="exact"/>
        <w:rPr>
          <w:sz w:val="20"/>
          <w:szCs w:val="20"/>
          <w:color w:val="auto"/>
        </w:rPr>
      </w:pPr>
    </w:p>
    <w:p>
      <w:pPr>
        <w:ind w:left="1020" w:right="40"/>
        <w:spacing w:after="0" w:line="242" w:lineRule="auto"/>
        <w:rPr>
          <w:sz w:val="20"/>
          <w:szCs w:val="20"/>
          <w:color w:val="auto"/>
        </w:rPr>
      </w:pPr>
      <w:r>
        <w:rPr>
          <w:rFonts w:ascii="Arial" w:cs="Arial" w:eastAsia="Arial" w:hAnsi="Arial"/>
          <w:sz w:val="14"/>
          <w:szCs w:val="14"/>
          <w:color w:val="auto"/>
        </w:rPr>
        <w:t>Although we recognize that our stock price declined in fiscal 2025, our annual cash incentive program is intentionally designed to measure and reward in-year operational performance, which was strong. The majority of our executives’ total compensation is delivered through equity awards that are directly tied to long-term stock price performance, and it is through this component that executives’ interests are tied to total stockholder return, creating robust pay-for-performance alignment at the total compensation level.</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2025 LONG-TERM INCENTIVE COMPENSATION</w:t>
      </w:r>
    </w:p>
    <w:p>
      <w:pPr>
        <w:spacing w:after="0" w:line="155" w:lineRule="exact"/>
        <w:rPr>
          <w:sz w:val="20"/>
          <w:szCs w:val="20"/>
          <w:color w:val="auto"/>
        </w:rPr>
      </w:pPr>
    </w:p>
    <w:p>
      <w:pPr>
        <w:ind w:left="1020" w:right="20"/>
        <w:spacing w:after="0" w:line="246" w:lineRule="auto"/>
        <w:rPr>
          <w:sz w:val="20"/>
          <w:szCs w:val="20"/>
          <w:color w:val="auto"/>
        </w:rPr>
      </w:pPr>
      <w:r>
        <w:rPr>
          <w:rFonts w:ascii="Arial" w:cs="Arial" w:eastAsia="Arial" w:hAnsi="Arial"/>
          <w:sz w:val="14"/>
          <w:szCs w:val="14"/>
          <w:color w:val="auto"/>
        </w:rPr>
        <w:t>Our People &amp; Compensation Committee is focused on aligning pay with performance in our compensation program, and as such, we continue to evaluate the most effective way to do so. For Fiscal 2025, our People &amp; Compensation Committee determined that continuing to grant equity exclusively in the form of RSUs remained appropriate after considering the following:</w:t>
      </w:r>
    </w:p>
    <w:p>
      <w:pPr>
        <w:spacing w:after="0" w:line="80" w:lineRule="exact"/>
        <w:rPr>
          <w:sz w:val="20"/>
          <w:szCs w:val="20"/>
          <w:color w:val="auto"/>
        </w:rPr>
      </w:pPr>
    </w:p>
    <w:p>
      <w:pPr>
        <w:ind w:left="1740" w:hanging="353"/>
        <w:spacing w:after="0"/>
        <w:tabs>
          <w:tab w:leader="none" w:pos="1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create alignment with stockholders’ interests, with value driven by the share price;</w:t>
      </w:r>
    </w:p>
    <w:p>
      <w:pPr>
        <w:spacing w:after="0" w:line="98" w:lineRule="exact"/>
        <w:rPr>
          <w:rFonts w:ascii="Arial" w:cs="Arial" w:eastAsia="Arial" w:hAnsi="Arial"/>
          <w:sz w:val="14"/>
          <w:szCs w:val="14"/>
          <w:color w:val="auto"/>
        </w:rPr>
      </w:pPr>
    </w:p>
    <w:p>
      <w:pPr>
        <w:ind w:left="1740" w:right="400" w:hanging="353"/>
        <w:spacing w:after="0" w:line="258" w:lineRule="auto"/>
        <w:tabs>
          <w:tab w:leader="none" w:pos="1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Because the ultimate value realized from RSU awards fluctuates based on stock price performance over the vesting period, executives’ compensation outcomes are directly aligned with stockholder experience;</w:t>
      </w:r>
    </w:p>
    <w:p>
      <w:pPr>
        <w:spacing w:after="0" w:line="70" w:lineRule="exact"/>
        <w:rPr>
          <w:rFonts w:ascii="Arial" w:cs="Arial" w:eastAsia="Arial" w:hAnsi="Arial"/>
          <w:sz w:val="14"/>
          <w:szCs w:val="14"/>
          <w:color w:val="auto"/>
        </w:rPr>
      </w:pPr>
    </w:p>
    <w:p>
      <w:pPr>
        <w:ind w:left="1740" w:right="520" w:hanging="353"/>
        <w:spacing w:after="0" w:line="258" w:lineRule="auto"/>
        <w:tabs>
          <w:tab w:leader="none" w:pos="1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provide for flexibility to adapt to evolving strategic priorities and market conditions while maintaining a focus on long-term value creation; and</w:t>
      </w:r>
    </w:p>
    <w:p>
      <w:pPr>
        <w:spacing w:after="0" w:line="70" w:lineRule="exact"/>
        <w:rPr>
          <w:rFonts w:ascii="Arial" w:cs="Arial" w:eastAsia="Arial" w:hAnsi="Arial"/>
          <w:sz w:val="14"/>
          <w:szCs w:val="14"/>
          <w:color w:val="auto"/>
        </w:rPr>
      </w:pPr>
    </w:p>
    <w:p>
      <w:pPr>
        <w:ind w:left="1740" w:hanging="353"/>
        <w:spacing w:after="0"/>
        <w:tabs>
          <w:tab w:leader="none" w:pos="17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RSUs mitigate the challenges associated with establishing long-term goals given market volatility and shifting dynamics.</w:t>
      </w:r>
    </w:p>
    <w:p>
      <w:pPr>
        <w:spacing w:after="0" w:line="143" w:lineRule="exact"/>
        <w:rPr>
          <w:sz w:val="20"/>
          <w:szCs w:val="20"/>
          <w:color w:val="auto"/>
        </w:rPr>
      </w:pPr>
    </w:p>
    <w:p>
      <w:pPr>
        <w:ind w:left="1020" w:right="240"/>
        <w:spacing w:after="0" w:line="242" w:lineRule="auto"/>
        <w:rPr>
          <w:sz w:val="20"/>
          <w:szCs w:val="20"/>
          <w:color w:val="auto"/>
        </w:rPr>
      </w:pPr>
      <w:r>
        <w:rPr>
          <w:rFonts w:ascii="Arial" w:cs="Arial" w:eastAsia="Arial" w:hAnsi="Arial"/>
          <w:sz w:val="14"/>
          <w:szCs w:val="14"/>
          <w:color w:val="auto"/>
        </w:rPr>
        <w:t>The target grant value of RSUs awarded to our NEOs is based on our People &amp; Compensation Committee’s general understanding of competitive pay practices, our Chief Executive Officer’s recommendation (except with respect to his own awards), consultation with its compensation consultant, and other factors that our People &amp; Compensation Committee deems appropriate. In addition to the annual RSU awards, our People &amp; Compensation Committee may grant additional RSUs for merit, performance, retention or promotional purposes.</w:t>
      </w:r>
    </w:p>
    <w:p>
      <w:pPr>
        <w:spacing w:after="0" w:line="128" w:lineRule="exact"/>
        <w:rPr>
          <w:sz w:val="20"/>
          <w:szCs w:val="20"/>
          <w:color w:val="auto"/>
        </w:rPr>
      </w:pPr>
    </w:p>
    <w:p>
      <w:pPr>
        <w:ind w:left="1020" w:right="400"/>
        <w:spacing w:after="0" w:line="246" w:lineRule="auto"/>
        <w:rPr>
          <w:sz w:val="20"/>
          <w:szCs w:val="20"/>
          <w:color w:val="auto"/>
        </w:rPr>
      </w:pPr>
      <w:r>
        <w:rPr>
          <w:rFonts w:ascii="Arial" w:cs="Arial" w:eastAsia="Arial" w:hAnsi="Arial"/>
          <w:sz w:val="14"/>
          <w:szCs w:val="14"/>
          <w:color w:val="auto"/>
        </w:rPr>
        <w:t>In March 2025, our People &amp; Compensation Committee granted the following time-based RSUs to our NEOs, which vest with respect to 25% of the shares after one year and the remainder vesting in equal quarterly installments over the following three years, subject to the officer’s continued employment.</w:t>
      </w:r>
    </w:p>
    <w:p>
      <w:pPr>
        <w:spacing w:after="0" w:line="163"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5520" w:type="dxa"/>
            <w:vAlign w:val="bottom"/>
          </w:tcPr>
          <w:p>
            <w:pPr>
              <w:spacing w:after="0"/>
              <w:rPr>
                <w:sz w:val="10"/>
                <w:szCs w:val="10"/>
                <w:color w:val="auto"/>
              </w:rPr>
            </w:pPr>
          </w:p>
        </w:tc>
        <w:tc>
          <w:tcPr>
            <w:tcW w:w="2080" w:type="dxa"/>
            <w:vAlign w:val="bottom"/>
            <w:vMerge w:val="restart"/>
          </w:tcPr>
          <w:p>
            <w:pPr>
              <w:jc w:val="right"/>
              <w:ind w:right="182"/>
              <w:spacing w:after="0"/>
              <w:rPr>
                <w:sz w:val="20"/>
                <w:szCs w:val="20"/>
                <w:color w:val="auto"/>
              </w:rPr>
            </w:pPr>
            <w:r>
              <w:rPr>
                <w:rFonts w:ascii="Arial" w:cs="Arial" w:eastAsia="Arial" w:hAnsi="Arial"/>
                <w:sz w:val="11"/>
                <w:szCs w:val="11"/>
                <w:b w:val="1"/>
                <w:bCs w:val="1"/>
                <w:color w:val="auto"/>
              </w:rPr>
              <w:t>TOTAL GRANT VALUE</w:t>
            </w:r>
          </w:p>
        </w:tc>
        <w:tc>
          <w:tcPr>
            <w:tcW w:w="1600" w:type="dxa"/>
            <w:vAlign w:val="bottom"/>
          </w:tcPr>
          <w:p>
            <w:pPr>
              <w:jc w:val="right"/>
              <w:ind w:right="183"/>
              <w:spacing w:after="0"/>
              <w:rPr>
                <w:sz w:val="20"/>
                <w:szCs w:val="20"/>
                <w:color w:val="auto"/>
              </w:rPr>
            </w:pPr>
            <w:r>
              <w:rPr>
                <w:rFonts w:ascii="Arial" w:cs="Arial" w:eastAsia="Arial" w:hAnsi="Arial"/>
                <w:sz w:val="11"/>
                <w:szCs w:val="11"/>
                <w:b w:val="1"/>
                <w:bCs w:val="1"/>
                <w:color w:val="auto"/>
              </w:rPr>
              <w:t>NUMBER OF SHARES</w:t>
            </w:r>
          </w:p>
        </w:tc>
        <w:tc>
          <w:tcPr>
            <w:tcW w:w="0" w:type="dxa"/>
            <w:vAlign w:val="bottom"/>
          </w:tcPr>
          <w:p>
            <w:pPr>
              <w:spacing w:after="0"/>
              <w:rPr>
                <w:sz w:val="1"/>
                <w:szCs w:val="1"/>
                <w:color w:val="auto"/>
              </w:rPr>
            </w:pPr>
          </w:p>
        </w:tc>
      </w:tr>
      <w:tr>
        <w:trPr>
          <w:trHeight w:val="113"/>
        </w:trPr>
        <w:tc>
          <w:tcPr>
            <w:tcW w:w="5520" w:type="dxa"/>
            <w:vAlign w:val="bottom"/>
            <w:vMerge w:val="restart"/>
          </w:tcPr>
          <w:p>
            <w:pPr>
              <w:spacing w:after="0"/>
              <w:rPr>
                <w:sz w:val="20"/>
                <w:szCs w:val="20"/>
                <w:color w:val="auto"/>
              </w:rPr>
            </w:pPr>
            <w:r>
              <w:rPr>
                <w:rFonts w:ascii="Arial" w:cs="Arial" w:eastAsia="Arial" w:hAnsi="Arial"/>
                <w:sz w:val="11"/>
                <w:szCs w:val="11"/>
                <w:b w:val="1"/>
                <w:bCs w:val="1"/>
                <w:color w:val="auto"/>
              </w:rPr>
              <w:t>  NAME</w:t>
            </w:r>
          </w:p>
        </w:tc>
        <w:tc>
          <w:tcPr>
            <w:tcW w:w="2080" w:type="dxa"/>
            <w:vAlign w:val="bottom"/>
            <w:vMerge w:val="continue"/>
          </w:tcPr>
          <w:p>
            <w:pPr>
              <w:spacing w:after="0"/>
              <w:rPr>
                <w:sz w:val="9"/>
                <w:szCs w:val="9"/>
                <w:color w:val="auto"/>
              </w:rPr>
            </w:pPr>
          </w:p>
        </w:tc>
        <w:tc>
          <w:tcPr>
            <w:tcW w:w="1600" w:type="dxa"/>
            <w:vAlign w:val="bottom"/>
          </w:tcPr>
          <w:p>
            <w:pPr>
              <w:jc w:val="right"/>
              <w:ind w:right="183"/>
              <w:spacing w:after="0" w:line="113" w:lineRule="exact"/>
              <w:rPr>
                <w:sz w:val="20"/>
                <w:szCs w:val="20"/>
                <w:color w:val="auto"/>
              </w:rPr>
            </w:pPr>
            <w:r>
              <w:rPr>
                <w:rFonts w:ascii="Arial" w:cs="Arial" w:eastAsia="Arial" w:hAnsi="Arial"/>
                <w:sz w:val="11"/>
                <w:szCs w:val="11"/>
                <w:b w:val="1"/>
                <w:bCs w:val="1"/>
                <w:color w:val="auto"/>
              </w:rPr>
              <w:t>UNDERLYING</w:t>
            </w:r>
          </w:p>
        </w:tc>
        <w:tc>
          <w:tcPr>
            <w:tcW w:w="0" w:type="dxa"/>
            <w:vAlign w:val="bottom"/>
          </w:tcPr>
          <w:p>
            <w:pPr>
              <w:spacing w:after="0"/>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2080" w:type="dxa"/>
            <w:vAlign w:val="bottom"/>
          </w:tcPr>
          <w:p>
            <w:pPr>
              <w:jc w:val="right"/>
              <w:ind w:right="182"/>
              <w:spacing w:after="0"/>
              <w:rPr>
                <w:sz w:val="20"/>
                <w:szCs w:val="20"/>
                <w:color w:val="auto"/>
              </w:rPr>
            </w:pPr>
            <w:r>
              <w:rPr>
                <w:rFonts w:ascii="Arial" w:cs="Arial" w:eastAsia="Arial" w:hAnsi="Arial"/>
                <w:sz w:val="11"/>
                <w:szCs w:val="11"/>
                <w:b w:val="1"/>
                <w:bCs w:val="1"/>
                <w:color w:val="auto"/>
              </w:rPr>
              <w:t>($)</w:t>
            </w:r>
          </w:p>
        </w:tc>
        <w:tc>
          <w:tcPr>
            <w:tcW w:w="1600" w:type="dxa"/>
            <w:vAlign w:val="bottom"/>
          </w:tcPr>
          <w:p>
            <w:pPr>
              <w:jc w:val="right"/>
              <w:ind w:right="183"/>
              <w:spacing w:after="0"/>
              <w:rPr>
                <w:sz w:val="20"/>
                <w:szCs w:val="20"/>
                <w:color w:val="auto"/>
              </w:rPr>
            </w:pPr>
            <w:r>
              <w:rPr>
                <w:rFonts w:ascii="Arial" w:cs="Arial" w:eastAsia="Arial" w:hAnsi="Arial"/>
                <w:sz w:val="11"/>
                <w:szCs w:val="11"/>
                <w:b w:val="1"/>
                <w:bCs w:val="1"/>
                <w:color w:val="auto"/>
              </w:rPr>
              <w:t>RSU GRANT</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202"/>
        </w:trPr>
        <w:tc>
          <w:tcPr>
            <w:tcW w:w="55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2080" w:type="dxa"/>
            <w:vAlign w:val="bottom"/>
            <w:shd w:val="clear" w:color="auto" w:fill="E8F4FF"/>
          </w:tcPr>
          <w:p>
            <w:pPr>
              <w:jc w:val="right"/>
              <w:ind w:right="182"/>
              <w:spacing w:after="0"/>
              <w:rPr>
                <w:sz w:val="20"/>
                <w:szCs w:val="20"/>
                <w:color w:val="auto"/>
              </w:rPr>
            </w:pPr>
            <w:r>
              <w:rPr>
                <w:rFonts w:ascii="Arial" w:cs="Arial" w:eastAsia="Arial" w:hAnsi="Arial"/>
                <w:sz w:val="12"/>
                <w:szCs w:val="12"/>
                <w:color w:val="auto"/>
              </w:rPr>
              <w:t>8,000,000</w:t>
            </w:r>
          </w:p>
        </w:tc>
        <w:tc>
          <w:tcPr>
            <w:tcW w:w="1600" w:type="dxa"/>
            <w:vAlign w:val="bottom"/>
            <w:shd w:val="clear" w:color="auto" w:fill="E8F4FF"/>
          </w:tcPr>
          <w:p>
            <w:pPr>
              <w:jc w:val="right"/>
              <w:ind w:right="183"/>
              <w:spacing w:after="0"/>
              <w:rPr>
                <w:sz w:val="20"/>
                <w:szCs w:val="20"/>
                <w:color w:val="auto"/>
              </w:rPr>
            </w:pPr>
            <w:r>
              <w:rPr>
                <w:rFonts w:ascii="Arial" w:cs="Arial" w:eastAsia="Arial" w:hAnsi="Arial"/>
                <w:sz w:val="12"/>
                <w:szCs w:val="12"/>
                <w:color w:val="auto"/>
              </w:rPr>
              <w:t>765,550</w:t>
            </w:r>
          </w:p>
        </w:tc>
        <w:tc>
          <w:tcPr>
            <w:tcW w:w="0" w:type="dxa"/>
            <w:vAlign w:val="bottom"/>
          </w:tcPr>
          <w:p>
            <w:pPr>
              <w:spacing w:after="0"/>
              <w:rPr>
                <w:sz w:val="1"/>
                <w:szCs w:val="1"/>
                <w:color w:val="auto"/>
              </w:rPr>
            </w:pPr>
          </w:p>
        </w:tc>
      </w:tr>
      <w:tr>
        <w:trPr>
          <w:trHeight w:val="69"/>
        </w:trPr>
        <w:tc>
          <w:tcPr>
            <w:tcW w:w="5520" w:type="dxa"/>
            <w:vAlign w:val="bottom"/>
            <w:shd w:val="clear" w:color="auto" w:fill="E8F4FF"/>
          </w:tcPr>
          <w:p>
            <w:pPr>
              <w:spacing w:after="0"/>
              <w:rPr>
                <w:sz w:val="5"/>
                <w:szCs w:val="5"/>
                <w:color w:val="auto"/>
              </w:rPr>
            </w:pPr>
          </w:p>
        </w:tc>
        <w:tc>
          <w:tcPr>
            <w:tcW w:w="2080" w:type="dxa"/>
            <w:vAlign w:val="bottom"/>
            <w:shd w:val="clear" w:color="auto" w:fill="E8F4FF"/>
          </w:tcPr>
          <w:p>
            <w:pPr>
              <w:spacing w:after="0"/>
              <w:rPr>
                <w:sz w:val="5"/>
                <w:szCs w:val="5"/>
                <w:color w:val="auto"/>
              </w:rPr>
            </w:pPr>
          </w:p>
        </w:tc>
        <w:tc>
          <w:tcPr>
            <w:tcW w:w="160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52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2080" w:type="dxa"/>
            <w:vAlign w:val="bottom"/>
          </w:tcPr>
          <w:p>
            <w:pPr>
              <w:jc w:val="right"/>
              <w:ind w:right="182"/>
              <w:spacing w:after="0"/>
              <w:rPr>
                <w:sz w:val="20"/>
                <w:szCs w:val="20"/>
                <w:color w:val="auto"/>
              </w:rPr>
            </w:pPr>
            <w:r>
              <w:rPr>
                <w:rFonts w:ascii="Arial" w:cs="Arial" w:eastAsia="Arial" w:hAnsi="Arial"/>
                <w:sz w:val="12"/>
                <w:szCs w:val="12"/>
                <w:color w:val="auto"/>
              </w:rPr>
              <w:t>4,650,000</w:t>
            </w:r>
          </w:p>
        </w:tc>
        <w:tc>
          <w:tcPr>
            <w:tcW w:w="1600" w:type="dxa"/>
            <w:vAlign w:val="bottom"/>
          </w:tcPr>
          <w:p>
            <w:pPr>
              <w:jc w:val="right"/>
              <w:ind w:right="183"/>
              <w:spacing w:after="0"/>
              <w:rPr>
                <w:sz w:val="20"/>
                <w:szCs w:val="20"/>
                <w:color w:val="auto"/>
              </w:rPr>
            </w:pPr>
            <w:r>
              <w:rPr>
                <w:rFonts w:ascii="Arial" w:cs="Arial" w:eastAsia="Arial" w:hAnsi="Arial"/>
                <w:sz w:val="12"/>
                <w:szCs w:val="12"/>
                <w:color w:val="auto"/>
              </w:rPr>
              <w:t>444,976</w:t>
            </w:r>
          </w:p>
        </w:tc>
        <w:tc>
          <w:tcPr>
            <w:tcW w:w="0" w:type="dxa"/>
            <w:vAlign w:val="bottom"/>
          </w:tcPr>
          <w:p>
            <w:pPr>
              <w:spacing w:after="0"/>
              <w:rPr>
                <w:sz w:val="1"/>
                <w:szCs w:val="1"/>
                <w:color w:val="auto"/>
              </w:rPr>
            </w:pPr>
          </w:p>
        </w:tc>
      </w:tr>
      <w:tr>
        <w:trPr>
          <w:trHeight w:val="69"/>
        </w:trPr>
        <w:tc>
          <w:tcPr>
            <w:tcW w:w="55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2080" w:type="dxa"/>
            <w:vAlign w:val="bottom"/>
            <w:shd w:val="clear" w:color="auto" w:fill="E8F4FF"/>
          </w:tcPr>
          <w:p>
            <w:pPr>
              <w:jc w:val="right"/>
              <w:ind w:right="182"/>
              <w:spacing w:after="0"/>
              <w:rPr>
                <w:sz w:val="20"/>
                <w:szCs w:val="20"/>
                <w:color w:val="auto"/>
              </w:rPr>
            </w:pPr>
            <w:r>
              <w:rPr>
                <w:rFonts w:ascii="Arial" w:cs="Arial" w:eastAsia="Arial" w:hAnsi="Arial"/>
                <w:sz w:val="12"/>
                <w:szCs w:val="12"/>
                <w:color w:val="auto"/>
              </w:rPr>
              <w:t>3,500,000</w:t>
            </w:r>
          </w:p>
        </w:tc>
        <w:tc>
          <w:tcPr>
            <w:tcW w:w="1600" w:type="dxa"/>
            <w:vAlign w:val="bottom"/>
            <w:shd w:val="clear" w:color="auto" w:fill="E8F4FF"/>
          </w:tcPr>
          <w:p>
            <w:pPr>
              <w:jc w:val="right"/>
              <w:ind w:right="183"/>
              <w:spacing w:after="0"/>
              <w:rPr>
                <w:sz w:val="20"/>
                <w:szCs w:val="20"/>
                <w:color w:val="auto"/>
              </w:rPr>
            </w:pPr>
            <w:r>
              <w:rPr>
                <w:rFonts w:ascii="Arial" w:cs="Arial" w:eastAsia="Arial" w:hAnsi="Arial"/>
                <w:sz w:val="12"/>
                <w:szCs w:val="12"/>
                <w:color w:val="auto"/>
              </w:rPr>
              <w:t>334,928</w:t>
            </w:r>
          </w:p>
        </w:tc>
        <w:tc>
          <w:tcPr>
            <w:tcW w:w="0" w:type="dxa"/>
            <w:vAlign w:val="bottom"/>
          </w:tcPr>
          <w:p>
            <w:pPr>
              <w:spacing w:after="0"/>
              <w:rPr>
                <w:sz w:val="1"/>
                <w:szCs w:val="1"/>
                <w:color w:val="auto"/>
              </w:rPr>
            </w:pPr>
          </w:p>
        </w:tc>
      </w:tr>
      <w:tr>
        <w:trPr>
          <w:trHeight w:val="69"/>
        </w:trPr>
        <w:tc>
          <w:tcPr>
            <w:tcW w:w="5520" w:type="dxa"/>
            <w:vAlign w:val="bottom"/>
            <w:shd w:val="clear" w:color="auto" w:fill="E8F4FF"/>
          </w:tcPr>
          <w:p>
            <w:pPr>
              <w:spacing w:after="0"/>
              <w:rPr>
                <w:sz w:val="5"/>
                <w:szCs w:val="5"/>
                <w:color w:val="auto"/>
              </w:rPr>
            </w:pPr>
          </w:p>
        </w:tc>
        <w:tc>
          <w:tcPr>
            <w:tcW w:w="2080" w:type="dxa"/>
            <w:vAlign w:val="bottom"/>
            <w:shd w:val="clear" w:color="auto" w:fill="E8F4FF"/>
          </w:tcPr>
          <w:p>
            <w:pPr>
              <w:spacing w:after="0"/>
              <w:rPr>
                <w:sz w:val="5"/>
                <w:szCs w:val="5"/>
                <w:color w:val="auto"/>
              </w:rPr>
            </w:pPr>
          </w:p>
        </w:tc>
        <w:tc>
          <w:tcPr>
            <w:tcW w:w="160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52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2080" w:type="dxa"/>
            <w:vAlign w:val="bottom"/>
          </w:tcPr>
          <w:p>
            <w:pPr>
              <w:jc w:val="right"/>
              <w:ind w:right="182"/>
              <w:spacing w:after="0"/>
              <w:rPr>
                <w:sz w:val="20"/>
                <w:szCs w:val="20"/>
                <w:color w:val="auto"/>
              </w:rPr>
            </w:pPr>
            <w:r>
              <w:rPr>
                <w:rFonts w:ascii="Arial" w:cs="Arial" w:eastAsia="Arial" w:hAnsi="Arial"/>
                <w:sz w:val="12"/>
                <w:szCs w:val="12"/>
                <w:color w:val="auto"/>
              </w:rPr>
              <w:t>1,800,000</w:t>
            </w:r>
          </w:p>
        </w:tc>
        <w:tc>
          <w:tcPr>
            <w:tcW w:w="1600" w:type="dxa"/>
            <w:vAlign w:val="bottom"/>
          </w:tcPr>
          <w:p>
            <w:pPr>
              <w:jc w:val="right"/>
              <w:ind w:right="183"/>
              <w:spacing w:after="0"/>
              <w:rPr>
                <w:sz w:val="20"/>
                <w:szCs w:val="20"/>
                <w:color w:val="auto"/>
              </w:rPr>
            </w:pPr>
            <w:r>
              <w:rPr>
                <w:rFonts w:ascii="Arial" w:cs="Arial" w:eastAsia="Arial" w:hAnsi="Arial"/>
                <w:sz w:val="12"/>
                <w:szCs w:val="12"/>
                <w:color w:val="auto"/>
              </w:rPr>
              <w:t>172,248</w:t>
            </w:r>
          </w:p>
        </w:tc>
        <w:tc>
          <w:tcPr>
            <w:tcW w:w="0" w:type="dxa"/>
            <w:vAlign w:val="bottom"/>
          </w:tcPr>
          <w:p>
            <w:pPr>
              <w:spacing w:after="0"/>
              <w:rPr>
                <w:sz w:val="1"/>
                <w:szCs w:val="1"/>
                <w:color w:val="auto"/>
              </w:rPr>
            </w:pPr>
          </w:p>
        </w:tc>
      </w:tr>
      <w:tr>
        <w:trPr>
          <w:trHeight w:val="69"/>
        </w:trPr>
        <w:tc>
          <w:tcPr>
            <w:tcW w:w="55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2080" w:type="dxa"/>
            <w:vAlign w:val="bottom"/>
            <w:shd w:val="clear" w:color="auto" w:fill="E8F4FF"/>
          </w:tcPr>
          <w:p>
            <w:pPr>
              <w:jc w:val="right"/>
              <w:ind w:right="182"/>
              <w:spacing w:after="0"/>
              <w:rPr>
                <w:sz w:val="20"/>
                <w:szCs w:val="20"/>
                <w:color w:val="auto"/>
              </w:rPr>
            </w:pPr>
            <w:r>
              <w:rPr>
                <w:rFonts w:ascii="Arial" w:cs="Arial" w:eastAsia="Arial" w:hAnsi="Arial"/>
                <w:sz w:val="12"/>
                <w:szCs w:val="12"/>
                <w:color w:val="auto"/>
              </w:rPr>
              <w:t>3,300,000</w:t>
            </w:r>
          </w:p>
        </w:tc>
        <w:tc>
          <w:tcPr>
            <w:tcW w:w="1600" w:type="dxa"/>
            <w:vAlign w:val="bottom"/>
            <w:shd w:val="clear" w:color="auto" w:fill="E8F4FF"/>
          </w:tcPr>
          <w:p>
            <w:pPr>
              <w:jc w:val="right"/>
              <w:ind w:right="183"/>
              <w:spacing w:after="0"/>
              <w:rPr>
                <w:sz w:val="20"/>
                <w:szCs w:val="20"/>
                <w:color w:val="auto"/>
              </w:rPr>
            </w:pPr>
            <w:r>
              <w:rPr>
                <w:rFonts w:ascii="Arial" w:cs="Arial" w:eastAsia="Arial" w:hAnsi="Arial"/>
                <w:sz w:val="12"/>
                <w:szCs w:val="12"/>
                <w:color w:val="auto"/>
              </w:rPr>
              <w:t>315,789</w:t>
            </w:r>
          </w:p>
        </w:tc>
        <w:tc>
          <w:tcPr>
            <w:tcW w:w="0" w:type="dxa"/>
            <w:vAlign w:val="bottom"/>
          </w:tcPr>
          <w:p>
            <w:pPr>
              <w:spacing w:after="0"/>
              <w:rPr>
                <w:sz w:val="1"/>
                <w:szCs w:val="1"/>
                <w:color w:val="auto"/>
              </w:rPr>
            </w:pPr>
          </w:p>
        </w:tc>
      </w:tr>
      <w:tr>
        <w:trPr>
          <w:trHeight w:val="69"/>
        </w:trPr>
        <w:tc>
          <w:tcPr>
            <w:tcW w:w="5520" w:type="dxa"/>
            <w:vAlign w:val="bottom"/>
            <w:tcBorders>
              <w:bottom w:val="single" w:sz="8" w:color="2393FF"/>
            </w:tcBorders>
            <w:shd w:val="clear" w:color="auto" w:fill="E8F4FF"/>
          </w:tcPr>
          <w:p>
            <w:pPr>
              <w:spacing w:after="0"/>
              <w:rPr>
                <w:sz w:val="5"/>
                <w:szCs w:val="5"/>
                <w:color w:val="auto"/>
              </w:rPr>
            </w:pPr>
          </w:p>
        </w:tc>
        <w:tc>
          <w:tcPr>
            <w:tcW w:w="2080" w:type="dxa"/>
            <w:vAlign w:val="bottom"/>
            <w:tcBorders>
              <w:bottom w:val="single" w:sz="8" w:color="2393FF"/>
            </w:tcBorders>
            <w:shd w:val="clear" w:color="auto" w:fill="E8F4FF"/>
          </w:tcPr>
          <w:p>
            <w:pPr>
              <w:spacing w:after="0"/>
              <w:rPr>
                <w:sz w:val="5"/>
                <w:szCs w:val="5"/>
                <w:color w:val="auto"/>
              </w:rPr>
            </w:pPr>
          </w:p>
        </w:tc>
        <w:tc>
          <w:tcPr>
            <w:tcW w:w="1600" w:type="dxa"/>
            <w:vAlign w:val="bottom"/>
            <w:tcBorders>
              <w:bottom w:val="single" w:sz="8" w:color="2393FF"/>
            </w:tcBorders>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80" w:hanging="353"/>
        <w:spacing w:after="0"/>
        <w:tabs>
          <w:tab w:leader="none" w:pos="1380" w:val="left"/>
        </w:tabs>
        <w:numPr>
          <w:ilvl w:val="0"/>
          <w:numId w:val="73"/>
        </w:numPr>
        <w:rPr>
          <w:rFonts w:ascii="Arial" w:cs="Arial" w:eastAsia="Arial" w:hAnsi="Arial"/>
          <w:sz w:val="11"/>
          <w:szCs w:val="11"/>
          <w:color w:val="333333"/>
        </w:rPr>
      </w:pPr>
      <w:r>
        <w:rPr>
          <w:rFonts w:ascii="Arial" w:cs="Arial" w:eastAsia="Arial" w:hAnsi="Arial"/>
          <w:sz w:val="11"/>
          <w:szCs w:val="11"/>
          <w:color w:val="333333"/>
        </w:rPr>
        <w:t>Share numbers were calculated based on the average closing sales price per share of our common stock over the 10 trading days preceding and not including the date of grant.</w:t>
      </w:r>
    </w:p>
    <w:p>
      <w:pPr>
        <w:spacing w:after="0" w:line="110" w:lineRule="exact"/>
        <w:rPr>
          <w:rFonts w:ascii="Arial" w:cs="Arial" w:eastAsia="Arial" w:hAnsi="Arial"/>
          <w:sz w:val="11"/>
          <w:szCs w:val="11"/>
          <w:color w:val="333333"/>
        </w:rPr>
      </w:pPr>
    </w:p>
    <w:p>
      <w:pPr>
        <w:ind w:left="4280"/>
        <w:spacing w:after="0"/>
        <w:rPr>
          <w:rFonts w:ascii="Arial" w:cs="Arial" w:eastAsia="Arial" w:hAnsi="Arial"/>
          <w:sz w:val="11"/>
          <w:szCs w:val="11"/>
          <w:color w:val="333333"/>
        </w:rPr>
      </w:pPr>
      <w:r>
        <w:rPr>
          <w:rFonts w:ascii="Arial" w:cs="Arial" w:eastAsia="Arial" w:hAnsi="Arial"/>
          <w:sz w:val="11"/>
          <w:szCs w:val="11"/>
          <w:b w:val="1"/>
          <w:bCs w:val="1"/>
          <w:color w:val="auto"/>
        </w:rPr>
        <w:t>Flywire Corporation       34      2026 Proxy Statement</w:t>
      </w:r>
    </w:p>
    <w:p>
      <w:pPr>
        <w:sectPr>
          <w:pgSz w:w="11900" w:h="16838" w:orient="portrait"/>
          <w:cols w:equalWidth="0" w:num="1">
            <w:col w:w="10220"/>
          </w:cols>
          <w:pgMar w:left="320" w:top="425" w:right="1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40"/>
        <w:spacing w:after="0" w:line="242" w:lineRule="auto"/>
        <w:rPr>
          <w:sz w:val="20"/>
          <w:szCs w:val="20"/>
          <w:color w:val="auto"/>
        </w:rPr>
      </w:pPr>
      <w:r>
        <w:rPr>
          <w:rFonts w:ascii="Arial" w:cs="Arial" w:eastAsia="Arial" w:hAnsi="Arial"/>
          <w:sz w:val="14"/>
          <w:szCs w:val="14"/>
          <w:color w:val="auto"/>
        </w:rPr>
        <w:t>As part of its ongoing review of compensation practices, we implemented a one-year post-vesting holding requirement for equity awards granted to executive officers beginning in Fiscal 2026. This requires Flywire executive officers to hold the after-tax shares issued upon vesting and settlement of RSUs for one year from the vesting date, or if sooner until termination of employment, death or a change in control. We believe this enhancement further aligns executives with long-term Company performance and long-term stockholder value creation.</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SEVERANCE AND CHANGE IN CONTROL BENEFITS</w:t>
      </w:r>
    </w:p>
    <w:p>
      <w:pPr>
        <w:spacing w:after="0" w:line="143" w:lineRule="exact"/>
        <w:rPr>
          <w:sz w:val="20"/>
          <w:szCs w:val="20"/>
          <w:color w:val="auto"/>
        </w:rPr>
      </w:pPr>
    </w:p>
    <w:p>
      <w:pPr>
        <w:ind w:left="1020"/>
        <w:spacing w:after="0" w:line="238" w:lineRule="auto"/>
        <w:rPr>
          <w:sz w:val="20"/>
          <w:szCs w:val="20"/>
          <w:color w:val="auto"/>
        </w:rPr>
      </w:pPr>
      <w:r>
        <w:rPr>
          <w:rFonts w:ascii="Arial" w:cs="Arial" w:eastAsia="Arial" w:hAnsi="Arial"/>
          <w:sz w:val="14"/>
          <w:szCs w:val="14"/>
          <w:color w:val="auto"/>
        </w:rPr>
        <w:t>Severance and change in control benefits promote stability and continuity of our senior management team in the event of a potential change in control and/or an involuntary termination. Our People &amp; Compensation Committee believes these provisions help to align our NEOs’ interests appropriately with those of our stockholders in these scenarios. In August 2025, our People &amp; Compensation Committee determined to amend and restate the existing employment agreements previously entered into with our NEOs to revise the severance benefits that each of our NEOs would be entitled to in the context of a termination without Cause or a Resignation for Good Reason (as such terms are defined in the employment agreements). Except for such severance benefits, the amended and restated employment agreements continue to provide for at-will employment and may be terminated at any time. See Fiscal 2025 Potential Payments Upon Termination or Change in Control below for a description of the new severance benefits and the acceleration benefits, if any, that Messrs. Massaro, Orgel, Pitigoi, Butterfield and King are entitled to pursuant to their amended and restated employment agreements and equity award agreements.</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OTHER BENEFITS AND PERQUISITES</w:t>
      </w:r>
    </w:p>
    <w:p>
      <w:pPr>
        <w:spacing w:after="0" w:line="143" w:lineRule="exact"/>
        <w:rPr>
          <w:sz w:val="20"/>
          <w:szCs w:val="20"/>
          <w:color w:val="auto"/>
        </w:rPr>
      </w:pPr>
    </w:p>
    <w:p>
      <w:pPr>
        <w:ind w:left="1020" w:right="160"/>
        <w:spacing w:after="0" w:line="296" w:lineRule="auto"/>
        <w:rPr>
          <w:sz w:val="20"/>
          <w:szCs w:val="20"/>
          <w:color w:val="auto"/>
        </w:rPr>
      </w:pPr>
      <w:r>
        <w:rPr>
          <w:rFonts w:ascii="Arial" w:cs="Arial" w:eastAsia="Arial" w:hAnsi="Arial"/>
          <w:sz w:val="12"/>
          <w:szCs w:val="12"/>
          <w:color w:val="auto"/>
        </w:rPr>
        <w:t>Our NEOs are eligible to participate in all of our employee benefit plans (including our employee stock purchase plan, administered by our People &amp; Compensation Committee), such as medical, dental, vision, group life and disability insurance and our 401(k) plan, in each case, on the same basis as our other employees. We are responsible for the administrative costs of the 401(k) plan. We match 50% of every dollar contributed up to 6% of salary, subject to certain limitations under the Internal Revenue Code. There were no special benefits or perquisites provided to any NEO in Fiscal 2025.</w:t>
      </w:r>
    </w:p>
    <w:p>
      <w:pPr>
        <w:spacing w:after="0" w:line="7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35 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80"/>
          </w:cols>
          <w:pgMar w:left="320" w:top="425" w:right="1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RECOUPMENT AND RELATED POLICIES</w:t>
      </w:r>
    </w:p>
    <w:p>
      <w:pPr>
        <w:spacing w:after="0" w:line="143" w:lineRule="exact"/>
        <w:rPr>
          <w:sz w:val="20"/>
          <w:szCs w:val="20"/>
          <w:color w:val="auto"/>
        </w:rPr>
      </w:pPr>
    </w:p>
    <w:p>
      <w:pPr>
        <w:ind w:left="1020" w:right="40"/>
        <w:spacing w:after="0" w:line="237" w:lineRule="auto"/>
        <w:rPr>
          <w:sz w:val="20"/>
          <w:szCs w:val="20"/>
          <w:color w:val="auto"/>
        </w:rPr>
      </w:pPr>
      <w:r>
        <w:rPr>
          <w:rFonts w:ascii="Arial" w:cs="Arial" w:eastAsia="Arial" w:hAnsi="Arial"/>
          <w:sz w:val="14"/>
          <w:szCs w:val="14"/>
          <w:color w:val="auto"/>
        </w:rPr>
        <w:t>We have a comprehensive Code of Conduct and ensure that our employees comply with this policy. In accordance with this policy, we investigate all reported instances of questionable or unethical behavior, and where improper behavior is found to have occurred, we take appropriate remedial action up to and including termination. If the results of an investigation establish that one of our employees, officers or directors has committed fraud or engaged in some other improper act that has the result of causing our financial statements for any period to be restated or that otherwise adversely affects those financial statements, our Board has discretion to take immediate and appropriate disciplinary action against the individual, including but not limited to termination. In addition, our Board has discretion to pursue whatever legal remedies are available to prosecute the individual to the fullest extent of the law and to claw back or recoup any amounts he or she inappropriately received as a result of the improper action or inaction, including but not limited to any annual or long-term incentives that he or she received but would not have received had such act not been taken. In July 2023, we adopted a Policy for the Recovery of Erroneously Awarded Compensation applicable to our executive officers (as defined for purposes of Section 16 of the Securities Exchange Act of 1934, as amended) covering our annual and long-term incentive award plans and arrangements consistent with the requirements of the Exchange Act Rule 10D-1 and Nasdaq Rule 5608.</w:t>
      </w:r>
    </w:p>
    <w:p>
      <w:pPr>
        <w:spacing w:after="0" w:line="13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EQUITY AWARDS GRANT POLICY</w:t>
      </w:r>
    </w:p>
    <w:p>
      <w:pPr>
        <w:spacing w:after="0" w:line="155" w:lineRule="exact"/>
        <w:rPr>
          <w:sz w:val="20"/>
          <w:szCs w:val="20"/>
          <w:color w:val="auto"/>
        </w:rPr>
      </w:pPr>
    </w:p>
    <w:p>
      <w:pPr>
        <w:ind w:left="1020"/>
        <w:spacing w:after="0" w:line="239" w:lineRule="auto"/>
        <w:rPr>
          <w:sz w:val="20"/>
          <w:szCs w:val="20"/>
          <w:color w:val="auto"/>
        </w:rPr>
      </w:pPr>
      <w:r>
        <w:rPr>
          <w:rFonts w:ascii="Arial" w:cs="Arial" w:eastAsia="Arial" w:hAnsi="Arial"/>
          <w:sz w:val="14"/>
          <w:szCs w:val="14"/>
          <w:color w:val="auto"/>
        </w:rPr>
        <w:t>Except with respect to certain elements of non-employee director compensation, we do not have any program, plan, or obligation that requires us to grant equity awards on specified dates, although historically we have granted such awards to our existing executive officers and employees at least annually and to newly-hired employees upon or shortly after the commencement of their employment. Equity awards may occasionally be granted following a significant change in job responsibilities or to meet other special retention or performance objectives. We do not consider material non-public information when determining the timing or terms of equity awards, nor do we time disclosures of material non-public information for the purpose of affecting the value of executive compensation with such awards.</w:t>
      </w:r>
    </w:p>
    <w:p>
      <w:pPr>
        <w:spacing w:after="0" w:line="131" w:lineRule="exact"/>
        <w:rPr>
          <w:sz w:val="20"/>
          <w:szCs w:val="20"/>
          <w:color w:val="auto"/>
        </w:rPr>
      </w:pPr>
    </w:p>
    <w:p>
      <w:pPr>
        <w:ind w:left="1020" w:right="180"/>
        <w:spacing w:after="0" w:line="296" w:lineRule="auto"/>
        <w:rPr>
          <w:sz w:val="20"/>
          <w:szCs w:val="20"/>
          <w:color w:val="auto"/>
        </w:rPr>
      </w:pPr>
      <w:r>
        <w:rPr>
          <w:rFonts w:ascii="Arial" w:cs="Arial" w:eastAsia="Arial" w:hAnsi="Arial"/>
          <w:sz w:val="12"/>
          <w:szCs w:val="12"/>
          <w:color w:val="auto"/>
        </w:rPr>
        <w:t>Authority to grant equity awards to our employees rests with our People &amp; Compensation Committee, although our People &amp; Compensation Committee has delegated authority to our Chief Executive Officer and President and Chief Operating Officer to grant equity awards to non-executive employees within prescribed limits set by our People &amp; Compensation Committee. With respect to our executive officers, except for our Chief Executive Officer, recommendations for equity awards are made by our Chief Executive Officer and reviewed and approved by our People &amp; Compensation Committee.</w:t>
      </w:r>
    </w:p>
    <w:p>
      <w:pPr>
        <w:spacing w:after="0" w:line="97" w:lineRule="exact"/>
        <w:rPr>
          <w:sz w:val="20"/>
          <w:szCs w:val="20"/>
          <w:color w:val="auto"/>
        </w:rPr>
      </w:pPr>
    </w:p>
    <w:p>
      <w:pPr>
        <w:ind w:left="1020" w:right="40"/>
        <w:spacing w:after="0" w:line="307" w:lineRule="auto"/>
        <w:rPr>
          <w:sz w:val="20"/>
          <w:szCs w:val="20"/>
          <w:color w:val="auto"/>
        </w:rPr>
      </w:pPr>
      <w:r>
        <w:rPr>
          <w:rFonts w:ascii="Arial" w:cs="Arial" w:eastAsia="Arial" w:hAnsi="Arial"/>
          <w:sz w:val="12"/>
          <w:szCs w:val="12"/>
          <w:color w:val="auto"/>
        </w:rPr>
        <w:t>Under the terms of our 2021 Equity Incentive Plan, pursuant to which new equity awards are granted, the exercise price of any option (which we have not granted since 2022)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RESTRICTIONS ON TRADING</w:t>
      </w:r>
    </w:p>
    <w:p>
      <w:pPr>
        <w:spacing w:after="0" w:line="143" w:lineRule="exact"/>
        <w:rPr>
          <w:sz w:val="20"/>
          <w:szCs w:val="20"/>
          <w:color w:val="auto"/>
        </w:rPr>
      </w:pPr>
    </w:p>
    <w:p>
      <w:pPr>
        <w:ind w:left="1020" w:right="60"/>
        <w:spacing w:after="0" w:line="281" w:lineRule="auto"/>
        <w:rPr>
          <w:sz w:val="20"/>
          <w:szCs w:val="20"/>
          <w:color w:val="auto"/>
        </w:rPr>
      </w:pPr>
      <w:r>
        <w:rPr>
          <w:rFonts w:ascii="Arial" w:cs="Arial" w:eastAsia="Arial" w:hAnsi="Arial"/>
          <w:sz w:val="12"/>
          <w:szCs w:val="12"/>
          <w:color w:val="auto"/>
        </w:rPr>
        <w:t>Our Insider Trading Policy, as amended and restated in the first quarter of 2023 (ITP), prohibits our employees (including officers) and directors, or any of their designees, from purchasing financial instruments (including prepaid variable forward contracts, equity swaps, collars, and exchange funds), or otherwise engaging in transactions, that hedge or offset, or are designed to hedge or offset, any decrease in the market value of our equity securities</w:t>
      </w:r>
    </w:p>
    <w:p>
      <w:pPr>
        <w:spacing w:after="0" w:line="1" w:lineRule="exact"/>
        <w:rPr>
          <w:sz w:val="20"/>
          <w:szCs w:val="20"/>
          <w:color w:val="auto"/>
        </w:rPr>
      </w:pPr>
    </w:p>
    <w:p>
      <w:pPr>
        <w:ind w:left="1020" w:right="120" w:firstLine="7"/>
        <w:spacing w:after="0" w:line="237" w:lineRule="auto"/>
        <w:tabs>
          <w:tab w:leader="none" w:pos="1178" w:val="left"/>
        </w:tabs>
        <w:numPr>
          <w:ilvl w:val="0"/>
          <w:numId w:val="74"/>
        </w:numPr>
        <w:rPr>
          <w:rFonts w:ascii="Arial" w:cs="Arial" w:eastAsia="Arial" w:hAnsi="Arial"/>
          <w:sz w:val="14"/>
          <w:szCs w:val="14"/>
          <w:color w:val="auto"/>
        </w:rPr>
      </w:pPr>
      <w:r>
        <w:rPr>
          <w:rFonts w:ascii="Arial" w:cs="Arial" w:eastAsia="Arial" w:hAnsi="Arial"/>
          <w:sz w:val="14"/>
          <w:szCs w:val="14"/>
          <w:color w:val="auto"/>
        </w:rPr>
        <w:t>granted to the employee or director as part of the compensation of the employee or director; or (ii) held, directly or indirectly, by the employee or director. Although our employees (including officers) and directors may pledge our equity securities held by them with the prior clearance of one of our compliance officers, such persons are responsible for ensuring that foreclosure on any such account would not violate our ITP and should be aware that sales of such securities could have securities law implications.</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RULE 10B5-1 SALES PLANS</w:t>
      </w:r>
    </w:p>
    <w:p>
      <w:pPr>
        <w:spacing w:after="0" w:line="143" w:lineRule="exact"/>
        <w:rPr>
          <w:sz w:val="20"/>
          <w:szCs w:val="20"/>
          <w:color w:val="auto"/>
        </w:rPr>
      </w:pPr>
    </w:p>
    <w:p>
      <w:pPr>
        <w:ind w:left="1020"/>
        <w:spacing w:after="0" w:line="239" w:lineRule="auto"/>
        <w:rPr>
          <w:sz w:val="20"/>
          <w:szCs w:val="20"/>
          <w:color w:val="auto"/>
        </w:rPr>
      </w:pPr>
      <w:r>
        <w:rPr>
          <w:rFonts w:ascii="Arial" w:cs="Arial" w:eastAsia="Arial" w:hAnsi="Arial"/>
          <w:sz w:val="14"/>
          <w:szCs w:val="14"/>
          <w:color w:val="auto"/>
        </w:rPr>
        <w:t>Our ITP permits our directors, officers and employees to enter into trading plans complying with Rule 10b5-1 under the Exchange Act at a time when such individuals are not in possession of material non-public information. Certain of our executive officers and directors have adopted, and may in the future adopt, Rule 10b5-1 trading plans. Generally, under these trading plans, the individual relinquishes control over the transactions once the trading plan is put into place. Accordingly, sales under these plans may occur at any time during the term of the trading plan, including possibly before, simultaneously with, or immediately after significant events involving our company, and at other times, including during a closed trading window, when a director, officer, or employee may be prohibited from trading otherwise.</w:t>
      </w:r>
    </w:p>
    <w:p>
      <w:pPr>
        <w:spacing w:after="0" w:line="104"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36 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STOCK OWNERSHIP GUIDELINES AND HOLDING REQUIREMENTS</w:t>
      </w:r>
    </w:p>
    <w:p>
      <w:pPr>
        <w:spacing w:after="0" w:line="143" w:lineRule="exact"/>
        <w:rPr>
          <w:sz w:val="20"/>
          <w:szCs w:val="20"/>
          <w:color w:val="auto"/>
        </w:rPr>
      </w:pPr>
    </w:p>
    <w:p>
      <w:pPr>
        <w:ind w:left="1020"/>
        <w:spacing w:after="0" w:line="237" w:lineRule="auto"/>
        <w:rPr>
          <w:sz w:val="20"/>
          <w:szCs w:val="20"/>
          <w:color w:val="auto"/>
        </w:rPr>
      </w:pPr>
      <w:r>
        <w:rPr>
          <w:rFonts w:ascii="Arial" w:cs="Arial" w:eastAsia="Arial" w:hAnsi="Arial"/>
          <w:sz w:val="14"/>
          <w:szCs w:val="14"/>
          <w:color w:val="auto"/>
        </w:rPr>
        <w:t>To better align the interests of our executive officers with those of our stockholders, in July 2023 we adopted a stock ownership policy that requires our executive officers (as defined for purposes of Section 16 of the Securities Exchange Act of 1934, as amended) to hold specified amounts of Flywire stock or other qualifying equity securities. Qualifying equity securities include Flywire common stock, including both vested and unvested RSU awards that do not have an exercise or purchase price, and shares issuable under equity awards that vest based on the achievement of performance goals after such conditions have been satisfied. Qualifying equity securities include shares held by the executive or any immediate family members living in his or her household. Under the policy, ownership guidelines are five times (5x) annual base salary for our Chief Executive Officer and two times (2x) base salary for all other executive officers. Compliance with this policy is measured at the end of our fiscal year and is measured based on the closing price of the common stock on the applicable measurement date (or the last prior trading day if the measurement date is not a trading day). Each executive officer has five years from the later of (i) the effective date of the policy (July 2023) or (ii) the first date the individual became subject to the guidelines as an executive officer. If at that point an executive officer does not hold the required amount, then they are required to maintain 50% of any shares acquired through stock option exercises and vesting of RSUs until such time as the threshold is met. At the end of 2025, each executive officer had satisfied the stock ownership guidelines.</w:t>
      </w:r>
    </w:p>
    <w:p>
      <w:pPr>
        <w:spacing w:after="0" w:line="132" w:lineRule="exact"/>
        <w:rPr>
          <w:sz w:val="20"/>
          <w:szCs w:val="20"/>
          <w:color w:val="auto"/>
        </w:rPr>
      </w:pPr>
    </w:p>
    <w:p>
      <w:pPr>
        <w:ind w:left="1020" w:right="40"/>
        <w:spacing w:after="0" w:line="237" w:lineRule="auto"/>
        <w:rPr>
          <w:sz w:val="20"/>
          <w:szCs w:val="20"/>
          <w:color w:val="auto"/>
        </w:rPr>
      </w:pPr>
      <w:r>
        <w:rPr>
          <w:rFonts w:ascii="Arial" w:cs="Arial" w:eastAsia="Arial" w:hAnsi="Arial"/>
          <w:sz w:val="14"/>
          <w:szCs w:val="14"/>
          <w:color w:val="auto"/>
        </w:rPr>
        <w:t>In November 2024 we adopted a stock ownership policy that requires the non-employee members of our Board of Directors to hold specified amounts of Flywire stock or other qualifying equity securities. Qualifying equity securities include Flywire common stock, including both vested and unvested RSU awards that do not have an exercise or purchase price, and shares issuable under equity awards that vest based on the achievement of performance goals after such conditions have been satisfied. Qualifying equity securities include shares held by the executive or any immediate family members living in his or her household. Under the policy, ownership guidelines are five times (5x) the annual cash retainer for Board service, excluding any additional retainers for committee service or for service as lead independent director or Chairman of the Board. This requirement applies to such directors irrespective of their acceptance of any such payment. Compliance with this policy is measured at the end of our fiscal year and is measured based on the closing price of the common stock on the applicable measurement date (or the last prior trading day if the measurement date is not a trading day). Each non-employee director has three years from the later of (i) the effective date of the policy (November 2024) or (ii) the first date the individual became subject to the guidelines as a non-employee director. If at that point a director does not hold the required amount, then they are required to maintain 50% of any shares acquired through stock option exercises and vesting of RSUs until such time as the threshold is met. At the end of 2025, each director had satisfied the stock ownership guidelines.</w:t>
      </w:r>
    </w:p>
    <w:p>
      <w:pPr>
        <w:spacing w:after="0" w:line="143" w:lineRule="exact"/>
        <w:rPr>
          <w:sz w:val="20"/>
          <w:szCs w:val="20"/>
          <w:color w:val="auto"/>
        </w:rPr>
      </w:pPr>
    </w:p>
    <w:p>
      <w:pPr>
        <w:ind w:left="1020" w:right="20"/>
        <w:spacing w:after="0" w:line="242" w:lineRule="auto"/>
        <w:rPr>
          <w:sz w:val="20"/>
          <w:szCs w:val="20"/>
          <w:color w:val="auto"/>
        </w:rPr>
      </w:pPr>
      <w:r>
        <w:rPr>
          <w:rFonts w:ascii="Arial" w:cs="Arial" w:eastAsia="Arial" w:hAnsi="Arial"/>
          <w:sz w:val="14"/>
          <w:szCs w:val="14"/>
          <w:color w:val="auto"/>
        </w:rPr>
        <w:t>In December 2025, we implemented a one-year post-vesting holding requirement for equity awards granted to executive officers beginning in Fiscal 2026. This requires Flywire executive officers to hold the after-tax shares issued upon vesting and settlement of RSUs for one year from the vesting date, or if sooner until termination of employment, death or a change in control. Flywire believes this enhancement further aligns executives with long-term Company performance and long-term stockholder value creation.</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PEOPLE &amp; COMPENSATION COMMITTEE REPORT*</w:t>
      </w:r>
    </w:p>
    <w:p>
      <w:pPr>
        <w:spacing w:after="0" w:line="143" w:lineRule="exact"/>
        <w:rPr>
          <w:sz w:val="20"/>
          <w:szCs w:val="20"/>
          <w:color w:val="auto"/>
        </w:rPr>
      </w:pPr>
    </w:p>
    <w:p>
      <w:pPr>
        <w:jc w:val="both"/>
        <w:ind w:left="1020" w:right="340"/>
        <w:spacing w:after="0" w:line="246" w:lineRule="auto"/>
        <w:rPr>
          <w:sz w:val="20"/>
          <w:szCs w:val="20"/>
          <w:color w:val="auto"/>
        </w:rPr>
      </w:pPr>
      <w:r>
        <w:rPr>
          <w:rFonts w:ascii="Arial" w:cs="Arial" w:eastAsia="Arial" w:hAnsi="Arial"/>
          <w:sz w:val="14"/>
          <w:szCs w:val="14"/>
          <w:color w:val="auto"/>
        </w:rPr>
        <w:t>Our People &amp; Compensation Committee has reviewed and discussed the Compensation Discussion and Analysis with management. Based on such review and discussion, our People &amp; Compensation Committee has recommended to our Board of Directors that the Compensation Discussion and Analysis be incorporated by reference into our 2025 Annual Report and included in this proxy statement.</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Respectfully submitted by the members of the People &amp; Compensation Committee of our Board of Directors:</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Diane Offereins, Chair</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Matthew Harris</w:t>
      </w:r>
    </w:p>
    <w:p>
      <w:pPr>
        <w:ind w:left="1020"/>
        <w:spacing w:after="0"/>
        <w:rPr>
          <w:sz w:val="20"/>
          <w:szCs w:val="20"/>
          <w:color w:val="auto"/>
        </w:rPr>
      </w:pPr>
      <w:r>
        <w:rPr>
          <w:rFonts w:ascii="Arial" w:cs="Arial" w:eastAsia="Arial" w:hAnsi="Arial"/>
          <w:sz w:val="14"/>
          <w:szCs w:val="14"/>
          <w:b w:val="1"/>
          <w:bCs w:val="1"/>
          <w:color w:val="auto"/>
        </w:rPr>
        <w:t>Gretchen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676910</wp:posOffset>
            </wp:positionV>
            <wp:extent cx="64389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20" w:hanging="353"/>
        <w:spacing w:after="0" w:line="245" w:lineRule="auto"/>
        <w:tabs>
          <w:tab w:leader="none" w:pos="1380" w:val="left"/>
        </w:tabs>
        <w:numPr>
          <w:ilvl w:val="0"/>
          <w:numId w:val="75"/>
        </w:numPr>
        <w:rPr>
          <w:rFonts w:ascii="Arial" w:cs="Arial" w:eastAsia="Arial" w:hAnsi="Arial"/>
          <w:sz w:val="11"/>
          <w:szCs w:val="11"/>
          <w:b w:val="1"/>
          <w:bCs w:val="1"/>
          <w:color w:val="333333"/>
        </w:rPr>
      </w:pPr>
      <w:r>
        <w:rPr>
          <w:rFonts w:ascii="Arial" w:cs="Arial" w:eastAsia="Arial" w:hAnsi="Arial"/>
          <w:sz w:val="11"/>
          <w:szCs w:val="11"/>
          <w:b w:val="1"/>
          <w:bCs w:val="1"/>
          <w:color w:val="333333"/>
        </w:rPr>
        <w:t>The material in this report is not soliciting material, is not deemed filed with the SEC and is not to be incorporated by reference in any filing of Flywire Corporation under the Securities Act or the Exchange Act, whether made before or after the date hereof and irrespective of any general incorporation language in any such filing.</w:t>
      </w:r>
    </w:p>
    <w:p>
      <w:pPr>
        <w:spacing w:after="0" w:line="91"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37 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FISCAL 2025 SUMMARY COMPENSATION TABLE</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table shows information regarding the compensation awarded to, earned by, or paid to our NEOs for the years indicated:</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restart"/>
          </w:tcPr>
          <w:p>
            <w:pPr>
              <w:jc w:val="right"/>
              <w:ind w:right="41"/>
              <w:spacing w:after="0"/>
              <w:rPr>
                <w:sz w:val="20"/>
                <w:szCs w:val="20"/>
                <w:color w:val="auto"/>
              </w:rPr>
            </w:pPr>
            <w:r>
              <w:rPr>
                <w:rFonts w:ascii="Arial" w:cs="Arial" w:eastAsia="Arial" w:hAnsi="Arial"/>
                <w:sz w:val="11"/>
                <w:szCs w:val="11"/>
                <w:b w:val="1"/>
                <w:bCs w:val="1"/>
                <w:color w:val="auto"/>
              </w:rPr>
              <w:t>STOCK</w:t>
            </w:r>
          </w:p>
        </w:tc>
        <w:tc>
          <w:tcPr>
            <w:tcW w:w="660" w:type="dxa"/>
            <w:vAlign w:val="bottom"/>
            <w:vMerge w:val="restart"/>
          </w:tcPr>
          <w:p>
            <w:pPr>
              <w:jc w:val="right"/>
              <w:ind w:right="41"/>
              <w:spacing w:after="0"/>
              <w:rPr>
                <w:sz w:val="20"/>
                <w:szCs w:val="20"/>
                <w:color w:val="auto"/>
              </w:rPr>
            </w:pPr>
            <w:r>
              <w:rPr>
                <w:rFonts w:ascii="Arial" w:cs="Arial" w:eastAsia="Arial" w:hAnsi="Arial"/>
                <w:sz w:val="11"/>
                <w:szCs w:val="11"/>
                <w:b w:val="1"/>
                <w:bCs w:val="1"/>
                <w:color w:val="auto"/>
              </w:rPr>
              <w:t>OPTION</w:t>
            </w:r>
          </w:p>
        </w:tc>
        <w:tc>
          <w:tcPr>
            <w:tcW w:w="1160" w:type="dxa"/>
            <w:vAlign w:val="bottom"/>
          </w:tcPr>
          <w:p>
            <w:pPr>
              <w:jc w:val="right"/>
              <w:ind w:right="142"/>
              <w:spacing w:after="0"/>
              <w:rPr>
                <w:sz w:val="20"/>
                <w:szCs w:val="20"/>
                <w:color w:val="auto"/>
              </w:rPr>
            </w:pPr>
            <w:r>
              <w:rPr>
                <w:rFonts w:ascii="Arial" w:cs="Arial" w:eastAsia="Arial" w:hAnsi="Arial"/>
                <w:sz w:val="11"/>
                <w:szCs w:val="11"/>
                <w:b w:val="1"/>
                <w:bCs w:val="1"/>
                <w:color w:val="auto"/>
              </w:rPr>
              <w:t>NON-EQUITY</w:t>
            </w:r>
          </w:p>
        </w:tc>
        <w:tc>
          <w:tcPr>
            <w:tcW w:w="1140" w:type="dxa"/>
            <w:vAlign w:val="bottom"/>
            <w:vMerge w:val="restart"/>
          </w:tcPr>
          <w:p>
            <w:pPr>
              <w:jc w:val="right"/>
              <w:ind w:right="121"/>
              <w:spacing w:after="0"/>
              <w:rPr>
                <w:sz w:val="20"/>
                <w:szCs w:val="20"/>
                <w:color w:val="auto"/>
              </w:rPr>
            </w:pPr>
            <w:r>
              <w:rPr>
                <w:rFonts w:ascii="Arial" w:cs="Arial" w:eastAsia="Arial" w:hAnsi="Arial"/>
                <w:sz w:val="11"/>
                <w:szCs w:val="11"/>
                <w:b w:val="1"/>
                <w:bCs w:val="1"/>
                <w:color w:val="auto"/>
              </w:rPr>
              <w:t>ALL OTHER</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60" w:type="dxa"/>
            <w:vAlign w:val="bottom"/>
          </w:tcPr>
          <w:p>
            <w:pPr>
              <w:jc w:val="right"/>
              <w:ind w:right="142"/>
              <w:spacing w:after="0" w:line="113" w:lineRule="exact"/>
              <w:rPr>
                <w:sz w:val="20"/>
                <w:szCs w:val="20"/>
                <w:color w:val="auto"/>
              </w:rPr>
            </w:pPr>
            <w:r>
              <w:rPr>
                <w:rFonts w:ascii="Arial" w:cs="Arial" w:eastAsia="Arial" w:hAnsi="Arial"/>
                <w:sz w:val="11"/>
                <w:szCs w:val="11"/>
                <w:b w:val="1"/>
                <w:bCs w:val="1"/>
                <w:color w:val="auto"/>
              </w:rPr>
              <w:t>INCENTIVE PLAN</w:t>
            </w:r>
          </w:p>
        </w:tc>
        <w:tc>
          <w:tcPr>
            <w:tcW w:w="11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420" w:type="dxa"/>
            <w:vAlign w:val="bottom"/>
            <w:vMerge w:val="restart"/>
          </w:tcPr>
          <w:p>
            <w:pPr>
              <w:spacing w:after="0"/>
              <w:rPr>
                <w:sz w:val="20"/>
                <w:szCs w:val="20"/>
                <w:color w:val="auto"/>
              </w:rPr>
            </w:pPr>
            <w:r>
              <w:rPr>
                <w:rFonts w:ascii="Arial" w:cs="Arial" w:eastAsia="Arial" w:hAnsi="Arial"/>
                <w:sz w:val="11"/>
                <w:szCs w:val="11"/>
                <w:b w:val="1"/>
                <w:bCs w:val="1"/>
                <w:color w:val="auto"/>
              </w:rPr>
              <w:t>NAME AND PRINCIPAL POSITION</w:t>
            </w:r>
          </w:p>
        </w:tc>
        <w:tc>
          <w:tcPr>
            <w:tcW w:w="580" w:type="dxa"/>
            <w:vAlign w:val="bottom"/>
            <w:vMerge w:val="restart"/>
          </w:tcPr>
          <w:p>
            <w:pPr>
              <w:jc w:val="right"/>
              <w:ind w:right="60"/>
              <w:spacing w:after="0"/>
              <w:rPr>
                <w:sz w:val="20"/>
                <w:szCs w:val="20"/>
                <w:color w:val="auto"/>
              </w:rPr>
            </w:pPr>
            <w:r>
              <w:rPr>
                <w:rFonts w:ascii="Arial" w:cs="Arial" w:eastAsia="Arial" w:hAnsi="Arial"/>
                <w:sz w:val="11"/>
                <w:szCs w:val="11"/>
                <w:b w:val="1"/>
                <w:bCs w:val="1"/>
                <w:color w:val="auto"/>
              </w:rPr>
              <w:t>YEAR</w:t>
            </w:r>
          </w:p>
        </w:tc>
        <w:tc>
          <w:tcPr>
            <w:tcW w:w="660" w:type="dxa"/>
            <w:vAlign w:val="bottom"/>
          </w:tcPr>
          <w:p>
            <w:pPr>
              <w:jc w:val="right"/>
              <w:ind w:right="61"/>
              <w:spacing w:after="0" w:line="116" w:lineRule="exact"/>
              <w:rPr>
                <w:sz w:val="20"/>
                <w:szCs w:val="20"/>
                <w:color w:val="auto"/>
              </w:rPr>
            </w:pPr>
            <w:r>
              <w:rPr>
                <w:rFonts w:ascii="Arial" w:cs="Arial" w:eastAsia="Arial" w:hAnsi="Arial"/>
                <w:sz w:val="11"/>
                <w:szCs w:val="11"/>
                <w:b w:val="1"/>
                <w:bCs w:val="1"/>
                <w:color w:val="auto"/>
              </w:rPr>
              <w:t>SALARY</w:t>
            </w:r>
          </w:p>
        </w:tc>
        <w:tc>
          <w:tcPr>
            <w:tcW w:w="820" w:type="dxa"/>
            <w:vAlign w:val="bottom"/>
          </w:tcPr>
          <w:p>
            <w:pPr>
              <w:jc w:val="right"/>
              <w:ind w:right="41"/>
              <w:spacing w:after="0" w:line="116" w:lineRule="exact"/>
              <w:rPr>
                <w:sz w:val="20"/>
                <w:szCs w:val="20"/>
                <w:color w:val="auto"/>
              </w:rPr>
            </w:pPr>
            <w:r>
              <w:rPr>
                <w:rFonts w:ascii="Arial" w:cs="Arial" w:eastAsia="Arial" w:hAnsi="Arial"/>
                <w:sz w:val="11"/>
                <w:szCs w:val="11"/>
                <w:b w:val="1"/>
                <w:bCs w:val="1"/>
                <w:color w:val="auto"/>
              </w:rPr>
              <w:t>AWARDS</w:t>
            </w:r>
          </w:p>
        </w:tc>
        <w:tc>
          <w:tcPr>
            <w:tcW w:w="660" w:type="dxa"/>
            <w:vAlign w:val="bottom"/>
          </w:tcPr>
          <w:p>
            <w:pPr>
              <w:jc w:val="right"/>
              <w:ind w:right="41"/>
              <w:spacing w:after="0" w:line="116" w:lineRule="exact"/>
              <w:rPr>
                <w:sz w:val="20"/>
                <w:szCs w:val="20"/>
                <w:color w:val="auto"/>
              </w:rPr>
            </w:pPr>
            <w:r>
              <w:rPr>
                <w:rFonts w:ascii="Arial" w:cs="Arial" w:eastAsia="Arial" w:hAnsi="Arial"/>
                <w:sz w:val="11"/>
                <w:szCs w:val="11"/>
                <w:b w:val="1"/>
                <w:bCs w:val="1"/>
                <w:color w:val="auto"/>
              </w:rPr>
              <w:t>AWARDS</w:t>
            </w:r>
          </w:p>
        </w:tc>
        <w:tc>
          <w:tcPr>
            <w:tcW w:w="1160" w:type="dxa"/>
            <w:vAlign w:val="bottom"/>
          </w:tcPr>
          <w:p>
            <w:pPr>
              <w:jc w:val="right"/>
              <w:ind w:right="142"/>
              <w:spacing w:after="0" w:line="116" w:lineRule="exact"/>
              <w:rPr>
                <w:sz w:val="20"/>
                <w:szCs w:val="20"/>
                <w:color w:val="auto"/>
              </w:rPr>
            </w:pPr>
            <w:r>
              <w:rPr>
                <w:rFonts w:ascii="Arial" w:cs="Arial" w:eastAsia="Arial" w:hAnsi="Arial"/>
                <w:sz w:val="11"/>
                <w:szCs w:val="11"/>
                <w:b w:val="1"/>
                <w:bCs w:val="1"/>
                <w:color w:val="auto"/>
              </w:rPr>
              <w:t>COMPENSATION</w:t>
            </w:r>
          </w:p>
        </w:tc>
        <w:tc>
          <w:tcPr>
            <w:tcW w:w="1140" w:type="dxa"/>
            <w:vAlign w:val="bottom"/>
          </w:tcPr>
          <w:p>
            <w:pPr>
              <w:jc w:val="right"/>
              <w:ind w:right="121"/>
              <w:spacing w:after="0" w:line="116" w:lineRule="exact"/>
              <w:rPr>
                <w:sz w:val="20"/>
                <w:szCs w:val="20"/>
                <w:color w:val="auto"/>
              </w:rPr>
            </w:pPr>
            <w:r>
              <w:rPr>
                <w:rFonts w:ascii="Arial" w:cs="Arial" w:eastAsia="Arial" w:hAnsi="Arial"/>
                <w:sz w:val="11"/>
                <w:szCs w:val="11"/>
                <w:b w:val="1"/>
                <w:bCs w:val="1"/>
                <w:color w:val="auto"/>
              </w:rPr>
              <w:t>COMPENSATION</w:t>
            </w:r>
          </w:p>
        </w:tc>
        <w:tc>
          <w:tcPr>
            <w:tcW w:w="760" w:type="dxa"/>
            <w:vAlign w:val="bottom"/>
          </w:tcPr>
          <w:p>
            <w:pPr>
              <w:jc w:val="right"/>
              <w:ind w:right="21"/>
              <w:spacing w:after="0" w:line="116"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80"/>
        </w:trPr>
        <w:tc>
          <w:tcPr>
            <w:tcW w:w="3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660" w:type="dxa"/>
            <w:vAlign w:val="bottom"/>
          </w:tcPr>
          <w:p>
            <w:pPr>
              <w:jc w:val="right"/>
              <w:ind w:right="61"/>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3"/>
                <w:szCs w:val="13"/>
                <w:b w:val="1"/>
                <w:bCs w:val="1"/>
                <w:color w:val="auto"/>
                <w:vertAlign w:val="superscript"/>
              </w:rPr>
              <w:t>(1)</w:t>
            </w:r>
          </w:p>
        </w:tc>
        <w:tc>
          <w:tcPr>
            <w:tcW w:w="660" w:type="dxa"/>
            <w:vAlign w:val="bottom"/>
          </w:tcPr>
          <w:p>
            <w:pPr>
              <w:jc w:val="right"/>
              <w:ind w:right="41"/>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3"/>
                <w:szCs w:val="13"/>
                <w:b w:val="1"/>
                <w:bCs w:val="1"/>
                <w:color w:val="auto"/>
                <w:vertAlign w:val="superscript"/>
              </w:rPr>
              <w:t>(1)</w:t>
            </w:r>
          </w:p>
        </w:tc>
        <w:tc>
          <w:tcPr>
            <w:tcW w:w="1160" w:type="dxa"/>
            <w:vAlign w:val="bottom"/>
          </w:tcPr>
          <w:p>
            <w:pPr>
              <w:jc w:val="right"/>
              <w:ind w:right="142"/>
              <w:spacing w:after="0"/>
              <w:rPr>
                <w:sz w:val="20"/>
                <w:szCs w:val="20"/>
                <w:color w:val="auto"/>
              </w:rPr>
            </w:pPr>
            <w:r>
              <w:rPr>
                <w:rFonts w:ascii="Arial" w:cs="Arial" w:eastAsia="Arial" w:hAnsi="Arial"/>
                <w:sz w:val="11"/>
                <w:szCs w:val="11"/>
                <w:b w:val="1"/>
                <w:bCs w:val="1"/>
                <w:color w:val="auto"/>
              </w:rPr>
              <w:t>($)</w:t>
            </w:r>
          </w:p>
        </w:tc>
        <w:tc>
          <w:tcPr>
            <w:tcW w:w="1140" w:type="dxa"/>
            <w:vAlign w:val="bottom"/>
          </w:tcPr>
          <w:p>
            <w:pPr>
              <w:jc w:val="right"/>
              <w:ind w:right="121"/>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ind w:right="21"/>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5"/>
        </w:trPr>
        <w:tc>
          <w:tcPr>
            <w:tcW w:w="3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420" w:type="dxa"/>
            <w:vAlign w:val="bottom"/>
            <w:tcBorders>
              <w:bottom w:val="single" w:sz="8" w:color="CCEEFF"/>
            </w:tcBorders>
            <w:vMerge w:val="restart"/>
            <w:shd w:val="clear" w:color="auto" w:fill="CCEE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5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2025</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450,000</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7,732,055</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610,000</w:t>
            </w:r>
            <w:r>
              <w:rPr>
                <w:rFonts w:ascii="Arial" w:cs="Arial" w:eastAsia="Arial" w:hAnsi="Arial"/>
                <w:sz w:val="14"/>
                <w:szCs w:val="14"/>
                <w:color w:val="auto"/>
                <w:vertAlign w:val="superscript"/>
              </w:rPr>
              <w:t>(2)</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rPr>
              <w:t>11,440</w:t>
            </w:r>
            <w:r>
              <w:rPr>
                <w:rFonts w:ascii="Arial" w:cs="Arial" w:eastAsia="Arial" w:hAnsi="Arial"/>
                <w:sz w:val="14"/>
                <w:szCs w:val="14"/>
                <w:color w:val="auto"/>
                <w:vertAlign w:val="superscript"/>
              </w:rPr>
              <w:t>(3)</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8,803,495</w:t>
            </w:r>
          </w:p>
        </w:tc>
        <w:tc>
          <w:tcPr>
            <w:tcW w:w="0" w:type="dxa"/>
            <w:vAlign w:val="bottom"/>
          </w:tcPr>
          <w:p>
            <w:pPr>
              <w:spacing w:after="0"/>
              <w:rPr>
                <w:sz w:val="1"/>
                <w:szCs w:val="1"/>
                <w:color w:val="auto"/>
              </w:rPr>
            </w:pPr>
          </w:p>
        </w:tc>
      </w:tr>
      <w:tr>
        <w:trPr>
          <w:trHeight w:val="48"/>
        </w:trPr>
        <w:tc>
          <w:tcPr>
            <w:tcW w:w="3420" w:type="dxa"/>
            <w:vAlign w:val="bottom"/>
            <w:vMerge w:val="continue"/>
            <w:shd w:val="clear" w:color="auto" w:fill="CCEEFF"/>
          </w:tcPr>
          <w:p>
            <w:pPr>
              <w:spacing w:after="0"/>
              <w:rPr>
                <w:sz w:val="4"/>
                <w:szCs w:val="4"/>
                <w:color w:val="auto"/>
              </w:rPr>
            </w:pPr>
          </w:p>
        </w:tc>
        <w:tc>
          <w:tcPr>
            <w:tcW w:w="580" w:type="dxa"/>
            <w:vAlign w:val="bottom"/>
            <w:vMerge w:val="restart"/>
          </w:tcPr>
          <w:p>
            <w:pPr>
              <w:jc w:val="right"/>
              <w:ind w:right="60"/>
              <w:spacing w:after="0"/>
              <w:rPr>
                <w:sz w:val="20"/>
                <w:szCs w:val="20"/>
                <w:color w:val="auto"/>
              </w:rPr>
            </w:pPr>
            <w:r>
              <w:rPr>
                <w:rFonts w:ascii="Arial" w:cs="Arial" w:eastAsia="Arial" w:hAnsi="Arial"/>
                <w:sz w:val="12"/>
                <w:szCs w:val="12"/>
                <w:color w:val="auto"/>
              </w:rPr>
              <w:t>2024</w:t>
            </w:r>
          </w:p>
        </w:tc>
        <w:tc>
          <w:tcPr>
            <w:tcW w:w="660" w:type="dxa"/>
            <w:vAlign w:val="bottom"/>
            <w:vMerge w:val="restart"/>
          </w:tcPr>
          <w:p>
            <w:pPr>
              <w:jc w:val="right"/>
              <w:ind w:right="61"/>
              <w:spacing w:after="0"/>
              <w:rPr>
                <w:sz w:val="20"/>
                <w:szCs w:val="20"/>
                <w:color w:val="auto"/>
              </w:rPr>
            </w:pPr>
            <w:r>
              <w:rPr>
                <w:rFonts w:ascii="Arial" w:cs="Arial" w:eastAsia="Arial" w:hAnsi="Arial"/>
                <w:sz w:val="12"/>
                <w:szCs w:val="12"/>
                <w:color w:val="auto"/>
              </w:rPr>
              <w:t>450,000</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9,295,443</w:t>
            </w:r>
          </w:p>
        </w:tc>
        <w:tc>
          <w:tcPr>
            <w:tcW w:w="6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vMerge w:val="restart"/>
          </w:tcPr>
          <w:p>
            <w:pPr>
              <w:jc w:val="right"/>
              <w:ind w:right="142"/>
              <w:spacing w:after="0"/>
              <w:rPr>
                <w:sz w:val="20"/>
                <w:szCs w:val="20"/>
                <w:color w:val="auto"/>
              </w:rPr>
            </w:pPr>
            <w:r>
              <w:rPr>
                <w:rFonts w:ascii="Arial" w:cs="Arial" w:eastAsia="Arial" w:hAnsi="Arial"/>
                <w:sz w:val="12"/>
                <w:szCs w:val="12"/>
                <w:color w:val="auto"/>
              </w:rPr>
              <w:t>241,776</w:t>
            </w:r>
          </w:p>
        </w:tc>
        <w:tc>
          <w:tcPr>
            <w:tcW w:w="1140" w:type="dxa"/>
            <w:vAlign w:val="bottom"/>
            <w:vMerge w:val="restart"/>
          </w:tcPr>
          <w:p>
            <w:pPr>
              <w:jc w:val="right"/>
              <w:ind w:right="121"/>
              <w:spacing w:after="0"/>
              <w:rPr>
                <w:sz w:val="20"/>
                <w:szCs w:val="20"/>
                <w:color w:val="auto"/>
              </w:rPr>
            </w:pPr>
            <w:r>
              <w:rPr>
                <w:rFonts w:ascii="Arial" w:cs="Arial" w:eastAsia="Arial" w:hAnsi="Arial"/>
                <w:sz w:val="12"/>
                <w:szCs w:val="12"/>
                <w:color w:val="auto"/>
              </w:rPr>
              <w:t>11,598</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9,998,817</w:t>
            </w:r>
          </w:p>
        </w:tc>
        <w:tc>
          <w:tcPr>
            <w:tcW w:w="0" w:type="dxa"/>
            <w:vAlign w:val="bottom"/>
          </w:tcPr>
          <w:p>
            <w:pPr>
              <w:spacing w:after="0"/>
              <w:rPr>
                <w:sz w:val="1"/>
                <w:szCs w:val="1"/>
                <w:color w:val="auto"/>
              </w:rPr>
            </w:pPr>
          </w:p>
        </w:tc>
      </w:tr>
      <w:tr>
        <w:trPr>
          <w:trHeight w:val="110"/>
        </w:trPr>
        <w:tc>
          <w:tcPr>
            <w:tcW w:w="342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Chief Executive Officer</w:t>
            </w:r>
          </w:p>
        </w:tc>
        <w:tc>
          <w:tcPr>
            <w:tcW w:w="5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3420" w:type="dxa"/>
            <w:vAlign w:val="bottom"/>
            <w:vMerge w:val="continue"/>
            <w:shd w:val="clear" w:color="auto" w:fill="CCEEFF"/>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2023</w:t>
            </w: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450,000</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7,628,574</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585,000</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11,076</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8,674,650</w:t>
            </w:r>
          </w:p>
        </w:tc>
        <w:tc>
          <w:tcPr>
            <w:tcW w:w="0" w:type="dxa"/>
            <w:vAlign w:val="bottom"/>
          </w:tcPr>
          <w:p>
            <w:pPr>
              <w:spacing w:after="0"/>
              <w:rPr>
                <w:sz w:val="1"/>
                <w:szCs w:val="1"/>
                <w:color w:val="auto"/>
              </w:rPr>
            </w:pPr>
          </w:p>
        </w:tc>
      </w:tr>
      <w:tr>
        <w:trPr>
          <w:trHeight w:val="67"/>
        </w:trPr>
        <w:tc>
          <w:tcPr>
            <w:tcW w:w="3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20" w:type="dxa"/>
            <w:vAlign w:val="bottom"/>
            <w:vMerge w:val="restart"/>
          </w:tcPr>
          <w:p>
            <w:pPr>
              <w:ind w:left="60"/>
              <w:spacing w:after="0"/>
              <w:rPr>
                <w:sz w:val="20"/>
                <w:szCs w:val="20"/>
                <w:color w:val="auto"/>
              </w:rPr>
            </w:pPr>
            <w:r>
              <w:rPr>
                <w:rFonts w:ascii="Arial" w:cs="Arial" w:eastAsia="Arial" w:hAnsi="Arial"/>
                <w:sz w:val="12"/>
                <w:szCs w:val="12"/>
                <w:b w:val="1"/>
                <w:bCs w:val="1"/>
                <w:color w:val="2393FF"/>
              </w:rPr>
              <w:t>Robert Orgel</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2025</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350,000</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4,494,258</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42"/>
              <w:spacing w:after="0"/>
              <w:rPr>
                <w:sz w:val="20"/>
                <w:szCs w:val="20"/>
                <w:color w:val="auto"/>
              </w:rPr>
            </w:pPr>
            <w:r>
              <w:rPr>
                <w:rFonts w:ascii="Arial" w:cs="Arial" w:eastAsia="Arial" w:hAnsi="Arial"/>
                <w:sz w:val="12"/>
                <w:szCs w:val="12"/>
                <w:color w:val="auto"/>
              </w:rPr>
              <w:t>366,000</w:t>
            </w:r>
            <w:r>
              <w:rPr>
                <w:rFonts w:ascii="Arial" w:cs="Arial" w:eastAsia="Arial" w:hAnsi="Arial"/>
                <w:sz w:val="14"/>
                <w:szCs w:val="14"/>
                <w:color w:val="auto"/>
                <w:vertAlign w:val="superscript"/>
              </w:rPr>
              <w:t>(2)</w:t>
            </w: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7,188</w:t>
            </w:r>
            <w:r>
              <w:rPr>
                <w:rFonts w:ascii="Arial" w:cs="Arial" w:eastAsia="Arial" w:hAnsi="Arial"/>
                <w:sz w:val="14"/>
                <w:szCs w:val="14"/>
                <w:color w:val="auto"/>
                <w:vertAlign w:val="superscript"/>
              </w:rPr>
              <w:t>(4)</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5,217,446</w:t>
            </w:r>
          </w:p>
        </w:tc>
        <w:tc>
          <w:tcPr>
            <w:tcW w:w="0" w:type="dxa"/>
            <w:vAlign w:val="bottom"/>
          </w:tcPr>
          <w:p>
            <w:pPr>
              <w:spacing w:after="0"/>
              <w:rPr>
                <w:sz w:val="1"/>
                <w:szCs w:val="1"/>
                <w:color w:val="auto"/>
              </w:rPr>
            </w:pPr>
          </w:p>
        </w:tc>
      </w:tr>
      <w:tr>
        <w:trPr>
          <w:trHeight w:val="33"/>
        </w:trPr>
        <w:tc>
          <w:tcPr>
            <w:tcW w:w="34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3420" w:type="dxa"/>
            <w:vAlign w:val="bottom"/>
            <w:vMerge w:val="continue"/>
          </w:tcPr>
          <w:p>
            <w:pPr>
              <w:spacing w:after="0"/>
              <w:rPr>
                <w:sz w:val="4"/>
                <w:szCs w:val="4"/>
                <w:color w:val="auto"/>
              </w:rPr>
            </w:pPr>
          </w:p>
        </w:tc>
        <w:tc>
          <w:tcPr>
            <w:tcW w:w="58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2024</w:t>
            </w:r>
          </w:p>
        </w:tc>
        <w:tc>
          <w:tcPr>
            <w:tcW w:w="66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350,000</w:t>
            </w:r>
          </w:p>
        </w:tc>
        <w:tc>
          <w:tcPr>
            <w:tcW w:w="8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5,402,978</w:t>
            </w:r>
          </w:p>
        </w:tc>
        <w:tc>
          <w:tcPr>
            <w:tcW w:w="66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120,888</w:t>
            </w:r>
          </w:p>
        </w:tc>
        <w:tc>
          <w:tcPr>
            <w:tcW w:w="114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7,748</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5,881,614</w:t>
            </w:r>
          </w:p>
        </w:tc>
        <w:tc>
          <w:tcPr>
            <w:tcW w:w="0" w:type="dxa"/>
            <w:vAlign w:val="bottom"/>
          </w:tcPr>
          <w:p>
            <w:pPr>
              <w:spacing w:after="0"/>
              <w:rPr>
                <w:sz w:val="1"/>
                <w:szCs w:val="1"/>
                <w:color w:val="auto"/>
              </w:rPr>
            </w:pPr>
          </w:p>
        </w:tc>
      </w:tr>
      <w:tr>
        <w:trPr>
          <w:trHeight w:val="110"/>
        </w:trPr>
        <w:tc>
          <w:tcPr>
            <w:tcW w:w="3420" w:type="dxa"/>
            <w:vAlign w:val="bottom"/>
            <w:vMerge w:val="restart"/>
          </w:tcPr>
          <w:p>
            <w:pPr>
              <w:ind w:left="60"/>
              <w:spacing w:after="0"/>
              <w:rPr>
                <w:sz w:val="20"/>
                <w:szCs w:val="20"/>
                <w:color w:val="auto"/>
              </w:rPr>
            </w:pPr>
            <w:r>
              <w:rPr>
                <w:rFonts w:ascii="Arial" w:cs="Arial" w:eastAsia="Arial" w:hAnsi="Arial"/>
                <w:sz w:val="12"/>
                <w:szCs w:val="12"/>
                <w:color w:val="auto"/>
              </w:rPr>
              <w:t>President and Chief Operating Officer</w:t>
            </w:r>
          </w:p>
        </w:tc>
        <w:tc>
          <w:tcPr>
            <w:tcW w:w="5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420" w:type="dxa"/>
            <w:vAlign w:val="bottom"/>
            <w:vMerge w:val="continue"/>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42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2023</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350,000</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4,024,716</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293,000</w:t>
            </w: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8,799</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4,676,515</w:t>
            </w:r>
          </w:p>
        </w:tc>
        <w:tc>
          <w:tcPr>
            <w:tcW w:w="0" w:type="dxa"/>
            <w:vAlign w:val="bottom"/>
          </w:tcPr>
          <w:p>
            <w:pPr>
              <w:spacing w:after="0"/>
              <w:rPr>
                <w:sz w:val="1"/>
                <w:szCs w:val="1"/>
                <w:color w:val="auto"/>
              </w:rPr>
            </w:pPr>
          </w:p>
        </w:tc>
      </w:tr>
      <w:tr>
        <w:trPr>
          <w:trHeight w:val="112"/>
        </w:trPr>
        <w:tc>
          <w:tcPr>
            <w:tcW w:w="3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42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2393FF"/>
              </w:rPr>
              <w:t>Cosmin Pitigoi</w:t>
            </w:r>
            <w:r>
              <w:rPr>
                <w:rFonts w:ascii="Arial" w:cs="Arial" w:eastAsia="Arial" w:hAnsi="Arial"/>
                <w:sz w:val="14"/>
                <w:szCs w:val="14"/>
                <w:b w:val="1"/>
                <w:bCs w:val="1"/>
                <w:color w:val="2393FF"/>
                <w:vertAlign w:val="superscript"/>
              </w:rPr>
              <w:t>(5)</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2025</w:t>
            </w: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410,000</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3,382,773</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366,000</w:t>
            </w:r>
            <w:r>
              <w:rPr>
                <w:rFonts w:ascii="Arial" w:cs="Arial" w:eastAsia="Arial" w:hAnsi="Arial"/>
                <w:sz w:val="14"/>
                <w:szCs w:val="14"/>
                <w:color w:val="auto"/>
                <w:vertAlign w:val="superscript"/>
              </w:rPr>
              <w:t>(2)</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3,937</w:t>
            </w:r>
            <w:r>
              <w:rPr>
                <w:rFonts w:ascii="Arial" w:cs="Arial" w:eastAsia="Arial" w:hAnsi="Arial"/>
                <w:sz w:val="14"/>
                <w:szCs w:val="14"/>
                <w:color w:val="auto"/>
                <w:vertAlign w:val="superscript"/>
              </w:rPr>
              <w:t>(6)</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4,162,710</w:t>
            </w:r>
          </w:p>
        </w:tc>
        <w:tc>
          <w:tcPr>
            <w:tcW w:w="0" w:type="dxa"/>
            <w:vAlign w:val="bottom"/>
          </w:tcPr>
          <w:p>
            <w:pPr>
              <w:spacing w:after="0"/>
              <w:rPr>
                <w:sz w:val="1"/>
                <w:szCs w:val="1"/>
                <w:color w:val="auto"/>
              </w:rPr>
            </w:pPr>
          </w:p>
        </w:tc>
      </w:tr>
      <w:tr>
        <w:trPr>
          <w:trHeight w:val="64"/>
        </w:trPr>
        <w:tc>
          <w:tcPr>
            <w:tcW w:w="342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Chief Financial Officer</w:t>
            </w:r>
          </w:p>
        </w:tc>
        <w:tc>
          <w:tcPr>
            <w:tcW w:w="5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420" w:type="dxa"/>
            <w:vAlign w:val="bottom"/>
            <w:vMerge w:val="continue"/>
            <w:shd w:val="clear" w:color="auto" w:fill="CCEEFF"/>
          </w:tcPr>
          <w:p>
            <w:pPr>
              <w:spacing w:after="0"/>
              <w:rPr>
                <w:sz w:val="8"/>
                <w:szCs w:val="8"/>
                <w:color w:val="auto"/>
              </w:rPr>
            </w:pPr>
          </w:p>
        </w:tc>
        <w:tc>
          <w:tcPr>
            <w:tcW w:w="580" w:type="dxa"/>
            <w:vAlign w:val="bottom"/>
            <w:vMerge w:val="restart"/>
          </w:tcPr>
          <w:p>
            <w:pPr>
              <w:jc w:val="right"/>
              <w:ind w:right="60"/>
              <w:spacing w:after="0"/>
              <w:rPr>
                <w:sz w:val="20"/>
                <w:szCs w:val="20"/>
                <w:color w:val="auto"/>
              </w:rPr>
            </w:pPr>
            <w:r>
              <w:rPr>
                <w:rFonts w:ascii="Arial" w:cs="Arial" w:eastAsia="Arial" w:hAnsi="Arial"/>
                <w:sz w:val="12"/>
                <w:szCs w:val="12"/>
                <w:color w:val="auto"/>
              </w:rPr>
              <w:t>2024</w:t>
            </w:r>
          </w:p>
        </w:tc>
        <w:tc>
          <w:tcPr>
            <w:tcW w:w="660" w:type="dxa"/>
            <w:vAlign w:val="bottom"/>
            <w:vMerge w:val="restart"/>
          </w:tcPr>
          <w:p>
            <w:pPr>
              <w:jc w:val="right"/>
              <w:ind w:right="61"/>
              <w:spacing w:after="0"/>
              <w:rPr>
                <w:sz w:val="20"/>
                <w:szCs w:val="20"/>
                <w:color w:val="auto"/>
              </w:rPr>
            </w:pPr>
            <w:r>
              <w:rPr>
                <w:rFonts w:ascii="Arial" w:cs="Arial" w:eastAsia="Arial" w:hAnsi="Arial"/>
                <w:sz w:val="12"/>
                <w:szCs w:val="12"/>
                <w:color w:val="auto"/>
              </w:rPr>
              <w:t>340,353</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10,747,871</w:t>
            </w:r>
          </w:p>
        </w:tc>
        <w:tc>
          <w:tcPr>
            <w:tcW w:w="6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vMerge w:val="restart"/>
          </w:tcPr>
          <w:p>
            <w:pPr>
              <w:jc w:val="right"/>
              <w:ind w:right="142"/>
              <w:spacing w:after="0"/>
              <w:rPr>
                <w:sz w:val="20"/>
                <w:szCs w:val="20"/>
                <w:color w:val="auto"/>
              </w:rPr>
            </w:pPr>
            <w:r>
              <w:rPr>
                <w:rFonts w:ascii="Arial" w:cs="Arial" w:eastAsia="Arial" w:hAnsi="Arial"/>
                <w:sz w:val="12"/>
                <w:szCs w:val="12"/>
                <w:color w:val="auto"/>
              </w:rPr>
              <w:t>133,805</w:t>
            </w:r>
          </w:p>
        </w:tc>
        <w:tc>
          <w:tcPr>
            <w:tcW w:w="1140" w:type="dxa"/>
            <w:vAlign w:val="bottom"/>
            <w:vMerge w:val="restart"/>
          </w:tcPr>
          <w:p>
            <w:pPr>
              <w:jc w:val="right"/>
              <w:ind w:right="121"/>
              <w:spacing w:after="0"/>
              <w:rPr>
                <w:sz w:val="20"/>
                <w:szCs w:val="20"/>
                <w:color w:val="auto"/>
              </w:rPr>
            </w:pPr>
            <w:r>
              <w:rPr>
                <w:rFonts w:ascii="Arial" w:cs="Arial" w:eastAsia="Arial" w:hAnsi="Arial"/>
                <w:sz w:val="12"/>
                <w:szCs w:val="12"/>
                <w:color w:val="auto"/>
              </w:rPr>
              <w:t>55,103</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11,277,132</w:t>
            </w:r>
          </w:p>
        </w:tc>
        <w:tc>
          <w:tcPr>
            <w:tcW w:w="0" w:type="dxa"/>
            <w:vAlign w:val="bottom"/>
          </w:tcPr>
          <w:p>
            <w:pPr>
              <w:spacing w:after="0"/>
              <w:rPr>
                <w:sz w:val="1"/>
                <w:szCs w:val="1"/>
                <w:color w:val="auto"/>
              </w:rPr>
            </w:pPr>
          </w:p>
        </w:tc>
      </w:tr>
      <w:tr>
        <w:trPr>
          <w:trHeight w:val="64"/>
        </w:trPr>
        <w:tc>
          <w:tcPr>
            <w:tcW w:w="3420" w:type="dxa"/>
            <w:vAlign w:val="bottom"/>
            <w:shd w:val="clear" w:color="auto" w:fill="CCEEFF"/>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3420" w:type="dxa"/>
            <w:vAlign w:val="bottom"/>
            <w:shd w:val="clear" w:color="auto" w:fill="CCEEFF"/>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3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3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b w:val="1"/>
                <w:bCs w:val="1"/>
                <w:color w:val="2393FF"/>
              </w:rPr>
              <w:t>Peter Butterfield</w:t>
            </w:r>
          </w:p>
        </w:tc>
        <w:tc>
          <w:tcPr>
            <w:tcW w:w="580" w:type="dxa"/>
            <w:vAlign w:val="bottom"/>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2025</w:t>
            </w:r>
          </w:p>
        </w:tc>
        <w:tc>
          <w:tcPr>
            <w:tcW w:w="660" w:type="dxa"/>
            <w:vAlign w:val="bottom"/>
            <w:shd w:val="clear" w:color="auto" w:fill="CCEEFF"/>
          </w:tcPr>
          <w:p>
            <w:pPr>
              <w:jc w:val="right"/>
              <w:ind w:right="61"/>
              <w:spacing w:after="0" w:line="128" w:lineRule="exact"/>
              <w:rPr>
                <w:sz w:val="20"/>
                <w:szCs w:val="20"/>
                <w:color w:val="auto"/>
              </w:rPr>
            </w:pPr>
            <w:r>
              <w:rPr>
                <w:rFonts w:ascii="Arial" w:cs="Arial" w:eastAsia="Arial" w:hAnsi="Arial"/>
                <w:sz w:val="12"/>
                <w:szCs w:val="12"/>
                <w:color w:val="auto"/>
              </w:rPr>
              <w:t>310,000</w:t>
            </w:r>
          </w:p>
        </w:tc>
        <w:tc>
          <w:tcPr>
            <w:tcW w:w="820" w:type="dxa"/>
            <w:vAlign w:val="bottom"/>
            <w:shd w:val="clear" w:color="auto" w:fill="CCEEFF"/>
          </w:tcPr>
          <w:p>
            <w:pPr>
              <w:jc w:val="right"/>
              <w:ind w:right="41"/>
              <w:spacing w:after="0" w:line="128" w:lineRule="exact"/>
              <w:rPr>
                <w:sz w:val="20"/>
                <w:szCs w:val="20"/>
                <w:color w:val="auto"/>
              </w:rPr>
            </w:pPr>
            <w:r>
              <w:rPr>
                <w:rFonts w:ascii="Arial" w:cs="Arial" w:eastAsia="Arial" w:hAnsi="Arial"/>
                <w:sz w:val="12"/>
                <w:szCs w:val="12"/>
                <w:color w:val="auto"/>
              </w:rPr>
              <w:t>1,739,705</w:t>
            </w:r>
          </w:p>
        </w:tc>
        <w:tc>
          <w:tcPr>
            <w:tcW w:w="660" w:type="dxa"/>
            <w:vAlign w:val="bottom"/>
            <w:shd w:val="clear" w:color="auto" w:fill="CCEEFF"/>
          </w:tcPr>
          <w:p>
            <w:pPr>
              <w:jc w:val="right"/>
              <w:ind w:right="41"/>
              <w:spacing w:after="0" w:line="128"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42"/>
              <w:spacing w:after="0" w:line="127" w:lineRule="exact"/>
              <w:rPr>
                <w:sz w:val="20"/>
                <w:szCs w:val="20"/>
                <w:color w:val="auto"/>
              </w:rPr>
            </w:pPr>
            <w:r>
              <w:rPr>
                <w:rFonts w:ascii="Arial" w:cs="Arial" w:eastAsia="Arial" w:hAnsi="Arial"/>
                <w:sz w:val="12"/>
                <w:szCs w:val="12"/>
                <w:color w:val="auto"/>
              </w:rPr>
              <w:t>244,000</w:t>
            </w:r>
            <w:r>
              <w:rPr>
                <w:rFonts w:ascii="Arial" w:cs="Arial" w:eastAsia="Arial" w:hAnsi="Arial"/>
                <w:sz w:val="14"/>
                <w:szCs w:val="14"/>
                <w:color w:val="auto"/>
                <w:vertAlign w:val="superscript"/>
              </w:rPr>
              <w:t>(2)</w:t>
            </w:r>
          </w:p>
        </w:tc>
        <w:tc>
          <w:tcPr>
            <w:tcW w:w="1140" w:type="dxa"/>
            <w:vAlign w:val="bottom"/>
            <w:shd w:val="clear" w:color="auto" w:fill="CCEEFF"/>
          </w:tcPr>
          <w:p>
            <w:pPr>
              <w:jc w:val="right"/>
              <w:ind w:right="41"/>
              <w:spacing w:after="0" w:line="127" w:lineRule="exact"/>
              <w:rPr>
                <w:sz w:val="20"/>
                <w:szCs w:val="20"/>
                <w:color w:val="auto"/>
              </w:rPr>
            </w:pPr>
            <w:r>
              <w:rPr>
                <w:rFonts w:ascii="Arial" w:cs="Arial" w:eastAsia="Arial" w:hAnsi="Arial"/>
                <w:sz w:val="12"/>
                <w:szCs w:val="12"/>
                <w:color w:val="auto"/>
              </w:rPr>
              <w:t>10,674</w:t>
            </w:r>
            <w:r>
              <w:rPr>
                <w:rFonts w:ascii="Arial" w:cs="Arial" w:eastAsia="Arial" w:hAnsi="Arial"/>
                <w:sz w:val="14"/>
                <w:szCs w:val="14"/>
                <w:color w:val="auto"/>
                <w:vertAlign w:val="superscript"/>
              </w:rPr>
              <w:t>(7)</w:t>
            </w:r>
          </w:p>
        </w:tc>
        <w:tc>
          <w:tcPr>
            <w:tcW w:w="760" w:type="dxa"/>
            <w:vAlign w:val="bottom"/>
            <w:shd w:val="clear" w:color="auto" w:fill="CCEEFF"/>
          </w:tcPr>
          <w:p>
            <w:pPr>
              <w:jc w:val="right"/>
              <w:ind w:right="21"/>
              <w:spacing w:after="0" w:line="128" w:lineRule="exact"/>
              <w:rPr>
                <w:sz w:val="20"/>
                <w:szCs w:val="20"/>
                <w:color w:val="auto"/>
              </w:rPr>
            </w:pPr>
            <w:r>
              <w:rPr>
                <w:rFonts w:ascii="Arial" w:cs="Arial" w:eastAsia="Arial" w:hAnsi="Arial"/>
                <w:sz w:val="12"/>
                <w:szCs w:val="12"/>
                <w:color w:val="auto"/>
              </w:rPr>
              <w:t>2,304,379</w:t>
            </w:r>
          </w:p>
        </w:tc>
        <w:tc>
          <w:tcPr>
            <w:tcW w:w="0" w:type="dxa"/>
            <w:vAlign w:val="bottom"/>
          </w:tcPr>
          <w:p>
            <w:pPr>
              <w:spacing w:after="0"/>
              <w:rPr>
                <w:sz w:val="1"/>
                <w:szCs w:val="1"/>
                <w:color w:val="auto"/>
              </w:rPr>
            </w:pPr>
          </w:p>
        </w:tc>
      </w:tr>
      <w:tr>
        <w:trPr>
          <w:trHeight w:val="98"/>
        </w:trPr>
        <w:tc>
          <w:tcPr>
            <w:tcW w:w="342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General Counsel and Chief Compliance Officer</w:t>
            </w:r>
          </w:p>
        </w:tc>
        <w:tc>
          <w:tcPr>
            <w:tcW w:w="5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420" w:type="dxa"/>
            <w:vAlign w:val="bottom"/>
            <w:vMerge w:val="continue"/>
            <w:shd w:val="clear" w:color="auto" w:fill="CCEEFF"/>
          </w:tcPr>
          <w:p>
            <w:pPr>
              <w:spacing w:after="0"/>
              <w:rPr>
                <w:sz w:val="5"/>
                <w:szCs w:val="5"/>
                <w:color w:val="auto"/>
              </w:rPr>
            </w:pPr>
          </w:p>
        </w:tc>
        <w:tc>
          <w:tcPr>
            <w:tcW w:w="580" w:type="dxa"/>
            <w:vAlign w:val="bottom"/>
            <w:vMerge w:val="restart"/>
          </w:tcPr>
          <w:p>
            <w:pPr>
              <w:jc w:val="right"/>
              <w:ind w:right="60"/>
              <w:spacing w:after="0"/>
              <w:rPr>
                <w:sz w:val="20"/>
                <w:szCs w:val="20"/>
                <w:color w:val="auto"/>
              </w:rPr>
            </w:pPr>
            <w:r>
              <w:rPr>
                <w:rFonts w:ascii="Arial" w:cs="Arial" w:eastAsia="Arial" w:hAnsi="Arial"/>
                <w:sz w:val="12"/>
                <w:szCs w:val="12"/>
                <w:color w:val="auto"/>
              </w:rPr>
              <w:t>2024</w:t>
            </w:r>
          </w:p>
        </w:tc>
        <w:tc>
          <w:tcPr>
            <w:tcW w:w="660" w:type="dxa"/>
            <w:vAlign w:val="bottom"/>
            <w:vMerge w:val="restart"/>
          </w:tcPr>
          <w:p>
            <w:pPr>
              <w:jc w:val="right"/>
              <w:ind w:right="61"/>
              <w:spacing w:after="0"/>
              <w:rPr>
                <w:sz w:val="20"/>
                <w:szCs w:val="20"/>
                <w:color w:val="auto"/>
              </w:rPr>
            </w:pPr>
            <w:r>
              <w:rPr>
                <w:rFonts w:ascii="Arial" w:cs="Arial" w:eastAsia="Arial" w:hAnsi="Arial"/>
                <w:sz w:val="12"/>
                <w:szCs w:val="12"/>
                <w:color w:val="auto"/>
              </w:rPr>
              <w:t>310,000</w:t>
            </w:r>
          </w:p>
        </w:tc>
        <w:tc>
          <w:tcPr>
            <w:tcW w:w="820" w:type="dxa"/>
            <w:vAlign w:val="bottom"/>
            <w:vMerge w:val="restart"/>
          </w:tcPr>
          <w:p>
            <w:pPr>
              <w:jc w:val="right"/>
              <w:ind w:right="41"/>
              <w:spacing w:after="0"/>
              <w:rPr>
                <w:sz w:val="20"/>
                <w:szCs w:val="20"/>
                <w:color w:val="auto"/>
              </w:rPr>
            </w:pPr>
            <w:r>
              <w:rPr>
                <w:rFonts w:ascii="Arial" w:cs="Arial" w:eastAsia="Arial" w:hAnsi="Arial"/>
                <w:sz w:val="12"/>
                <w:szCs w:val="12"/>
                <w:color w:val="auto"/>
              </w:rPr>
              <w:t>2,091,473</w:t>
            </w:r>
          </w:p>
        </w:tc>
        <w:tc>
          <w:tcPr>
            <w:tcW w:w="6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vMerge w:val="restart"/>
          </w:tcPr>
          <w:p>
            <w:pPr>
              <w:jc w:val="right"/>
              <w:ind w:right="142"/>
              <w:spacing w:after="0"/>
              <w:rPr>
                <w:sz w:val="20"/>
                <w:szCs w:val="20"/>
                <w:color w:val="auto"/>
              </w:rPr>
            </w:pPr>
            <w:r>
              <w:rPr>
                <w:rFonts w:ascii="Arial" w:cs="Arial" w:eastAsia="Arial" w:hAnsi="Arial"/>
                <w:sz w:val="12"/>
                <w:szCs w:val="12"/>
                <w:color w:val="auto"/>
              </w:rPr>
              <w:t>80,592</w:t>
            </w:r>
          </w:p>
        </w:tc>
        <w:tc>
          <w:tcPr>
            <w:tcW w:w="1140" w:type="dxa"/>
            <w:vAlign w:val="bottom"/>
            <w:vMerge w:val="restart"/>
          </w:tcPr>
          <w:p>
            <w:pPr>
              <w:jc w:val="right"/>
              <w:ind w:right="121"/>
              <w:spacing w:after="0"/>
              <w:rPr>
                <w:sz w:val="20"/>
                <w:szCs w:val="20"/>
                <w:color w:val="auto"/>
              </w:rPr>
            </w:pPr>
            <w:r>
              <w:rPr>
                <w:rFonts w:ascii="Arial" w:cs="Arial" w:eastAsia="Arial" w:hAnsi="Arial"/>
                <w:sz w:val="12"/>
                <w:szCs w:val="12"/>
                <w:color w:val="auto"/>
              </w:rPr>
              <w:t>10,486</w:t>
            </w:r>
          </w:p>
        </w:tc>
        <w:tc>
          <w:tcPr>
            <w:tcW w:w="760" w:type="dxa"/>
            <w:vAlign w:val="bottom"/>
            <w:vMerge w:val="restart"/>
          </w:tcPr>
          <w:p>
            <w:pPr>
              <w:jc w:val="right"/>
              <w:ind w:right="21"/>
              <w:spacing w:after="0"/>
              <w:rPr>
                <w:sz w:val="20"/>
                <w:szCs w:val="20"/>
                <w:color w:val="auto"/>
              </w:rPr>
            </w:pPr>
            <w:r>
              <w:rPr>
                <w:rFonts w:ascii="Arial" w:cs="Arial" w:eastAsia="Arial" w:hAnsi="Arial"/>
                <w:sz w:val="12"/>
                <w:szCs w:val="12"/>
                <w:color w:val="auto"/>
              </w:rPr>
              <w:t>2,492,551</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rPr>
                <w:sz w:val="8"/>
                <w:szCs w:val="8"/>
                <w:color w:val="auto"/>
              </w:rPr>
            </w:pPr>
          </w:p>
        </w:tc>
        <w:tc>
          <w:tcPr>
            <w:tcW w:w="5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420" w:type="dxa"/>
            <w:vAlign w:val="bottom"/>
            <w:shd w:val="clear" w:color="auto" w:fill="CCEEFF"/>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4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2023</w:t>
            </w: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300,000</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1,920,285</w:t>
            </w: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195,000</w:t>
            </w: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10,603</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2,425,888</w:t>
            </w:r>
          </w:p>
        </w:tc>
        <w:tc>
          <w:tcPr>
            <w:tcW w:w="0" w:type="dxa"/>
            <w:vAlign w:val="bottom"/>
          </w:tcPr>
          <w:p>
            <w:pPr>
              <w:spacing w:after="0"/>
              <w:rPr>
                <w:sz w:val="1"/>
                <w:szCs w:val="1"/>
                <w:color w:val="auto"/>
              </w:rPr>
            </w:pPr>
          </w:p>
        </w:tc>
      </w:tr>
      <w:tr>
        <w:trPr>
          <w:trHeight w:val="67"/>
        </w:trPr>
        <w:tc>
          <w:tcPr>
            <w:tcW w:w="34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420" w:type="dxa"/>
            <w:vAlign w:val="bottom"/>
            <w:vMerge w:val="restart"/>
          </w:tcPr>
          <w:p>
            <w:pPr>
              <w:ind w:left="60"/>
              <w:spacing w:after="0"/>
              <w:rPr>
                <w:sz w:val="20"/>
                <w:szCs w:val="20"/>
                <w:color w:val="auto"/>
              </w:rPr>
            </w:pPr>
            <w:r>
              <w:rPr>
                <w:rFonts w:ascii="Arial" w:cs="Arial" w:eastAsia="Arial" w:hAnsi="Arial"/>
                <w:sz w:val="12"/>
                <w:szCs w:val="12"/>
                <w:b w:val="1"/>
                <w:bCs w:val="1"/>
                <w:color w:val="2393FF"/>
              </w:rPr>
              <w:t>David King</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2025</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310,000</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3,189,469</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42"/>
              <w:spacing w:after="0"/>
              <w:rPr>
                <w:sz w:val="20"/>
                <w:szCs w:val="20"/>
                <w:color w:val="auto"/>
              </w:rPr>
            </w:pPr>
            <w:r>
              <w:rPr>
                <w:rFonts w:ascii="Arial" w:cs="Arial" w:eastAsia="Arial" w:hAnsi="Arial"/>
                <w:sz w:val="12"/>
                <w:szCs w:val="12"/>
                <w:color w:val="auto"/>
              </w:rPr>
              <w:t>244,000</w:t>
            </w:r>
            <w:r>
              <w:rPr>
                <w:rFonts w:ascii="Arial" w:cs="Arial" w:eastAsia="Arial" w:hAnsi="Arial"/>
                <w:sz w:val="14"/>
                <w:szCs w:val="14"/>
                <w:color w:val="auto"/>
                <w:vertAlign w:val="superscript"/>
              </w:rPr>
              <w:t>(2)</w:t>
            </w:r>
          </w:p>
        </w:tc>
        <w:tc>
          <w:tcPr>
            <w:tcW w:w="1140" w:type="dxa"/>
            <w:vAlign w:val="bottom"/>
          </w:tcPr>
          <w:p>
            <w:pPr>
              <w:jc w:val="right"/>
              <w:ind w:right="41"/>
              <w:spacing w:after="0"/>
              <w:rPr>
                <w:sz w:val="20"/>
                <w:szCs w:val="20"/>
                <w:color w:val="auto"/>
              </w:rPr>
            </w:pPr>
            <w:r>
              <w:rPr>
                <w:rFonts w:ascii="Arial" w:cs="Arial" w:eastAsia="Arial" w:hAnsi="Arial"/>
                <w:sz w:val="12"/>
                <w:szCs w:val="12"/>
                <w:color w:val="auto"/>
              </w:rPr>
              <w:t>3,312</w:t>
            </w:r>
            <w:r>
              <w:rPr>
                <w:rFonts w:ascii="Arial" w:cs="Arial" w:eastAsia="Arial" w:hAnsi="Arial"/>
                <w:sz w:val="14"/>
                <w:szCs w:val="14"/>
                <w:color w:val="auto"/>
                <w:vertAlign w:val="superscript"/>
              </w:rPr>
              <w:t>(8)</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3,746,781</w:t>
            </w:r>
          </w:p>
        </w:tc>
        <w:tc>
          <w:tcPr>
            <w:tcW w:w="0" w:type="dxa"/>
            <w:vAlign w:val="bottom"/>
          </w:tcPr>
          <w:p>
            <w:pPr>
              <w:spacing w:after="0"/>
              <w:rPr>
                <w:sz w:val="1"/>
                <w:szCs w:val="1"/>
                <w:color w:val="auto"/>
              </w:rPr>
            </w:pPr>
          </w:p>
        </w:tc>
      </w:tr>
      <w:tr>
        <w:trPr>
          <w:trHeight w:val="33"/>
        </w:trPr>
        <w:tc>
          <w:tcPr>
            <w:tcW w:w="34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3420" w:type="dxa"/>
            <w:vAlign w:val="bottom"/>
            <w:vMerge w:val="continue"/>
          </w:tcPr>
          <w:p>
            <w:pPr>
              <w:spacing w:after="0"/>
              <w:rPr>
                <w:sz w:val="4"/>
                <w:szCs w:val="4"/>
                <w:color w:val="auto"/>
              </w:rPr>
            </w:pPr>
          </w:p>
        </w:tc>
        <w:tc>
          <w:tcPr>
            <w:tcW w:w="58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2024</w:t>
            </w:r>
          </w:p>
        </w:tc>
        <w:tc>
          <w:tcPr>
            <w:tcW w:w="66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310,000</w:t>
            </w:r>
          </w:p>
        </w:tc>
        <w:tc>
          <w:tcPr>
            <w:tcW w:w="82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3,834,380</w:t>
            </w:r>
          </w:p>
        </w:tc>
        <w:tc>
          <w:tcPr>
            <w:tcW w:w="660" w:type="dxa"/>
            <w:vAlign w:val="bottom"/>
            <w:vMerge w:val="restart"/>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vMerge w:val="restart"/>
            <w:shd w:val="clear" w:color="auto" w:fill="CCEEFF"/>
          </w:tcPr>
          <w:p>
            <w:pPr>
              <w:jc w:val="right"/>
              <w:ind w:right="142"/>
              <w:spacing w:after="0"/>
              <w:rPr>
                <w:sz w:val="20"/>
                <w:szCs w:val="20"/>
                <w:color w:val="auto"/>
              </w:rPr>
            </w:pPr>
            <w:r>
              <w:rPr>
                <w:rFonts w:ascii="Arial" w:cs="Arial" w:eastAsia="Arial" w:hAnsi="Arial"/>
                <w:sz w:val="12"/>
                <w:szCs w:val="12"/>
                <w:color w:val="auto"/>
              </w:rPr>
              <w:t>80,592</w:t>
            </w:r>
          </w:p>
        </w:tc>
        <w:tc>
          <w:tcPr>
            <w:tcW w:w="1140" w:type="dxa"/>
            <w:vAlign w:val="bottom"/>
            <w:vMerge w:val="restart"/>
            <w:shd w:val="clear" w:color="auto" w:fill="CCEEFF"/>
          </w:tcPr>
          <w:p>
            <w:pPr>
              <w:jc w:val="right"/>
              <w:ind w:right="121"/>
              <w:spacing w:after="0"/>
              <w:rPr>
                <w:sz w:val="20"/>
                <w:szCs w:val="20"/>
                <w:color w:val="auto"/>
              </w:rPr>
            </w:pPr>
            <w:r>
              <w:rPr>
                <w:rFonts w:ascii="Arial" w:cs="Arial" w:eastAsia="Arial" w:hAnsi="Arial"/>
                <w:sz w:val="12"/>
                <w:szCs w:val="12"/>
                <w:color w:val="auto"/>
              </w:rPr>
              <w:t>10,498</w:t>
            </w:r>
          </w:p>
        </w:tc>
        <w:tc>
          <w:tcPr>
            <w:tcW w:w="7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4,235,470</w:t>
            </w:r>
          </w:p>
        </w:tc>
        <w:tc>
          <w:tcPr>
            <w:tcW w:w="0" w:type="dxa"/>
            <w:vAlign w:val="bottom"/>
          </w:tcPr>
          <w:p>
            <w:pPr>
              <w:spacing w:after="0"/>
              <w:rPr>
                <w:sz w:val="1"/>
                <w:szCs w:val="1"/>
                <w:color w:val="auto"/>
              </w:rPr>
            </w:pPr>
          </w:p>
        </w:tc>
      </w:tr>
      <w:tr>
        <w:trPr>
          <w:trHeight w:val="110"/>
        </w:trPr>
        <w:tc>
          <w:tcPr>
            <w:tcW w:w="3420" w:type="dxa"/>
            <w:vAlign w:val="bottom"/>
            <w:vMerge w:val="restart"/>
          </w:tcPr>
          <w:p>
            <w:pPr>
              <w:ind w:left="60"/>
              <w:spacing w:after="0"/>
              <w:rPr>
                <w:sz w:val="20"/>
                <w:szCs w:val="20"/>
                <w:color w:val="auto"/>
              </w:rPr>
            </w:pPr>
            <w:r>
              <w:rPr>
                <w:rFonts w:ascii="Arial" w:cs="Arial" w:eastAsia="Arial" w:hAnsi="Arial"/>
                <w:sz w:val="12"/>
                <w:szCs w:val="12"/>
                <w:color w:val="auto"/>
              </w:rPr>
              <w:t>Chief Product Officer &amp; Co-President of Global Education*</w:t>
            </w:r>
          </w:p>
        </w:tc>
        <w:tc>
          <w:tcPr>
            <w:tcW w:w="5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420" w:type="dxa"/>
            <w:vAlign w:val="bottom"/>
            <w:vMerge w:val="continue"/>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342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2023</w:t>
            </w:r>
          </w:p>
        </w:tc>
        <w:tc>
          <w:tcPr>
            <w:tcW w:w="660" w:type="dxa"/>
            <w:vAlign w:val="bottom"/>
          </w:tcPr>
          <w:p>
            <w:pPr>
              <w:jc w:val="right"/>
              <w:ind w:right="61"/>
              <w:spacing w:after="0"/>
              <w:rPr>
                <w:sz w:val="20"/>
                <w:szCs w:val="20"/>
                <w:color w:val="auto"/>
              </w:rPr>
            </w:pPr>
            <w:r>
              <w:rPr>
                <w:rFonts w:ascii="Arial" w:cs="Arial" w:eastAsia="Arial" w:hAnsi="Arial"/>
                <w:sz w:val="12"/>
                <w:szCs w:val="12"/>
                <w:color w:val="auto"/>
              </w:rPr>
              <w:t>300,000</w:t>
            </w: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3,235,565</w:t>
            </w:r>
          </w:p>
        </w:tc>
        <w:tc>
          <w:tcPr>
            <w:tcW w:w="66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195,000</w:t>
            </w:r>
          </w:p>
        </w:tc>
        <w:tc>
          <w:tcPr>
            <w:tcW w:w="1140" w:type="dxa"/>
            <w:vAlign w:val="bottom"/>
          </w:tcPr>
          <w:p>
            <w:pPr>
              <w:jc w:val="right"/>
              <w:ind w:right="121"/>
              <w:spacing w:after="0"/>
              <w:rPr>
                <w:sz w:val="20"/>
                <w:szCs w:val="20"/>
                <w:color w:val="auto"/>
              </w:rPr>
            </w:pPr>
            <w:r>
              <w:rPr>
                <w:rFonts w:ascii="Arial" w:cs="Arial" w:eastAsia="Arial" w:hAnsi="Arial"/>
                <w:sz w:val="12"/>
                <w:szCs w:val="12"/>
                <w:color w:val="auto"/>
              </w:rPr>
              <w:t>10,144</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3,740,709</w:t>
            </w:r>
          </w:p>
        </w:tc>
        <w:tc>
          <w:tcPr>
            <w:tcW w:w="0" w:type="dxa"/>
            <w:vAlign w:val="bottom"/>
          </w:tcPr>
          <w:p>
            <w:pPr>
              <w:spacing w:after="0"/>
              <w:rPr>
                <w:sz w:val="1"/>
                <w:szCs w:val="1"/>
                <w:color w:val="auto"/>
              </w:rPr>
            </w:pPr>
          </w:p>
        </w:tc>
      </w:tr>
      <w:tr>
        <w:trPr>
          <w:trHeight w:val="67"/>
        </w:trPr>
        <w:tc>
          <w:tcPr>
            <w:tcW w:w="3420" w:type="dxa"/>
            <w:vAlign w:val="bottom"/>
            <w:tcBorders>
              <w:bottom w:val="single" w:sz="8" w:color="2393FF"/>
            </w:tcBorders>
          </w:tcPr>
          <w:p>
            <w:pPr>
              <w:spacing w:after="0"/>
              <w:rPr>
                <w:sz w:val="5"/>
                <w:szCs w:val="5"/>
                <w:color w:val="auto"/>
              </w:rPr>
            </w:pPr>
          </w:p>
        </w:tc>
        <w:tc>
          <w:tcPr>
            <w:tcW w:w="580" w:type="dxa"/>
            <w:vAlign w:val="bottom"/>
            <w:tcBorders>
              <w:bottom w:val="single" w:sz="8" w:color="2393FF"/>
            </w:tcBorders>
          </w:tcPr>
          <w:p>
            <w:pPr>
              <w:spacing w:after="0"/>
              <w:rPr>
                <w:sz w:val="5"/>
                <w:szCs w:val="5"/>
                <w:color w:val="auto"/>
              </w:rPr>
            </w:pPr>
          </w:p>
        </w:tc>
        <w:tc>
          <w:tcPr>
            <w:tcW w:w="660" w:type="dxa"/>
            <w:vAlign w:val="bottom"/>
            <w:tcBorders>
              <w:bottom w:val="single" w:sz="8" w:color="2393FF"/>
            </w:tcBorders>
          </w:tcPr>
          <w:p>
            <w:pPr>
              <w:spacing w:after="0"/>
              <w:rPr>
                <w:sz w:val="5"/>
                <w:szCs w:val="5"/>
                <w:color w:val="auto"/>
              </w:rPr>
            </w:pPr>
          </w:p>
        </w:tc>
        <w:tc>
          <w:tcPr>
            <w:tcW w:w="820" w:type="dxa"/>
            <w:vAlign w:val="bottom"/>
            <w:tcBorders>
              <w:bottom w:val="single" w:sz="8" w:color="2393FF"/>
            </w:tcBorders>
          </w:tcPr>
          <w:p>
            <w:pPr>
              <w:spacing w:after="0"/>
              <w:rPr>
                <w:sz w:val="5"/>
                <w:szCs w:val="5"/>
                <w:color w:val="auto"/>
              </w:rPr>
            </w:pPr>
          </w:p>
        </w:tc>
        <w:tc>
          <w:tcPr>
            <w:tcW w:w="660" w:type="dxa"/>
            <w:vAlign w:val="bottom"/>
            <w:tcBorders>
              <w:bottom w:val="single" w:sz="8" w:color="2393FF"/>
            </w:tcBorders>
          </w:tcPr>
          <w:p>
            <w:pPr>
              <w:spacing w:after="0"/>
              <w:rPr>
                <w:sz w:val="5"/>
                <w:szCs w:val="5"/>
                <w:color w:val="auto"/>
              </w:rPr>
            </w:pPr>
          </w:p>
        </w:tc>
        <w:tc>
          <w:tcPr>
            <w:tcW w:w="1160" w:type="dxa"/>
            <w:vAlign w:val="bottom"/>
            <w:tcBorders>
              <w:bottom w:val="single" w:sz="8" w:color="2393FF"/>
            </w:tcBorders>
          </w:tcPr>
          <w:p>
            <w:pPr>
              <w:spacing w:after="0"/>
              <w:rPr>
                <w:sz w:val="5"/>
                <w:szCs w:val="5"/>
                <w:color w:val="auto"/>
              </w:rPr>
            </w:pPr>
          </w:p>
        </w:tc>
        <w:tc>
          <w:tcPr>
            <w:tcW w:w="1140" w:type="dxa"/>
            <w:vAlign w:val="bottom"/>
            <w:tcBorders>
              <w:bottom w:val="single" w:sz="8" w:color="2393FF"/>
            </w:tcBorders>
          </w:tcPr>
          <w:p>
            <w:pPr>
              <w:spacing w:after="0"/>
              <w:rPr>
                <w:sz w:val="5"/>
                <w:szCs w:val="5"/>
                <w:color w:val="auto"/>
              </w:rPr>
            </w:pPr>
          </w:p>
        </w:tc>
        <w:tc>
          <w:tcPr>
            <w:tcW w:w="760" w:type="dxa"/>
            <w:vAlign w:val="bottom"/>
            <w:tcBorders>
              <w:bottom w:val="single" w:sz="8" w:color="2393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380" w:hanging="353"/>
        <w:spacing w:after="0"/>
        <w:tabs>
          <w:tab w:leader="none" w:pos="1380" w:val="left"/>
        </w:tabs>
        <w:numPr>
          <w:ilvl w:val="0"/>
          <w:numId w:val="76"/>
        </w:numPr>
        <w:rPr>
          <w:rFonts w:ascii="Arial" w:cs="Arial" w:eastAsia="Arial" w:hAnsi="Arial"/>
          <w:sz w:val="11"/>
          <w:szCs w:val="11"/>
          <w:color w:val="333333"/>
        </w:rPr>
      </w:pPr>
      <w:r>
        <w:rPr>
          <w:rFonts w:ascii="Arial" w:cs="Arial" w:eastAsia="Arial" w:hAnsi="Arial"/>
          <w:sz w:val="11"/>
          <w:szCs w:val="11"/>
          <w:color w:val="333333"/>
        </w:rPr>
        <w:t>During Fiscal 2025 and until February 23, 2026, Mr. King served as our Chief Technology Officer.</w:t>
      </w:r>
    </w:p>
    <w:p>
      <w:pPr>
        <w:spacing w:after="0" w:line="88" w:lineRule="exact"/>
        <w:rPr>
          <w:sz w:val="20"/>
          <w:szCs w:val="20"/>
          <w:color w:val="auto"/>
        </w:rPr>
      </w:pPr>
    </w:p>
    <w:p>
      <w:pPr>
        <w:ind w:left="1380" w:right="100" w:hanging="353"/>
        <w:spacing w:after="0" w:line="238" w:lineRule="auto"/>
        <w:tabs>
          <w:tab w:leader="none" w:pos="1380" w:val="left"/>
        </w:tabs>
        <w:numPr>
          <w:ilvl w:val="0"/>
          <w:numId w:val="77"/>
        </w:numPr>
        <w:rPr>
          <w:rFonts w:ascii="Arial" w:cs="Arial" w:eastAsia="Arial" w:hAnsi="Arial"/>
          <w:sz w:val="11"/>
          <w:szCs w:val="11"/>
          <w:color w:val="333333"/>
        </w:rPr>
      </w:pPr>
      <w:r>
        <w:rPr>
          <w:rFonts w:ascii="Arial" w:cs="Arial" w:eastAsia="Arial" w:hAnsi="Arial"/>
          <w:sz w:val="11"/>
          <w:szCs w:val="11"/>
          <w:color w:val="333333"/>
        </w:rPr>
        <w:t>Reflects the aggregate grant date fair value of option and stock awards granted during the applicable year calculated in accordance with FASB ASC Topic 718. For a discussion of valuation assumptions, see Note 14 to our audited financial statements included in the 2025 Annual Report.</w:t>
      </w:r>
    </w:p>
    <w:p>
      <w:pPr>
        <w:spacing w:after="0" w:line="75" w:lineRule="exact"/>
        <w:rPr>
          <w:rFonts w:ascii="Arial" w:cs="Arial" w:eastAsia="Arial" w:hAnsi="Arial"/>
          <w:sz w:val="11"/>
          <w:szCs w:val="11"/>
          <w:color w:val="333333"/>
        </w:rPr>
      </w:pPr>
    </w:p>
    <w:p>
      <w:pPr>
        <w:ind w:left="1380" w:hanging="353"/>
        <w:spacing w:after="0"/>
        <w:tabs>
          <w:tab w:leader="none" w:pos="1380" w:val="left"/>
        </w:tabs>
        <w:numPr>
          <w:ilvl w:val="0"/>
          <w:numId w:val="77"/>
        </w:numPr>
        <w:rPr>
          <w:rFonts w:ascii="Arial" w:cs="Arial" w:eastAsia="Arial" w:hAnsi="Arial"/>
          <w:sz w:val="9"/>
          <w:szCs w:val="9"/>
          <w:color w:val="333333"/>
        </w:rPr>
      </w:pPr>
      <w:r>
        <w:rPr>
          <w:rFonts w:ascii="Arial" w:cs="Arial" w:eastAsia="Arial" w:hAnsi="Arial"/>
          <w:sz w:val="9"/>
          <w:szCs w:val="9"/>
          <w:color w:val="333333"/>
        </w:rPr>
        <w:t>Represents amounts paid under our 2025 cash incentive bonus program paid in March 2026. See “Compensation Discussion and Analysis” above for further details regarding this program.</w:t>
      </w:r>
    </w:p>
    <w:p>
      <w:pPr>
        <w:spacing w:after="0" w:line="110" w:lineRule="exact"/>
        <w:rPr>
          <w:rFonts w:ascii="Arial" w:cs="Arial" w:eastAsia="Arial" w:hAnsi="Arial"/>
          <w:sz w:val="9"/>
          <w:szCs w:val="9"/>
          <w:color w:val="333333"/>
        </w:rPr>
      </w:pPr>
    </w:p>
    <w:p>
      <w:pPr>
        <w:ind w:left="1380" w:hanging="353"/>
        <w:spacing w:after="0"/>
        <w:tabs>
          <w:tab w:leader="none" w:pos="1380" w:val="left"/>
        </w:tabs>
        <w:numPr>
          <w:ilvl w:val="0"/>
          <w:numId w:val="77"/>
        </w:numPr>
        <w:rPr>
          <w:rFonts w:ascii="Arial" w:cs="Arial" w:eastAsia="Arial" w:hAnsi="Arial"/>
          <w:sz w:val="11"/>
          <w:szCs w:val="11"/>
          <w:color w:val="333333"/>
        </w:rPr>
      </w:pPr>
      <w:r>
        <w:rPr>
          <w:rFonts w:ascii="Arial" w:cs="Arial" w:eastAsia="Arial" w:hAnsi="Arial"/>
          <w:sz w:val="11"/>
          <w:szCs w:val="11"/>
          <w:color w:val="333333"/>
        </w:rPr>
        <w:t>This amount represents $1,374 in life and other supplemental insurance premiums paid on Mr. Massaro’s behalf and a $10,066 matching contribution to his 401(k) account.</w:t>
      </w:r>
    </w:p>
    <w:p>
      <w:pPr>
        <w:spacing w:after="0" w:line="87" w:lineRule="exact"/>
        <w:rPr>
          <w:rFonts w:ascii="Arial" w:cs="Arial" w:eastAsia="Arial" w:hAnsi="Arial"/>
          <w:sz w:val="11"/>
          <w:szCs w:val="11"/>
          <w:color w:val="333333"/>
        </w:rPr>
      </w:pPr>
    </w:p>
    <w:p>
      <w:pPr>
        <w:ind w:left="1380" w:hanging="353"/>
        <w:spacing w:after="0"/>
        <w:tabs>
          <w:tab w:leader="none" w:pos="1380" w:val="left"/>
        </w:tabs>
        <w:numPr>
          <w:ilvl w:val="0"/>
          <w:numId w:val="77"/>
        </w:numPr>
        <w:rPr>
          <w:rFonts w:ascii="Arial" w:cs="Arial" w:eastAsia="Arial" w:hAnsi="Arial"/>
          <w:sz w:val="11"/>
          <w:szCs w:val="11"/>
          <w:color w:val="333333"/>
        </w:rPr>
      </w:pPr>
      <w:r>
        <w:rPr>
          <w:rFonts w:ascii="Arial" w:cs="Arial" w:eastAsia="Arial" w:hAnsi="Arial"/>
          <w:sz w:val="11"/>
          <w:szCs w:val="11"/>
          <w:color w:val="333333"/>
        </w:rPr>
        <w:t>This amount represents $1,374 in life and other supplemental insurance premiums paid on Mr. Orgel’s behalf and a $5,814 matching contribution to his 401(k) account.</w:t>
      </w:r>
    </w:p>
    <w:p>
      <w:pPr>
        <w:spacing w:after="0" w:line="87" w:lineRule="exact"/>
        <w:rPr>
          <w:rFonts w:ascii="Arial" w:cs="Arial" w:eastAsia="Arial" w:hAnsi="Arial"/>
          <w:sz w:val="11"/>
          <w:szCs w:val="11"/>
          <w:color w:val="333333"/>
        </w:rPr>
      </w:pPr>
    </w:p>
    <w:p>
      <w:pPr>
        <w:ind w:left="1380" w:hanging="353"/>
        <w:spacing w:after="0"/>
        <w:tabs>
          <w:tab w:leader="none" w:pos="1380" w:val="left"/>
        </w:tabs>
        <w:numPr>
          <w:ilvl w:val="0"/>
          <w:numId w:val="77"/>
        </w:numPr>
        <w:rPr>
          <w:rFonts w:ascii="Arial" w:cs="Arial" w:eastAsia="Arial" w:hAnsi="Arial"/>
          <w:sz w:val="11"/>
          <w:szCs w:val="11"/>
          <w:color w:val="333333"/>
        </w:rPr>
      </w:pPr>
      <w:r>
        <w:rPr>
          <w:rFonts w:ascii="Arial" w:cs="Arial" w:eastAsia="Arial" w:hAnsi="Arial"/>
          <w:sz w:val="11"/>
          <w:szCs w:val="11"/>
          <w:color w:val="333333"/>
        </w:rPr>
        <w:t>Mr. Pitigoi commenced employment with us as our Chief Financial Officer and principal financial officer on March 4, 2024.</w:t>
      </w:r>
    </w:p>
    <w:p>
      <w:pPr>
        <w:spacing w:after="0" w:line="87" w:lineRule="exact"/>
        <w:rPr>
          <w:rFonts w:ascii="Arial" w:cs="Arial" w:eastAsia="Arial" w:hAnsi="Arial"/>
          <w:sz w:val="11"/>
          <w:szCs w:val="11"/>
          <w:color w:val="333333"/>
        </w:rPr>
      </w:pPr>
    </w:p>
    <w:p>
      <w:pPr>
        <w:ind w:left="1380" w:hanging="353"/>
        <w:spacing w:after="0"/>
        <w:tabs>
          <w:tab w:leader="none" w:pos="1380" w:val="left"/>
        </w:tabs>
        <w:numPr>
          <w:ilvl w:val="0"/>
          <w:numId w:val="77"/>
        </w:numPr>
        <w:rPr>
          <w:rFonts w:ascii="Arial" w:cs="Arial" w:eastAsia="Arial" w:hAnsi="Arial"/>
          <w:sz w:val="11"/>
          <w:szCs w:val="11"/>
          <w:color w:val="333333"/>
        </w:rPr>
      </w:pPr>
      <w:r>
        <w:rPr>
          <w:rFonts w:ascii="Arial" w:cs="Arial" w:eastAsia="Arial" w:hAnsi="Arial"/>
          <w:sz w:val="11"/>
          <w:szCs w:val="11"/>
          <w:color w:val="333333"/>
        </w:rPr>
        <w:t>This amount represents $1,374 in life and other supplemental insurance premiums paid on Mr. Pitigoi’s behalf and a $2,563 matching contribution to his 401(k) account.</w:t>
      </w:r>
    </w:p>
    <w:p>
      <w:pPr>
        <w:spacing w:after="0" w:line="87" w:lineRule="exact"/>
        <w:rPr>
          <w:rFonts w:ascii="Arial" w:cs="Arial" w:eastAsia="Arial" w:hAnsi="Arial"/>
          <w:sz w:val="11"/>
          <w:szCs w:val="11"/>
          <w:color w:val="333333"/>
        </w:rPr>
      </w:pPr>
    </w:p>
    <w:p>
      <w:pPr>
        <w:ind w:left="1380" w:hanging="353"/>
        <w:spacing w:after="0"/>
        <w:tabs>
          <w:tab w:leader="none" w:pos="1380" w:val="left"/>
        </w:tabs>
        <w:numPr>
          <w:ilvl w:val="0"/>
          <w:numId w:val="77"/>
        </w:numPr>
        <w:rPr>
          <w:rFonts w:ascii="Arial" w:cs="Arial" w:eastAsia="Arial" w:hAnsi="Arial"/>
          <w:sz w:val="11"/>
          <w:szCs w:val="11"/>
          <w:color w:val="333333"/>
        </w:rPr>
      </w:pPr>
      <w:r>
        <w:rPr>
          <w:rFonts w:ascii="Arial" w:cs="Arial" w:eastAsia="Arial" w:hAnsi="Arial"/>
          <w:sz w:val="11"/>
          <w:szCs w:val="11"/>
          <w:color w:val="333333"/>
        </w:rPr>
        <w:t>This amount represents $1,374 in life and other supplemental insurance premiums paid on Mr. Butterfield’s behalf and a $9,300 matching contribution to his 401(k) account.</w:t>
      </w:r>
    </w:p>
    <w:p>
      <w:pPr>
        <w:spacing w:after="0" w:line="87" w:lineRule="exact"/>
        <w:rPr>
          <w:rFonts w:ascii="Arial" w:cs="Arial" w:eastAsia="Arial" w:hAnsi="Arial"/>
          <w:sz w:val="11"/>
          <w:szCs w:val="11"/>
          <w:color w:val="333333"/>
        </w:rPr>
      </w:pPr>
    </w:p>
    <w:p>
      <w:pPr>
        <w:ind w:left="1380" w:hanging="353"/>
        <w:spacing w:after="0"/>
        <w:tabs>
          <w:tab w:leader="none" w:pos="1380" w:val="left"/>
        </w:tabs>
        <w:numPr>
          <w:ilvl w:val="0"/>
          <w:numId w:val="77"/>
        </w:numPr>
        <w:rPr>
          <w:rFonts w:ascii="Arial" w:cs="Arial" w:eastAsia="Arial" w:hAnsi="Arial"/>
          <w:sz w:val="11"/>
          <w:szCs w:val="11"/>
          <w:color w:val="333333"/>
        </w:rPr>
      </w:pPr>
      <w:r>
        <w:rPr>
          <w:rFonts w:ascii="Arial" w:cs="Arial" w:eastAsia="Arial" w:hAnsi="Arial"/>
          <w:sz w:val="11"/>
          <w:szCs w:val="11"/>
          <w:color w:val="333333"/>
        </w:rPr>
        <w:t>This amount represents $1,374 in life and other supplemental insurance premiums paid on Mr. King’s behalf and a $1,938 matching contribution to his 401(k) account.</w:t>
      </w:r>
    </w:p>
    <w:p>
      <w:pPr>
        <w:spacing w:after="0" w:line="11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38 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EMPLOYMENT ARRANGEMENTS WITH OUR NAMED EXECUTIVE OFFICERS</w:t>
      </w:r>
    </w:p>
    <w:p>
      <w:pPr>
        <w:spacing w:after="0" w:line="143" w:lineRule="exact"/>
        <w:rPr>
          <w:sz w:val="20"/>
          <w:szCs w:val="20"/>
          <w:color w:val="auto"/>
        </w:rPr>
      </w:pPr>
    </w:p>
    <w:p>
      <w:pPr>
        <w:ind w:left="1020" w:right="20"/>
        <w:spacing w:after="0" w:line="242" w:lineRule="auto"/>
        <w:rPr>
          <w:sz w:val="20"/>
          <w:szCs w:val="20"/>
          <w:color w:val="auto"/>
        </w:rPr>
      </w:pPr>
      <w:r>
        <w:rPr>
          <w:rFonts w:ascii="Arial" w:cs="Arial" w:eastAsia="Arial" w:hAnsi="Arial"/>
          <w:sz w:val="14"/>
          <w:szCs w:val="14"/>
          <w:color w:val="auto"/>
        </w:rPr>
        <w:t>We have entered into amended and restated employment agreements with our NEOs in August 2025, which superseded and replaced each NEO’s previous employment agreement. Each of these amended and restated agreements provide for at-will employment and includes the NEO’s base salary at the time of entering into such agreement. In addition, each of our NEOs has executed our standard confidential information and invention assignment agreement.</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FISCAL 2025 GRANTS OF PLAN-BASED AWARDS TABLE</w:t>
      </w:r>
    </w:p>
    <w:p>
      <w:pPr>
        <w:spacing w:after="0" w:line="155" w:lineRule="exact"/>
        <w:rPr>
          <w:sz w:val="20"/>
          <w:szCs w:val="20"/>
          <w:color w:val="auto"/>
        </w:rPr>
      </w:pPr>
    </w:p>
    <w:p>
      <w:pPr>
        <w:ind w:left="1020" w:right="160"/>
        <w:spacing w:after="0" w:line="258" w:lineRule="auto"/>
        <w:rPr>
          <w:sz w:val="20"/>
          <w:szCs w:val="20"/>
          <w:color w:val="auto"/>
        </w:rPr>
      </w:pPr>
      <w:r>
        <w:rPr>
          <w:rFonts w:ascii="Arial" w:cs="Arial" w:eastAsia="Arial" w:hAnsi="Arial"/>
          <w:sz w:val="14"/>
          <w:szCs w:val="14"/>
          <w:color w:val="auto"/>
        </w:rPr>
        <w:t>The following table sets forth certain information regarding each plan-based award granted to our NEOs during our Fiscal 2025. For a description of the types of awards indicated below, please see our Compensation Discussion and Analysis section above.</w:t>
      </w:r>
    </w:p>
    <w:p>
      <w:pPr>
        <w:spacing w:after="0" w:line="154"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gridSpan w:val="2"/>
          </w:tcPr>
          <w:p>
            <w:pPr>
              <w:jc w:val="center"/>
              <w:ind w:left="235"/>
              <w:spacing w:after="0"/>
              <w:rPr>
                <w:sz w:val="20"/>
                <w:szCs w:val="20"/>
                <w:color w:val="auto"/>
              </w:rPr>
            </w:pPr>
            <w:r>
              <w:rPr>
                <w:rFonts w:ascii="Arial" w:cs="Arial" w:eastAsia="Arial" w:hAnsi="Arial"/>
                <w:sz w:val="11"/>
                <w:szCs w:val="11"/>
                <w:b w:val="1"/>
                <w:bCs w:val="1"/>
                <w:color w:val="auto"/>
                <w:w w:val="95"/>
              </w:rPr>
              <w:t>ALL OTHER</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80" w:type="dxa"/>
            <w:vAlign w:val="bottom"/>
            <w:gridSpan w:val="5"/>
            <w:vMerge w:val="restart"/>
          </w:tcPr>
          <w:p>
            <w:pPr>
              <w:jc w:val="center"/>
              <w:ind w:right="575"/>
              <w:spacing w:after="0"/>
              <w:rPr>
                <w:sz w:val="20"/>
                <w:szCs w:val="20"/>
                <w:color w:val="auto"/>
              </w:rPr>
            </w:pPr>
            <w:r>
              <w:rPr>
                <w:rFonts w:ascii="Arial" w:cs="Arial" w:eastAsia="Arial" w:hAnsi="Arial"/>
                <w:sz w:val="11"/>
                <w:szCs w:val="11"/>
                <w:b w:val="1"/>
                <w:bCs w:val="1"/>
                <w:color w:val="auto"/>
                <w:w w:val="94"/>
              </w:rPr>
              <w:t>ESTIMATED FUTURE PAYOUTS UNDER NON-</w:t>
            </w:r>
          </w:p>
        </w:tc>
        <w:tc>
          <w:tcPr>
            <w:tcW w:w="720" w:type="dxa"/>
            <w:vAlign w:val="bottom"/>
          </w:tcPr>
          <w:p>
            <w:pPr>
              <w:jc w:val="center"/>
              <w:ind w:right="125"/>
              <w:spacing w:after="0" w:line="113" w:lineRule="exact"/>
              <w:rPr>
                <w:sz w:val="20"/>
                <w:szCs w:val="20"/>
                <w:color w:val="auto"/>
              </w:rPr>
            </w:pPr>
            <w:r>
              <w:rPr>
                <w:rFonts w:ascii="Arial" w:cs="Arial" w:eastAsia="Arial" w:hAnsi="Arial"/>
                <w:sz w:val="11"/>
                <w:szCs w:val="11"/>
                <w:b w:val="1"/>
                <w:bCs w:val="1"/>
                <w:color w:val="auto"/>
                <w:w w:val="98"/>
              </w:rPr>
              <w:t>STOCK</w:t>
            </w:r>
          </w:p>
        </w:tc>
        <w:tc>
          <w:tcPr>
            <w:tcW w:w="1200" w:type="dxa"/>
            <w:vAlign w:val="bottom"/>
            <w:vMerge w:val="restart"/>
          </w:tcPr>
          <w:p>
            <w:pPr>
              <w:jc w:val="right"/>
              <w:ind w:right="25"/>
              <w:spacing w:after="0"/>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05"/>
        </w:trPr>
        <w:tc>
          <w:tcPr>
            <w:tcW w:w="2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80" w:type="dxa"/>
            <w:vAlign w:val="bottom"/>
            <w:gridSpan w:val="5"/>
            <w:vMerge w:val="continue"/>
          </w:tcPr>
          <w:p>
            <w:pPr>
              <w:spacing w:after="0"/>
              <w:rPr>
                <w:sz w:val="9"/>
                <w:szCs w:val="9"/>
                <w:color w:val="auto"/>
              </w:rPr>
            </w:pPr>
          </w:p>
        </w:tc>
        <w:tc>
          <w:tcPr>
            <w:tcW w:w="720" w:type="dxa"/>
            <w:vAlign w:val="bottom"/>
          </w:tcPr>
          <w:p>
            <w:pPr>
              <w:jc w:val="center"/>
              <w:ind w:right="125"/>
              <w:spacing w:after="0" w:line="105" w:lineRule="exact"/>
              <w:rPr>
                <w:sz w:val="20"/>
                <w:szCs w:val="20"/>
                <w:color w:val="auto"/>
              </w:rPr>
            </w:pPr>
            <w:r>
              <w:rPr>
                <w:rFonts w:ascii="Arial" w:cs="Arial" w:eastAsia="Arial" w:hAnsi="Arial"/>
                <w:sz w:val="11"/>
                <w:szCs w:val="11"/>
                <w:b w:val="1"/>
                <w:bCs w:val="1"/>
                <w:color w:val="auto"/>
                <w:w w:val="93"/>
              </w:rPr>
              <w:t>AWARDS:</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Borders>
              <w:bottom w:val="single" w:sz="8" w:color="2393FF"/>
            </w:tcBorders>
          </w:tcPr>
          <w:p>
            <w:pPr>
              <w:spacing w:after="0"/>
              <w:rPr>
                <w:sz w:val="8"/>
                <w:szCs w:val="8"/>
                <w:color w:val="auto"/>
              </w:rPr>
            </w:pPr>
          </w:p>
        </w:tc>
        <w:tc>
          <w:tcPr>
            <w:tcW w:w="2380" w:type="dxa"/>
            <w:vAlign w:val="bottom"/>
            <w:tcBorders>
              <w:bottom w:val="single" w:sz="8" w:color="2393FF"/>
            </w:tcBorders>
            <w:gridSpan w:val="3"/>
          </w:tcPr>
          <w:p>
            <w:pPr>
              <w:jc w:val="center"/>
              <w:ind w:left="305"/>
              <w:spacing w:after="0" w:line="82" w:lineRule="exact"/>
              <w:rPr>
                <w:sz w:val="20"/>
                <w:szCs w:val="20"/>
                <w:color w:val="auto"/>
              </w:rPr>
            </w:pPr>
            <w:r>
              <w:rPr>
                <w:rFonts w:ascii="Arial" w:cs="Arial" w:eastAsia="Arial" w:hAnsi="Arial"/>
                <w:sz w:val="7"/>
                <w:szCs w:val="7"/>
                <w:b w:val="1"/>
                <w:bCs w:val="1"/>
                <w:color w:val="auto"/>
              </w:rPr>
              <w:t>EQUITY INCENTIVE PLAN AWARDS</w:t>
            </w:r>
            <w:r>
              <w:rPr>
                <w:rFonts w:ascii="Arial" w:cs="Arial" w:eastAsia="Arial" w:hAnsi="Arial"/>
                <w:sz w:val="9"/>
                <w:szCs w:val="9"/>
                <w:b w:val="1"/>
                <w:bCs w:val="1"/>
                <w:color w:val="auto"/>
                <w:vertAlign w:val="superscript"/>
              </w:rPr>
              <w:t>(1)</w:t>
            </w:r>
          </w:p>
        </w:tc>
        <w:tc>
          <w:tcPr>
            <w:tcW w:w="560" w:type="dxa"/>
            <w:vAlign w:val="bottom"/>
            <w:tcBorders>
              <w:bottom w:val="single" w:sz="8" w:color="2393FF"/>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jc w:val="center"/>
              <w:ind w:right="125"/>
              <w:spacing w:after="0" w:line="93" w:lineRule="exact"/>
              <w:rPr>
                <w:sz w:val="20"/>
                <w:szCs w:val="20"/>
                <w:color w:val="auto"/>
              </w:rPr>
            </w:pPr>
            <w:r>
              <w:rPr>
                <w:rFonts w:ascii="Arial" w:cs="Arial" w:eastAsia="Arial" w:hAnsi="Arial"/>
                <w:sz w:val="9"/>
                <w:szCs w:val="9"/>
                <w:b w:val="1"/>
                <w:bCs w:val="1"/>
                <w:color w:val="auto"/>
              </w:rPr>
              <w:t>NUMBER</w:t>
            </w:r>
          </w:p>
        </w:tc>
        <w:tc>
          <w:tcPr>
            <w:tcW w:w="1200" w:type="dxa"/>
            <w:vAlign w:val="bottom"/>
          </w:tcPr>
          <w:p>
            <w:pPr>
              <w:jc w:val="right"/>
              <w:ind w:right="25"/>
              <w:spacing w:after="0" w:line="93" w:lineRule="exact"/>
              <w:rPr>
                <w:sz w:val="20"/>
                <w:szCs w:val="20"/>
                <w:color w:val="auto"/>
              </w:rPr>
            </w:pPr>
            <w:r>
              <w:rPr>
                <w:rFonts w:ascii="Arial" w:cs="Arial" w:eastAsia="Arial" w:hAnsi="Arial"/>
                <w:sz w:val="9"/>
                <w:szCs w:val="9"/>
                <w:b w:val="1"/>
                <w:bCs w:val="1"/>
                <w:color w:val="auto"/>
              </w:rPr>
              <w:t>DATE FAIR</w:t>
            </w:r>
          </w:p>
        </w:tc>
        <w:tc>
          <w:tcPr>
            <w:tcW w:w="0" w:type="dxa"/>
            <w:vAlign w:val="bottom"/>
          </w:tcPr>
          <w:p>
            <w:pPr>
              <w:spacing w:after="0"/>
              <w:rPr>
                <w:sz w:val="1"/>
                <w:szCs w:val="1"/>
                <w:color w:val="auto"/>
              </w:rPr>
            </w:pPr>
          </w:p>
        </w:tc>
      </w:tr>
      <w:tr>
        <w:trPr>
          <w:trHeight w:val="111"/>
        </w:trPr>
        <w:tc>
          <w:tcPr>
            <w:tcW w:w="2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60" w:type="dxa"/>
            <w:vAlign w:val="bottom"/>
            <w:gridSpan w:val="2"/>
          </w:tcPr>
          <w:p>
            <w:pPr>
              <w:jc w:val="center"/>
              <w:ind w:left="215"/>
              <w:spacing w:after="0" w:line="112" w:lineRule="exact"/>
              <w:rPr>
                <w:sz w:val="20"/>
                <w:szCs w:val="20"/>
                <w:color w:val="auto"/>
              </w:rPr>
            </w:pPr>
            <w:r>
              <w:rPr>
                <w:rFonts w:ascii="Arial" w:cs="Arial" w:eastAsia="Arial" w:hAnsi="Arial"/>
                <w:sz w:val="11"/>
                <w:szCs w:val="11"/>
                <w:b w:val="1"/>
                <w:bCs w:val="1"/>
                <w:color w:val="auto"/>
                <w:w w:val="96"/>
              </w:rPr>
              <w:t>OF SHARES</w:t>
            </w:r>
          </w:p>
        </w:tc>
        <w:tc>
          <w:tcPr>
            <w:tcW w:w="1200" w:type="dxa"/>
            <w:vAlign w:val="bottom"/>
          </w:tcPr>
          <w:p>
            <w:pPr>
              <w:jc w:val="right"/>
              <w:ind w:right="25"/>
              <w:spacing w:after="0" w:line="112" w:lineRule="exact"/>
              <w:rPr>
                <w:sz w:val="20"/>
                <w:szCs w:val="20"/>
                <w:color w:val="auto"/>
              </w:rPr>
            </w:pPr>
            <w:r>
              <w:rPr>
                <w:rFonts w:ascii="Arial" w:cs="Arial" w:eastAsia="Arial" w:hAnsi="Arial"/>
                <w:sz w:val="11"/>
                <w:szCs w:val="11"/>
                <w:b w:val="1"/>
                <w:bCs w:val="1"/>
                <w:color w:val="auto"/>
              </w:rPr>
              <w:t>VALUE OF</w:t>
            </w:r>
          </w:p>
        </w:tc>
        <w:tc>
          <w:tcPr>
            <w:tcW w:w="0" w:type="dxa"/>
            <w:vAlign w:val="bottom"/>
          </w:tcPr>
          <w:p>
            <w:pPr>
              <w:spacing w:after="0"/>
              <w:rPr>
                <w:sz w:val="1"/>
                <w:szCs w:val="1"/>
                <w:color w:val="auto"/>
              </w:rPr>
            </w:pPr>
          </w:p>
        </w:tc>
      </w:tr>
      <w:tr>
        <w:trPr>
          <w:trHeight w:val="113"/>
        </w:trPr>
        <w:tc>
          <w:tcPr>
            <w:tcW w:w="25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jc w:val="center"/>
              <w:ind w:right="125"/>
              <w:spacing w:after="0" w:line="113" w:lineRule="exact"/>
              <w:rPr>
                <w:sz w:val="20"/>
                <w:szCs w:val="20"/>
                <w:color w:val="auto"/>
              </w:rPr>
            </w:pPr>
            <w:r>
              <w:rPr>
                <w:rFonts w:ascii="Arial" w:cs="Arial" w:eastAsia="Arial" w:hAnsi="Arial"/>
                <w:sz w:val="11"/>
                <w:szCs w:val="11"/>
                <w:b w:val="1"/>
                <w:bCs w:val="1"/>
                <w:color w:val="auto"/>
                <w:w w:val="94"/>
              </w:rPr>
              <w:t>OF STOCK</w:t>
            </w:r>
          </w:p>
        </w:tc>
        <w:tc>
          <w:tcPr>
            <w:tcW w:w="1200" w:type="dxa"/>
            <w:vAlign w:val="bottom"/>
          </w:tcPr>
          <w:p>
            <w:pPr>
              <w:jc w:val="right"/>
              <w:ind w:right="25"/>
              <w:spacing w:after="0" w:line="113" w:lineRule="exact"/>
              <w:rPr>
                <w:sz w:val="20"/>
                <w:szCs w:val="20"/>
                <w:color w:val="auto"/>
              </w:rPr>
            </w:pPr>
            <w:r>
              <w:rPr>
                <w:rFonts w:ascii="Arial" w:cs="Arial" w:eastAsia="Arial" w:hAnsi="Arial"/>
                <w:sz w:val="11"/>
                <w:szCs w:val="11"/>
                <w:b w:val="1"/>
                <w:bCs w:val="1"/>
                <w:color w:val="auto"/>
              </w:rPr>
              <w:t>STOCK AND</w:t>
            </w:r>
          </w:p>
        </w:tc>
        <w:tc>
          <w:tcPr>
            <w:tcW w:w="0" w:type="dxa"/>
            <w:vAlign w:val="bottom"/>
          </w:tcPr>
          <w:p>
            <w:pPr>
              <w:spacing w:after="0"/>
              <w:rPr>
                <w:sz w:val="1"/>
                <w:szCs w:val="1"/>
                <w:color w:val="auto"/>
              </w:rPr>
            </w:pPr>
          </w:p>
        </w:tc>
      </w:tr>
      <w:tr>
        <w:trPr>
          <w:trHeight w:val="116"/>
        </w:trPr>
        <w:tc>
          <w:tcPr>
            <w:tcW w:w="2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line="116" w:lineRule="exact"/>
              <w:rPr>
                <w:sz w:val="20"/>
                <w:szCs w:val="20"/>
                <w:color w:val="auto"/>
              </w:rPr>
            </w:pPr>
            <w:r>
              <w:rPr>
                <w:rFonts w:ascii="Arial" w:cs="Arial" w:eastAsia="Arial" w:hAnsi="Arial"/>
                <w:sz w:val="11"/>
                <w:szCs w:val="11"/>
                <w:b w:val="1"/>
                <w:bCs w:val="1"/>
                <w:color w:val="auto"/>
              </w:rPr>
              <w:t xml:space="preserve">   </w:t>
            </w:r>
          </w:p>
        </w:tc>
        <w:tc>
          <w:tcPr>
            <w:tcW w:w="940" w:type="dxa"/>
            <w:vAlign w:val="bottom"/>
          </w:tcPr>
          <w:p>
            <w:pPr>
              <w:jc w:val="right"/>
              <w:ind w:right="85"/>
              <w:spacing w:after="0" w:line="116" w:lineRule="exact"/>
              <w:rPr>
                <w:sz w:val="20"/>
                <w:szCs w:val="20"/>
                <w:color w:val="auto"/>
              </w:rPr>
            </w:pPr>
            <w:r>
              <w:rPr>
                <w:rFonts w:ascii="Arial" w:cs="Arial" w:eastAsia="Arial" w:hAnsi="Arial"/>
                <w:sz w:val="11"/>
                <w:szCs w:val="11"/>
                <w:b w:val="1"/>
                <w:bCs w:val="1"/>
                <w:color w:val="auto"/>
                <w:w w:val="91"/>
              </w:rPr>
              <w:t>   THRESHOLD</w:t>
            </w:r>
          </w:p>
        </w:tc>
        <w:tc>
          <w:tcPr>
            <w:tcW w:w="1020" w:type="dxa"/>
            <w:vAlign w:val="bottom"/>
          </w:tcPr>
          <w:p>
            <w:pPr>
              <w:jc w:val="right"/>
              <w:ind w:right="82"/>
              <w:spacing w:after="0" w:line="116" w:lineRule="exact"/>
              <w:rPr>
                <w:sz w:val="20"/>
                <w:szCs w:val="20"/>
                <w:color w:val="auto"/>
              </w:rPr>
            </w:pPr>
            <w:r>
              <w:rPr>
                <w:rFonts w:ascii="Arial" w:cs="Arial" w:eastAsia="Arial" w:hAnsi="Arial"/>
                <w:sz w:val="11"/>
                <w:szCs w:val="11"/>
                <w:b w:val="1"/>
                <w:bCs w:val="1"/>
                <w:color w:val="auto"/>
              </w:rPr>
              <w:t>       TARGET</w:t>
            </w:r>
          </w:p>
        </w:tc>
        <w:tc>
          <w:tcPr>
            <w:tcW w:w="420" w:type="dxa"/>
            <w:vAlign w:val="bottom"/>
          </w:tcPr>
          <w:p>
            <w:pPr>
              <w:ind w:left="140"/>
              <w:spacing w:after="0" w:line="116" w:lineRule="exact"/>
              <w:rPr>
                <w:sz w:val="20"/>
                <w:szCs w:val="20"/>
                <w:color w:val="auto"/>
              </w:rPr>
            </w:pPr>
            <w:r>
              <w:rPr>
                <w:rFonts w:ascii="Arial" w:cs="Arial" w:eastAsia="Arial" w:hAnsi="Arial"/>
                <w:sz w:val="11"/>
                <w:szCs w:val="11"/>
                <w:b w:val="1"/>
                <w:bCs w:val="1"/>
                <w:color w:val="auto"/>
              </w:rPr>
              <w:t xml:space="preserve">     </w:t>
            </w:r>
          </w:p>
        </w:tc>
        <w:tc>
          <w:tcPr>
            <w:tcW w:w="1000" w:type="dxa"/>
            <w:vAlign w:val="bottom"/>
            <w:gridSpan w:val="2"/>
          </w:tcPr>
          <w:p>
            <w:pPr>
              <w:ind w:left="40"/>
              <w:spacing w:after="0" w:line="116" w:lineRule="exact"/>
              <w:rPr>
                <w:sz w:val="20"/>
                <w:szCs w:val="20"/>
                <w:color w:val="auto"/>
              </w:rPr>
            </w:pPr>
            <w:r>
              <w:rPr>
                <w:rFonts w:ascii="Arial" w:cs="Arial" w:eastAsia="Arial" w:hAnsi="Arial"/>
                <w:sz w:val="11"/>
                <w:szCs w:val="11"/>
                <w:b w:val="1"/>
                <w:bCs w:val="1"/>
                <w:color w:val="auto"/>
              </w:rPr>
              <w:t>MAXIMUM</w:t>
            </w:r>
          </w:p>
        </w:tc>
        <w:tc>
          <w:tcPr>
            <w:tcW w:w="720" w:type="dxa"/>
            <w:vAlign w:val="bottom"/>
          </w:tcPr>
          <w:p>
            <w:pPr>
              <w:jc w:val="center"/>
              <w:ind w:right="125"/>
              <w:spacing w:after="0" w:line="116" w:lineRule="exact"/>
              <w:rPr>
                <w:sz w:val="20"/>
                <w:szCs w:val="20"/>
                <w:color w:val="auto"/>
              </w:rPr>
            </w:pPr>
            <w:r>
              <w:rPr>
                <w:rFonts w:ascii="Arial" w:cs="Arial" w:eastAsia="Arial" w:hAnsi="Arial"/>
                <w:sz w:val="11"/>
                <w:szCs w:val="11"/>
                <w:b w:val="1"/>
                <w:bCs w:val="1"/>
                <w:color w:val="auto"/>
                <w:w w:val="95"/>
              </w:rPr>
              <w:t>OR UNITS</w:t>
            </w:r>
          </w:p>
        </w:tc>
        <w:tc>
          <w:tcPr>
            <w:tcW w:w="1200" w:type="dxa"/>
            <w:vAlign w:val="bottom"/>
          </w:tcPr>
          <w:p>
            <w:pPr>
              <w:jc w:val="right"/>
              <w:ind w:right="25"/>
              <w:spacing w:after="0" w:line="116" w:lineRule="exact"/>
              <w:rPr>
                <w:sz w:val="20"/>
                <w:szCs w:val="20"/>
                <w:color w:val="auto"/>
              </w:rPr>
            </w:pPr>
            <w:r>
              <w:rPr>
                <w:rFonts w:ascii="Arial" w:cs="Arial" w:eastAsia="Arial" w:hAnsi="Arial"/>
                <w:sz w:val="11"/>
                <w:szCs w:val="11"/>
                <w:b w:val="1"/>
                <w:bCs w:val="1"/>
                <w:color w:val="auto"/>
              </w:rPr>
              <w:t>OPTION</w:t>
            </w:r>
          </w:p>
        </w:tc>
        <w:tc>
          <w:tcPr>
            <w:tcW w:w="0" w:type="dxa"/>
            <w:vAlign w:val="bottom"/>
          </w:tcPr>
          <w:p>
            <w:pPr>
              <w:spacing w:after="0"/>
              <w:rPr>
                <w:sz w:val="1"/>
                <w:szCs w:val="1"/>
                <w:color w:val="auto"/>
              </w:rPr>
            </w:pPr>
          </w:p>
        </w:tc>
      </w:tr>
      <w:tr>
        <w:trPr>
          <w:trHeight w:val="186"/>
        </w:trPr>
        <w:tc>
          <w:tcPr>
            <w:tcW w:w="2500" w:type="dxa"/>
            <w:vAlign w:val="bottom"/>
          </w:tcPr>
          <w:p>
            <w:pPr>
              <w:spacing w:after="0"/>
              <w:rPr>
                <w:sz w:val="20"/>
                <w:szCs w:val="20"/>
                <w:color w:val="auto"/>
              </w:rPr>
            </w:pPr>
            <w:r>
              <w:rPr>
                <w:rFonts w:ascii="Arial" w:cs="Arial" w:eastAsia="Arial" w:hAnsi="Arial"/>
                <w:sz w:val="11"/>
                <w:szCs w:val="11"/>
                <w:b w:val="1"/>
                <w:bCs w:val="1"/>
                <w:color w:val="auto"/>
              </w:rPr>
              <w:t>  NAME</w:t>
            </w:r>
          </w:p>
        </w:tc>
        <w:tc>
          <w:tcPr>
            <w:tcW w:w="1400" w:type="dxa"/>
            <w:vAlign w:val="bottom"/>
            <w:gridSpan w:val="2"/>
          </w:tcPr>
          <w:p>
            <w:pPr>
              <w:jc w:val="right"/>
              <w:ind w:right="407"/>
              <w:spacing w:after="0"/>
              <w:rPr>
                <w:sz w:val="20"/>
                <w:szCs w:val="20"/>
                <w:color w:val="auto"/>
              </w:rPr>
            </w:pPr>
            <w:r>
              <w:rPr>
                <w:rFonts w:ascii="Arial" w:cs="Arial" w:eastAsia="Arial" w:hAnsi="Arial"/>
                <w:sz w:val="11"/>
                <w:szCs w:val="11"/>
                <w:b w:val="1"/>
                <w:bCs w:val="1"/>
                <w:color w:val="auto"/>
              </w:rPr>
              <w:t>GRANT DATE</w:t>
            </w:r>
          </w:p>
        </w:tc>
        <w:tc>
          <w:tcPr>
            <w:tcW w:w="940" w:type="dxa"/>
            <w:vAlign w:val="bottom"/>
          </w:tcPr>
          <w:p>
            <w:pPr>
              <w:jc w:val="right"/>
              <w:ind w:right="85"/>
              <w:spacing w:after="0"/>
              <w:rPr>
                <w:sz w:val="20"/>
                <w:szCs w:val="20"/>
                <w:color w:val="auto"/>
              </w:rPr>
            </w:pPr>
            <w:r>
              <w:rPr>
                <w:rFonts w:ascii="Arial" w:cs="Arial" w:eastAsia="Arial" w:hAnsi="Arial"/>
                <w:sz w:val="11"/>
                <w:szCs w:val="11"/>
                <w:b w:val="1"/>
                <w:bCs w:val="1"/>
                <w:color w:val="auto"/>
              </w:rPr>
              <w:t>($)</w:t>
            </w:r>
          </w:p>
        </w:tc>
        <w:tc>
          <w:tcPr>
            <w:tcW w:w="1020" w:type="dxa"/>
            <w:vAlign w:val="bottom"/>
          </w:tcPr>
          <w:p>
            <w:pPr>
              <w:jc w:val="right"/>
              <w:ind w:right="82"/>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spacing w:after="0"/>
              <w:rPr>
                <w:sz w:val="16"/>
                <w:szCs w:val="16"/>
                <w:color w:val="auto"/>
              </w:rPr>
            </w:pPr>
          </w:p>
        </w:tc>
        <w:tc>
          <w:tcPr>
            <w:tcW w:w="1000" w:type="dxa"/>
            <w:vAlign w:val="bottom"/>
            <w:gridSpan w:val="2"/>
          </w:tcPr>
          <w:p>
            <w:pPr>
              <w:jc w:val="right"/>
              <w:ind w:right="395"/>
              <w:spacing w:after="0"/>
              <w:rPr>
                <w:sz w:val="20"/>
                <w:szCs w:val="20"/>
                <w:color w:val="auto"/>
              </w:rPr>
            </w:pPr>
            <w:r>
              <w:rPr>
                <w:rFonts w:ascii="Arial" w:cs="Arial" w:eastAsia="Arial" w:hAnsi="Arial"/>
                <w:sz w:val="11"/>
                <w:szCs w:val="11"/>
                <w:b w:val="1"/>
                <w:bCs w:val="1"/>
                <w:color w:val="auto"/>
              </w:rPr>
              <w:t>($)</w:t>
            </w:r>
          </w:p>
        </w:tc>
        <w:tc>
          <w:tcPr>
            <w:tcW w:w="720" w:type="dxa"/>
            <w:vAlign w:val="bottom"/>
          </w:tcPr>
          <w:p>
            <w:pPr>
              <w:jc w:val="center"/>
              <w:ind w:right="125"/>
              <w:spacing w:after="0"/>
              <w:rPr>
                <w:sz w:val="20"/>
                <w:szCs w:val="20"/>
                <w:color w:val="auto"/>
              </w:rPr>
            </w:pPr>
            <w:r>
              <w:rPr>
                <w:rFonts w:ascii="Arial" w:cs="Arial" w:eastAsia="Arial" w:hAnsi="Arial"/>
                <w:sz w:val="11"/>
                <w:szCs w:val="11"/>
                <w:b w:val="1"/>
                <w:bCs w:val="1"/>
                <w:color w:val="auto"/>
                <w:w w:val="91"/>
              </w:rPr>
              <w:t>(#)</w:t>
            </w:r>
            <w:r>
              <w:rPr>
                <w:rFonts w:ascii="Arial" w:cs="Arial" w:eastAsia="Arial" w:hAnsi="Arial"/>
                <w:sz w:val="13"/>
                <w:szCs w:val="13"/>
                <w:b w:val="1"/>
                <w:bCs w:val="1"/>
                <w:color w:val="auto"/>
                <w:w w:val="91"/>
                <w:vertAlign w:val="superscript"/>
              </w:rPr>
              <w:t>(2)</w:t>
            </w:r>
          </w:p>
        </w:tc>
        <w:tc>
          <w:tcPr>
            <w:tcW w:w="1200" w:type="dxa"/>
            <w:vAlign w:val="bottom"/>
          </w:tcPr>
          <w:p>
            <w:pPr>
              <w:jc w:val="right"/>
              <w:ind w:right="25"/>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3"/>
                <w:szCs w:val="13"/>
                <w:b w:val="1"/>
                <w:bCs w:val="1"/>
                <w:color w:val="auto"/>
                <w:vertAlign w:val="superscript"/>
              </w:rPr>
              <w:t>(3)</w:t>
            </w:r>
          </w:p>
        </w:tc>
        <w:tc>
          <w:tcPr>
            <w:tcW w:w="0" w:type="dxa"/>
            <w:vAlign w:val="bottom"/>
          </w:tcPr>
          <w:p>
            <w:pPr>
              <w:spacing w:after="0"/>
              <w:rPr>
                <w:sz w:val="1"/>
                <w:szCs w:val="1"/>
                <w:color w:val="auto"/>
              </w:rPr>
            </w:pPr>
          </w:p>
        </w:tc>
      </w:tr>
      <w:tr>
        <w:trPr>
          <w:trHeight w:val="207"/>
        </w:trPr>
        <w:tc>
          <w:tcPr>
            <w:tcW w:w="250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1220" w:type="dxa"/>
            <w:vAlign w:val="bottom"/>
            <w:shd w:val="clear" w:color="auto" w:fill="E8F4FF"/>
          </w:tcPr>
          <w:p>
            <w:pPr>
              <w:jc w:val="right"/>
              <w:ind w:right="221"/>
              <w:spacing w:after="0"/>
              <w:rPr>
                <w:sz w:val="20"/>
                <w:szCs w:val="20"/>
                <w:color w:val="auto"/>
              </w:rPr>
            </w:pPr>
            <w:r>
              <w:rPr>
                <w:rFonts w:ascii="Arial" w:cs="Arial" w:eastAsia="Arial" w:hAnsi="Arial"/>
                <w:sz w:val="12"/>
                <w:szCs w:val="12"/>
                <w:color w:val="auto"/>
              </w:rPr>
              <w:t>N/A</w:t>
            </w:r>
          </w:p>
        </w:tc>
        <w:tc>
          <w:tcPr>
            <w:tcW w:w="180" w:type="dxa"/>
            <w:vAlign w:val="bottom"/>
            <w:shd w:val="clear" w:color="auto" w:fill="E8F4FF"/>
          </w:tcPr>
          <w:p>
            <w:pPr>
              <w:spacing w:after="0"/>
              <w:rPr>
                <w:sz w:val="18"/>
                <w:szCs w:val="18"/>
                <w:color w:val="auto"/>
              </w:rPr>
            </w:pPr>
          </w:p>
        </w:tc>
        <w:tc>
          <w:tcPr>
            <w:tcW w:w="94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1,250</w:t>
            </w:r>
          </w:p>
        </w:tc>
        <w:tc>
          <w:tcPr>
            <w:tcW w:w="1020" w:type="dxa"/>
            <w:vAlign w:val="bottom"/>
            <w:shd w:val="clear" w:color="auto" w:fill="E8F4FF"/>
          </w:tcPr>
          <w:p>
            <w:pPr>
              <w:jc w:val="right"/>
              <w:ind w:right="82"/>
              <w:spacing w:after="0"/>
              <w:rPr>
                <w:sz w:val="20"/>
                <w:szCs w:val="20"/>
                <w:color w:val="auto"/>
              </w:rPr>
            </w:pPr>
            <w:r>
              <w:rPr>
                <w:rFonts w:ascii="Arial" w:cs="Arial" w:eastAsia="Arial" w:hAnsi="Arial"/>
                <w:sz w:val="12"/>
                <w:szCs w:val="12"/>
                <w:color w:val="auto"/>
              </w:rPr>
              <w:t>500,000</w:t>
            </w:r>
          </w:p>
        </w:tc>
        <w:tc>
          <w:tcPr>
            <w:tcW w:w="420" w:type="dxa"/>
            <w:vAlign w:val="bottom"/>
            <w:shd w:val="clear" w:color="auto" w:fill="E8F4FF"/>
          </w:tcPr>
          <w:p>
            <w:pPr>
              <w:spacing w:after="0"/>
              <w:rPr>
                <w:sz w:val="18"/>
                <w:szCs w:val="18"/>
                <w:color w:val="auto"/>
              </w:rPr>
            </w:pPr>
          </w:p>
        </w:tc>
        <w:tc>
          <w:tcPr>
            <w:tcW w:w="560" w:type="dxa"/>
            <w:vAlign w:val="bottom"/>
            <w:shd w:val="clear" w:color="auto" w:fill="E8F4FF"/>
          </w:tcPr>
          <w:p>
            <w:pPr>
              <w:jc w:val="right"/>
              <w:spacing w:after="0"/>
              <w:rPr>
                <w:sz w:val="20"/>
                <w:szCs w:val="20"/>
                <w:color w:val="auto"/>
              </w:rPr>
            </w:pPr>
            <w:r>
              <w:rPr>
                <w:rFonts w:ascii="Arial" w:cs="Arial" w:eastAsia="Arial" w:hAnsi="Arial"/>
                <w:sz w:val="12"/>
                <w:szCs w:val="12"/>
                <w:color w:val="auto"/>
              </w:rPr>
              <w:t>750,000</w:t>
            </w:r>
          </w:p>
        </w:tc>
        <w:tc>
          <w:tcPr>
            <w:tcW w:w="440" w:type="dxa"/>
            <w:vAlign w:val="bottom"/>
            <w:shd w:val="clear" w:color="auto" w:fill="E8F4FF"/>
          </w:tcPr>
          <w:p>
            <w:pPr>
              <w:spacing w:after="0"/>
              <w:rPr>
                <w:sz w:val="18"/>
                <w:szCs w:val="18"/>
                <w:color w:val="auto"/>
              </w:rPr>
            </w:pPr>
          </w:p>
        </w:tc>
        <w:tc>
          <w:tcPr>
            <w:tcW w:w="720" w:type="dxa"/>
            <w:vAlign w:val="bottom"/>
            <w:shd w:val="clear" w:color="auto" w:fill="E8F4FF"/>
          </w:tcPr>
          <w:p>
            <w:pPr>
              <w:spacing w:after="0"/>
              <w:rPr>
                <w:sz w:val="18"/>
                <w:szCs w:val="18"/>
                <w:color w:val="auto"/>
              </w:rPr>
            </w:pPr>
          </w:p>
        </w:tc>
        <w:tc>
          <w:tcPr>
            <w:tcW w:w="1200" w:type="dxa"/>
            <w:vAlign w:val="bottom"/>
            <w:shd w:val="clear" w:color="auto" w:fill="E8F4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E8F4FF"/>
          </w:tcPr>
          <w:p>
            <w:pPr>
              <w:spacing w:after="0"/>
              <w:rPr>
                <w:sz w:val="22"/>
                <w:szCs w:val="22"/>
                <w:color w:val="auto"/>
              </w:rPr>
            </w:pPr>
          </w:p>
        </w:tc>
        <w:tc>
          <w:tcPr>
            <w:tcW w:w="1220" w:type="dxa"/>
            <w:vAlign w:val="bottom"/>
            <w:shd w:val="clear" w:color="auto" w:fill="E8F4FF"/>
          </w:tcPr>
          <w:p>
            <w:pPr>
              <w:jc w:val="right"/>
              <w:ind w:right="221"/>
              <w:spacing w:after="0"/>
              <w:rPr>
                <w:sz w:val="20"/>
                <w:szCs w:val="20"/>
                <w:color w:val="auto"/>
              </w:rPr>
            </w:pPr>
            <w:r>
              <w:rPr>
                <w:rFonts w:ascii="Arial" w:cs="Arial" w:eastAsia="Arial" w:hAnsi="Arial"/>
                <w:sz w:val="12"/>
                <w:szCs w:val="12"/>
                <w:color w:val="auto"/>
              </w:rPr>
              <w:t>3/13/2025</w:t>
            </w:r>
          </w:p>
        </w:tc>
        <w:tc>
          <w:tcPr>
            <w:tcW w:w="180" w:type="dxa"/>
            <w:vAlign w:val="bottom"/>
            <w:shd w:val="clear" w:color="auto" w:fill="E8F4FF"/>
          </w:tcPr>
          <w:p>
            <w:pPr>
              <w:spacing w:after="0"/>
              <w:rPr>
                <w:sz w:val="22"/>
                <w:szCs w:val="22"/>
                <w:color w:val="auto"/>
              </w:rPr>
            </w:pPr>
          </w:p>
        </w:tc>
        <w:tc>
          <w:tcPr>
            <w:tcW w:w="940" w:type="dxa"/>
            <w:vAlign w:val="bottom"/>
            <w:shd w:val="clear" w:color="auto" w:fill="E8F4FF"/>
          </w:tcPr>
          <w:p>
            <w:pPr>
              <w:spacing w:after="0"/>
              <w:rPr>
                <w:sz w:val="22"/>
                <w:szCs w:val="22"/>
                <w:color w:val="auto"/>
              </w:rPr>
            </w:pPr>
          </w:p>
        </w:tc>
        <w:tc>
          <w:tcPr>
            <w:tcW w:w="1020" w:type="dxa"/>
            <w:vAlign w:val="bottom"/>
            <w:shd w:val="clear" w:color="auto" w:fill="E8F4FF"/>
          </w:tcPr>
          <w:p>
            <w:pPr>
              <w:spacing w:after="0"/>
              <w:rPr>
                <w:sz w:val="22"/>
                <w:szCs w:val="22"/>
                <w:color w:val="auto"/>
              </w:rPr>
            </w:pPr>
          </w:p>
        </w:tc>
        <w:tc>
          <w:tcPr>
            <w:tcW w:w="420" w:type="dxa"/>
            <w:vAlign w:val="bottom"/>
            <w:shd w:val="clear" w:color="auto" w:fill="E8F4FF"/>
          </w:tcPr>
          <w:p>
            <w:pPr>
              <w:spacing w:after="0"/>
              <w:rPr>
                <w:sz w:val="22"/>
                <w:szCs w:val="22"/>
                <w:color w:val="auto"/>
              </w:rPr>
            </w:pPr>
          </w:p>
        </w:tc>
        <w:tc>
          <w:tcPr>
            <w:tcW w:w="560" w:type="dxa"/>
            <w:vAlign w:val="bottom"/>
            <w:shd w:val="clear" w:color="auto" w:fill="E8F4FF"/>
          </w:tcPr>
          <w:p>
            <w:pPr>
              <w:spacing w:after="0"/>
              <w:rPr>
                <w:sz w:val="22"/>
                <w:szCs w:val="22"/>
                <w:color w:val="auto"/>
              </w:rPr>
            </w:pPr>
          </w:p>
        </w:tc>
        <w:tc>
          <w:tcPr>
            <w:tcW w:w="440" w:type="dxa"/>
            <w:vAlign w:val="bottom"/>
            <w:shd w:val="clear" w:color="auto" w:fill="E8F4FF"/>
          </w:tcPr>
          <w:p>
            <w:pPr>
              <w:ind w:left="360"/>
              <w:spacing w:after="0"/>
              <w:rPr>
                <w:sz w:val="20"/>
                <w:szCs w:val="20"/>
                <w:color w:val="auto"/>
              </w:rPr>
            </w:pPr>
            <w:r>
              <w:rPr>
                <w:rFonts w:ascii="Arial" w:cs="Arial" w:eastAsia="Arial" w:hAnsi="Arial"/>
                <w:sz w:val="6"/>
                <w:szCs w:val="6"/>
                <w:color w:val="auto"/>
                <w:w w:val="77"/>
              </w:rPr>
              <w:t>  </w:t>
            </w:r>
          </w:p>
        </w:tc>
        <w:tc>
          <w:tcPr>
            <w:tcW w:w="720" w:type="dxa"/>
            <w:vAlign w:val="bottom"/>
            <w:shd w:val="clear" w:color="auto" w:fill="E8F4FF"/>
          </w:tcPr>
          <w:p>
            <w:pPr>
              <w:jc w:val="right"/>
              <w:ind w:right="45"/>
              <w:spacing w:after="0"/>
              <w:rPr>
                <w:sz w:val="20"/>
                <w:szCs w:val="20"/>
                <w:color w:val="auto"/>
              </w:rPr>
            </w:pPr>
            <w:r>
              <w:rPr>
                <w:rFonts w:ascii="Arial" w:cs="Arial" w:eastAsia="Arial" w:hAnsi="Arial"/>
                <w:sz w:val="12"/>
                <w:szCs w:val="12"/>
                <w:color w:val="auto"/>
                <w:w w:val="96"/>
              </w:rPr>
              <w:t>   765,550</w:t>
            </w:r>
          </w:p>
        </w:tc>
        <w:tc>
          <w:tcPr>
            <w:tcW w:w="1200" w:type="dxa"/>
            <w:vAlign w:val="bottom"/>
            <w:shd w:val="clear" w:color="auto" w:fill="E8F4FF"/>
          </w:tcPr>
          <w:p>
            <w:pPr>
              <w:jc w:val="right"/>
              <w:ind w:right="25"/>
              <w:spacing w:after="0"/>
              <w:rPr>
                <w:sz w:val="20"/>
                <w:szCs w:val="20"/>
                <w:color w:val="auto"/>
              </w:rPr>
            </w:pPr>
            <w:r>
              <w:rPr>
                <w:rFonts w:ascii="Arial" w:cs="Arial" w:eastAsia="Arial" w:hAnsi="Arial"/>
                <w:sz w:val="12"/>
                <w:szCs w:val="12"/>
                <w:color w:val="auto"/>
              </w:rPr>
              <w:t>          $7,732,055</w:t>
            </w:r>
          </w:p>
        </w:tc>
        <w:tc>
          <w:tcPr>
            <w:tcW w:w="0" w:type="dxa"/>
            <w:vAlign w:val="bottom"/>
          </w:tcPr>
          <w:p>
            <w:pPr>
              <w:spacing w:after="0"/>
              <w:rPr>
                <w:sz w:val="1"/>
                <w:szCs w:val="1"/>
                <w:color w:val="auto"/>
              </w:rPr>
            </w:pPr>
          </w:p>
        </w:tc>
      </w:tr>
      <w:tr>
        <w:trPr>
          <w:trHeight w:val="75"/>
        </w:trPr>
        <w:tc>
          <w:tcPr>
            <w:tcW w:w="2500" w:type="dxa"/>
            <w:vAlign w:val="bottom"/>
            <w:shd w:val="clear" w:color="auto" w:fill="E8F4FF"/>
          </w:tcPr>
          <w:p>
            <w:pPr>
              <w:spacing w:after="0"/>
              <w:rPr>
                <w:sz w:val="6"/>
                <w:szCs w:val="6"/>
                <w:color w:val="auto"/>
              </w:rPr>
            </w:pPr>
          </w:p>
        </w:tc>
        <w:tc>
          <w:tcPr>
            <w:tcW w:w="1220" w:type="dxa"/>
            <w:vAlign w:val="bottom"/>
            <w:shd w:val="clear" w:color="auto" w:fill="E8F4FF"/>
          </w:tcPr>
          <w:p>
            <w:pPr>
              <w:spacing w:after="0"/>
              <w:rPr>
                <w:sz w:val="6"/>
                <w:szCs w:val="6"/>
                <w:color w:val="auto"/>
              </w:rPr>
            </w:pPr>
          </w:p>
        </w:tc>
        <w:tc>
          <w:tcPr>
            <w:tcW w:w="180" w:type="dxa"/>
            <w:vAlign w:val="bottom"/>
            <w:shd w:val="clear" w:color="auto" w:fill="E8F4FF"/>
          </w:tcPr>
          <w:p>
            <w:pPr>
              <w:spacing w:after="0"/>
              <w:rPr>
                <w:sz w:val="6"/>
                <w:szCs w:val="6"/>
                <w:color w:val="auto"/>
              </w:rPr>
            </w:pPr>
          </w:p>
        </w:tc>
        <w:tc>
          <w:tcPr>
            <w:tcW w:w="940" w:type="dxa"/>
            <w:vAlign w:val="bottom"/>
            <w:shd w:val="clear" w:color="auto" w:fill="E8F4FF"/>
          </w:tcPr>
          <w:p>
            <w:pPr>
              <w:spacing w:after="0"/>
              <w:rPr>
                <w:sz w:val="6"/>
                <w:szCs w:val="6"/>
                <w:color w:val="auto"/>
              </w:rPr>
            </w:pPr>
          </w:p>
        </w:tc>
        <w:tc>
          <w:tcPr>
            <w:tcW w:w="1020" w:type="dxa"/>
            <w:vAlign w:val="bottom"/>
            <w:shd w:val="clear" w:color="auto" w:fill="E8F4FF"/>
          </w:tcPr>
          <w:p>
            <w:pPr>
              <w:spacing w:after="0"/>
              <w:rPr>
                <w:sz w:val="6"/>
                <w:szCs w:val="6"/>
                <w:color w:val="auto"/>
              </w:rPr>
            </w:pPr>
          </w:p>
        </w:tc>
        <w:tc>
          <w:tcPr>
            <w:tcW w:w="420" w:type="dxa"/>
            <w:vAlign w:val="bottom"/>
            <w:shd w:val="clear" w:color="auto" w:fill="E8F4FF"/>
          </w:tcPr>
          <w:p>
            <w:pPr>
              <w:spacing w:after="0"/>
              <w:rPr>
                <w:sz w:val="6"/>
                <w:szCs w:val="6"/>
                <w:color w:val="auto"/>
              </w:rPr>
            </w:pPr>
          </w:p>
        </w:tc>
        <w:tc>
          <w:tcPr>
            <w:tcW w:w="560" w:type="dxa"/>
            <w:vAlign w:val="bottom"/>
            <w:shd w:val="clear" w:color="auto" w:fill="E8F4FF"/>
          </w:tcPr>
          <w:p>
            <w:pPr>
              <w:spacing w:after="0"/>
              <w:rPr>
                <w:sz w:val="6"/>
                <w:szCs w:val="6"/>
                <w:color w:val="auto"/>
              </w:rPr>
            </w:pPr>
          </w:p>
        </w:tc>
        <w:tc>
          <w:tcPr>
            <w:tcW w:w="440" w:type="dxa"/>
            <w:vAlign w:val="bottom"/>
            <w:shd w:val="clear" w:color="auto" w:fill="E8F4FF"/>
          </w:tcPr>
          <w:p>
            <w:pPr>
              <w:spacing w:after="0"/>
              <w:rPr>
                <w:sz w:val="6"/>
                <w:szCs w:val="6"/>
                <w:color w:val="auto"/>
              </w:rPr>
            </w:pPr>
          </w:p>
        </w:tc>
        <w:tc>
          <w:tcPr>
            <w:tcW w:w="720" w:type="dxa"/>
            <w:vAlign w:val="bottom"/>
            <w:shd w:val="clear" w:color="auto" w:fill="E8F4FF"/>
          </w:tcPr>
          <w:p>
            <w:pPr>
              <w:spacing w:after="0"/>
              <w:rPr>
                <w:sz w:val="6"/>
                <w:szCs w:val="6"/>
                <w:color w:val="auto"/>
              </w:rPr>
            </w:pPr>
          </w:p>
        </w:tc>
        <w:tc>
          <w:tcPr>
            <w:tcW w:w="1200" w:type="dxa"/>
            <w:vAlign w:val="bottom"/>
            <w:shd w:val="clear" w:color="auto" w:fill="E8F4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1400" w:type="dxa"/>
            <w:vAlign w:val="bottom"/>
            <w:gridSpan w:val="2"/>
          </w:tcPr>
          <w:p>
            <w:pPr>
              <w:jc w:val="right"/>
              <w:ind w:right="407"/>
              <w:spacing w:after="0"/>
              <w:rPr>
                <w:sz w:val="20"/>
                <w:szCs w:val="20"/>
                <w:color w:val="auto"/>
              </w:rPr>
            </w:pPr>
            <w:r>
              <w:rPr>
                <w:rFonts w:ascii="Arial" w:cs="Arial" w:eastAsia="Arial" w:hAnsi="Arial"/>
                <w:sz w:val="12"/>
                <w:szCs w:val="12"/>
                <w:color w:val="auto"/>
              </w:rPr>
              <w:t>N/A</w:t>
            </w:r>
          </w:p>
        </w:tc>
        <w:tc>
          <w:tcPr>
            <w:tcW w:w="940" w:type="dxa"/>
            <w:vAlign w:val="bottom"/>
          </w:tcPr>
          <w:p>
            <w:pPr>
              <w:jc w:val="right"/>
              <w:ind w:right="85"/>
              <w:spacing w:after="0"/>
              <w:rPr>
                <w:sz w:val="20"/>
                <w:szCs w:val="20"/>
                <w:color w:val="auto"/>
              </w:rPr>
            </w:pPr>
            <w:r>
              <w:rPr>
                <w:rFonts w:ascii="Arial" w:cs="Arial" w:eastAsia="Arial" w:hAnsi="Arial"/>
                <w:sz w:val="12"/>
                <w:szCs w:val="12"/>
                <w:color w:val="auto"/>
              </w:rPr>
              <w:t>750</w:t>
            </w: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300,000</w:t>
            </w:r>
          </w:p>
        </w:tc>
        <w:tc>
          <w:tcPr>
            <w:tcW w:w="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220" w:type="dxa"/>
            <w:vAlign w:val="bottom"/>
          </w:tcPr>
          <w:p>
            <w:pPr>
              <w:jc w:val="right"/>
              <w:ind w:right="221"/>
              <w:spacing w:after="0"/>
              <w:rPr>
                <w:sz w:val="20"/>
                <w:szCs w:val="20"/>
                <w:color w:val="auto"/>
              </w:rPr>
            </w:pPr>
            <w:r>
              <w:rPr>
                <w:rFonts w:ascii="Arial" w:cs="Arial" w:eastAsia="Arial" w:hAnsi="Arial"/>
                <w:sz w:val="12"/>
                <w:szCs w:val="12"/>
                <w:color w:val="auto"/>
              </w:rPr>
              <w:t>3/13/2025</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ind w:right="45"/>
              <w:spacing w:after="0"/>
              <w:rPr>
                <w:sz w:val="20"/>
                <w:szCs w:val="20"/>
                <w:color w:val="auto"/>
              </w:rPr>
            </w:pPr>
            <w:r>
              <w:rPr>
                <w:rFonts w:ascii="Arial" w:cs="Arial" w:eastAsia="Arial" w:hAnsi="Arial"/>
                <w:sz w:val="12"/>
                <w:szCs w:val="12"/>
                <w:color w:val="auto"/>
              </w:rPr>
              <w:t>444,976</w:t>
            </w:r>
          </w:p>
        </w:tc>
        <w:tc>
          <w:tcPr>
            <w:tcW w:w="1200" w:type="dxa"/>
            <w:vAlign w:val="bottom"/>
          </w:tcPr>
          <w:p>
            <w:pPr>
              <w:jc w:val="right"/>
              <w:ind w:right="25"/>
              <w:spacing w:after="0"/>
              <w:rPr>
                <w:sz w:val="20"/>
                <w:szCs w:val="20"/>
                <w:color w:val="auto"/>
              </w:rPr>
            </w:pPr>
            <w:r>
              <w:rPr>
                <w:rFonts w:ascii="Arial" w:cs="Arial" w:eastAsia="Arial" w:hAnsi="Arial"/>
                <w:sz w:val="12"/>
                <w:szCs w:val="12"/>
                <w:color w:val="auto"/>
              </w:rPr>
              <w:t>$4,494,258</w:t>
            </w:r>
          </w:p>
        </w:tc>
        <w:tc>
          <w:tcPr>
            <w:tcW w:w="0" w:type="dxa"/>
            <w:vAlign w:val="bottom"/>
          </w:tcPr>
          <w:p>
            <w:pPr>
              <w:spacing w:after="0"/>
              <w:rPr>
                <w:sz w:val="1"/>
                <w:szCs w:val="1"/>
                <w:color w:val="auto"/>
              </w:rPr>
            </w:pPr>
          </w:p>
        </w:tc>
      </w:tr>
      <w:tr>
        <w:trPr>
          <w:trHeight w:val="75"/>
        </w:trPr>
        <w:tc>
          <w:tcPr>
            <w:tcW w:w="2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1220" w:type="dxa"/>
            <w:vAlign w:val="bottom"/>
            <w:shd w:val="clear" w:color="auto" w:fill="E8F4FF"/>
          </w:tcPr>
          <w:p>
            <w:pPr>
              <w:jc w:val="right"/>
              <w:ind w:right="221"/>
              <w:spacing w:after="0"/>
              <w:rPr>
                <w:sz w:val="20"/>
                <w:szCs w:val="20"/>
                <w:color w:val="auto"/>
              </w:rPr>
            </w:pPr>
            <w:r>
              <w:rPr>
                <w:rFonts w:ascii="Arial" w:cs="Arial" w:eastAsia="Arial" w:hAnsi="Arial"/>
                <w:sz w:val="12"/>
                <w:szCs w:val="12"/>
                <w:color w:val="auto"/>
              </w:rPr>
              <w:t>N/A</w:t>
            </w:r>
          </w:p>
        </w:tc>
        <w:tc>
          <w:tcPr>
            <w:tcW w:w="180" w:type="dxa"/>
            <w:vAlign w:val="bottom"/>
            <w:shd w:val="clear" w:color="auto" w:fill="E8F4FF"/>
          </w:tcPr>
          <w:p>
            <w:pPr>
              <w:spacing w:after="0"/>
              <w:rPr>
                <w:sz w:val="17"/>
                <w:szCs w:val="17"/>
                <w:color w:val="auto"/>
              </w:rPr>
            </w:pPr>
          </w:p>
        </w:tc>
        <w:tc>
          <w:tcPr>
            <w:tcW w:w="94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750</w:t>
            </w:r>
          </w:p>
        </w:tc>
        <w:tc>
          <w:tcPr>
            <w:tcW w:w="1020" w:type="dxa"/>
            <w:vAlign w:val="bottom"/>
            <w:shd w:val="clear" w:color="auto" w:fill="E8F4FF"/>
          </w:tcPr>
          <w:p>
            <w:pPr>
              <w:jc w:val="right"/>
              <w:ind w:right="82"/>
              <w:spacing w:after="0"/>
              <w:rPr>
                <w:sz w:val="20"/>
                <w:szCs w:val="20"/>
                <w:color w:val="auto"/>
              </w:rPr>
            </w:pPr>
            <w:r>
              <w:rPr>
                <w:rFonts w:ascii="Arial" w:cs="Arial" w:eastAsia="Arial" w:hAnsi="Arial"/>
                <w:sz w:val="12"/>
                <w:szCs w:val="12"/>
                <w:color w:val="auto"/>
              </w:rPr>
              <w:t>300,000</w:t>
            </w:r>
          </w:p>
        </w:tc>
        <w:tc>
          <w:tcPr>
            <w:tcW w:w="420" w:type="dxa"/>
            <w:vAlign w:val="bottom"/>
            <w:shd w:val="clear" w:color="auto" w:fill="E8F4FF"/>
          </w:tcPr>
          <w:p>
            <w:pPr>
              <w:spacing w:after="0"/>
              <w:rPr>
                <w:sz w:val="17"/>
                <w:szCs w:val="17"/>
                <w:color w:val="auto"/>
              </w:rPr>
            </w:pPr>
          </w:p>
        </w:tc>
        <w:tc>
          <w:tcPr>
            <w:tcW w:w="560" w:type="dxa"/>
            <w:vAlign w:val="bottom"/>
            <w:shd w:val="clear" w:color="auto" w:fill="E8F4FF"/>
          </w:tcPr>
          <w:p>
            <w:pPr>
              <w:jc w:val="right"/>
              <w:spacing w:after="0"/>
              <w:rPr>
                <w:sz w:val="20"/>
                <w:szCs w:val="20"/>
                <w:color w:val="auto"/>
              </w:rPr>
            </w:pPr>
            <w:r>
              <w:rPr>
                <w:rFonts w:ascii="Arial" w:cs="Arial" w:eastAsia="Arial" w:hAnsi="Arial"/>
                <w:sz w:val="12"/>
                <w:szCs w:val="12"/>
                <w:color w:val="auto"/>
              </w:rPr>
              <w:t>450,000</w:t>
            </w:r>
          </w:p>
        </w:tc>
        <w:tc>
          <w:tcPr>
            <w:tcW w:w="440" w:type="dxa"/>
            <w:vAlign w:val="bottom"/>
            <w:shd w:val="clear" w:color="auto" w:fill="E8F4FF"/>
          </w:tcPr>
          <w:p>
            <w:pPr>
              <w:spacing w:after="0"/>
              <w:rPr>
                <w:sz w:val="17"/>
                <w:szCs w:val="17"/>
                <w:color w:val="auto"/>
              </w:rPr>
            </w:pPr>
          </w:p>
        </w:tc>
        <w:tc>
          <w:tcPr>
            <w:tcW w:w="720" w:type="dxa"/>
            <w:vAlign w:val="bottom"/>
            <w:shd w:val="clear" w:color="auto" w:fill="E8F4FF"/>
          </w:tcPr>
          <w:p>
            <w:pPr>
              <w:spacing w:after="0"/>
              <w:rPr>
                <w:sz w:val="17"/>
                <w:szCs w:val="17"/>
                <w:color w:val="auto"/>
              </w:rPr>
            </w:pPr>
          </w:p>
        </w:tc>
        <w:tc>
          <w:tcPr>
            <w:tcW w:w="1200" w:type="dxa"/>
            <w:vAlign w:val="bottom"/>
            <w:shd w:val="clear" w:color="auto" w:fill="E8F4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E8F4FF"/>
          </w:tcPr>
          <w:p>
            <w:pPr>
              <w:spacing w:after="0"/>
              <w:rPr>
                <w:sz w:val="22"/>
                <w:szCs w:val="22"/>
                <w:color w:val="auto"/>
              </w:rPr>
            </w:pPr>
          </w:p>
        </w:tc>
        <w:tc>
          <w:tcPr>
            <w:tcW w:w="1220" w:type="dxa"/>
            <w:vAlign w:val="bottom"/>
            <w:shd w:val="clear" w:color="auto" w:fill="E8F4FF"/>
          </w:tcPr>
          <w:p>
            <w:pPr>
              <w:jc w:val="right"/>
              <w:ind w:right="221"/>
              <w:spacing w:after="0"/>
              <w:rPr>
                <w:sz w:val="20"/>
                <w:szCs w:val="20"/>
                <w:color w:val="auto"/>
              </w:rPr>
            </w:pPr>
            <w:r>
              <w:rPr>
                <w:rFonts w:ascii="Arial" w:cs="Arial" w:eastAsia="Arial" w:hAnsi="Arial"/>
                <w:sz w:val="12"/>
                <w:szCs w:val="12"/>
                <w:color w:val="auto"/>
              </w:rPr>
              <w:t>3/13/2025</w:t>
            </w:r>
          </w:p>
        </w:tc>
        <w:tc>
          <w:tcPr>
            <w:tcW w:w="180" w:type="dxa"/>
            <w:vAlign w:val="bottom"/>
            <w:shd w:val="clear" w:color="auto" w:fill="E8F4FF"/>
          </w:tcPr>
          <w:p>
            <w:pPr>
              <w:spacing w:after="0"/>
              <w:rPr>
                <w:sz w:val="22"/>
                <w:szCs w:val="22"/>
                <w:color w:val="auto"/>
              </w:rPr>
            </w:pPr>
          </w:p>
        </w:tc>
        <w:tc>
          <w:tcPr>
            <w:tcW w:w="940" w:type="dxa"/>
            <w:vAlign w:val="bottom"/>
            <w:shd w:val="clear" w:color="auto" w:fill="E8F4FF"/>
          </w:tcPr>
          <w:p>
            <w:pPr>
              <w:spacing w:after="0"/>
              <w:rPr>
                <w:sz w:val="22"/>
                <w:szCs w:val="22"/>
                <w:color w:val="auto"/>
              </w:rPr>
            </w:pPr>
          </w:p>
        </w:tc>
        <w:tc>
          <w:tcPr>
            <w:tcW w:w="1020" w:type="dxa"/>
            <w:vAlign w:val="bottom"/>
            <w:shd w:val="clear" w:color="auto" w:fill="E8F4FF"/>
          </w:tcPr>
          <w:p>
            <w:pPr>
              <w:spacing w:after="0"/>
              <w:rPr>
                <w:sz w:val="22"/>
                <w:szCs w:val="22"/>
                <w:color w:val="auto"/>
              </w:rPr>
            </w:pPr>
          </w:p>
        </w:tc>
        <w:tc>
          <w:tcPr>
            <w:tcW w:w="420" w:type="dxa"/>
            <w:vAlign w:val="bottom"/>
            <w:shd w:val="clear" w:color="auto" w:fill="E8F4FF"/>
          </w:tcPr>
          <w:p>
            <w:pPr>
              <w:spacing w:after="0"/>
              <w:rPr>
                <w:sz w:val="22"/>
                <w:szCs w:val="22"/>
                <w:color w:val="auto"/>
              </w:rPr>
            </w:pPr>
          </w:p>
        </w:tc>
        <w:tc>
          <w:tcPr>
            <w:tcW w:w="560" w:type="dxa"/>
            <w:vAlign w:val="bottom"/>
            <w:shd w:val="clear" w:color="auto" w:fill="E8F4FF"/>
          </w:tcPr>
          <w:p>
            <w:pPr>
              <w:spacing w:after="0"/>
              <w:rPr>
                <w:sz w:val="22"/>
                <w:szCs w:val="22"/>
                <w:color w:val="auto"/>
              </w:rPr>
            </w:pPr>
          </w:p>
        </w:tc>
        <w:tc>
          <w:tcPr>
            <w:tcW w:w="440" w:type="dxa"/>
            <w:vAlign w:val="bottom"/>
            <w:shd w:val="clear" w:color="auto" w:fill="E8F4FF"/>
          </w:tcPr>
          <w:p>
            <w:pPr>
              <w:spacing w:after="0"/>
              <w:rPr>
                <w:sz w:val="22"/>
                <w:szCs w:val="22"/>
                <w:color w:val="auto"/>
              </w:rPr>
            </w:pPr>
          </w:p>
        </w:tc>
        <w:tc>
          <w:tcPr>
            <w:tcW w:w="720" w:type="dxa"/>
            <w:vAlign w:val="bottom"/>
            <w:shd w:val="clear" w:color="auto" w:fill="E8F4FF"/>
          </w:tcPr>
          <w:p>
            <w:pPr>
              <w:jc w:val="right"/>
              <w:ind w:right="45"/>
              <w:spacing w:after="0"/>
              <w:rPr>
                <w:sz w:val="20"/>
                <w:szCs w:val="20"/>
                <w:color w:val="auto"/>
              </w:rPr>
            </w:pPr>
            <w:r>
              <w:rPr>
                <w:rFonts w:ascii="Arial" w:cs="Arial" w:eastAsia="Arial" w:hAnsi="Arial"/>
                <w:sz w:val="12"/>
                <w:szCs w:val="12"/>
                <w:color w:val="auto"/>
              </w:rPr>
              <w:t>334,928</w:t>
            </w:r>
          </w:p>
        </w:tc>
        <w:tc>
          <w:tcPr>
            <w:tcW w:w="1200" w:type="dxa"/>
            <w:vAlign w:val="bottom"/>
            <w:shd w:val="clear" w:color="auto" w:fill="E8F4FF"/>
          </w:tcPr>
          <w:p>
            <w:pPr>
              <w:jc w:val="right"/>
              <w:ind w:right="25"/>
              <w:spacing w:after="0"/>
              <w:rPr>
                <w:sz w:val="20"/>
                <w:szCs w:val="20"/>
                <w:color w:val="auto"/>
              </w:rPr>
            </w:pPr>
            <w:r>
              <w:rPr>
                <w:rFonts w:ascii="Arial" w:cs="Arial" w:eastAsia="Arial" w:hAnsi="Arial"/>
                <w:sz w:val="12"/>
                <w:szCs w:val="12"/>
                <w:color w:val="auto"/>
              </w:rPr>
              <w:t>$3,382,773</w:t>
            </w:r>
          </w:p>
        </w:tc>
        <w:tc>
          <w:tcPr>
            <w:tcW w:w="0" w:type="dxa"/>
            <w:vAlign w:val="bottom"/>
          </w:tcPr>
          <w:p>
            <w:pPr>
              <w:spacing w:after="0"/>
              <w:rPr>
                <w:sz w:val="1"/>
                <w:szCs w:val="1"/>
                <w:color w:val="auto"/>
              </w:rPr>
            </w:pPr>
          </w:p>
        </w:tc>
      </w:tr>
      <w:tr>
        <w:trPr>
          <w:trHeight w:val="75"/>
        </w:trPr>
        <w:tc>
          <w:tcPr>
            <w:tcW w:w="2500" w:type="dxa"/>
            <w:vAlign w:val="bottom"/>
            <w:shd w:val="clear" w:color="auto" w:fill="E8F4FF"/>
          </w:tcPr>
          <w:p>
            <w:pPr>
              <w:spacing w:after="0"/>
              <w:rPr>
                <w:sz w:val="6"/>
                <w:szCs w:val="6"/>
                <w:color w:val="auto"/>
              </w:rPr>
            </w:pPr>
          </w:p>
        </w:tc>
        <w:tc>
          <w:tcPr>
            <w:tcW w:w="1220" w:type="dxa"/>
            <w:vAlign w:val="bottom"/>
            <w:shd w:val="clear" w:color="auto" w:fill="E8F4FF"/>
          </w:tcPr>
          <w:p>
            <w:pPr>
              <w:spacing w:after="0"/>
              <w:rPr>
                <w:sz w:val="6"/>
                <w:szCs w:val="6"/>
                <w:color w:val="auto"/>
              </w:rPr>
            </w:pPr>
          </w:p>
        </w:tc>
        <w:tc>
          <w:tcPr>
            <w:tcW w:w="180" w:type="dxa"/>
            <w:vAlign w:val="bottom"/>
            <w:shd w:val="clear" w:color="auto" w:fill="E8F4FF"/>
          </w:tcPr>
          <w:p>
            <w:pPr>
              <w:spacing w:after="0"/>
              <w:rPr>
                <w:sz w:val="6"/>
                <w:szCs w:val="6"/>
                <w:color w:val="auto"/>
              </w:rPr>
            </w:pPr>
          </w:p>
        </w:tc>
        <w:tc>
          <w:tcPr>
            <w:tcW w:w="940" w:type="dxa"/>
            <w:vAlign w:val="bottom"/>
            <w:shd w:val="clear" w:color="auto" w:fill="E8F4FF"/>
          </w:tcPr>
          <w:p>
            <w:pPr>
              <w:spacing w:after="0"/>
              <w:rPr>
                <w:sz w:val="6"/>
                <w:szCs w:val="6"/>
                <w:color w:val="auto"/>
              </w:rPr>
            </w:pPr>
          </w:p>
        </w:tc>
        <w:tc>
          <w:tcPr>
            <w:tcW w:w="1020" w:type="dxa"/>
            <w:vAlign w:val="bottom"/>
            <w:shd w:val="clear" w:color="auto" w:fill="E8F4FF"/>
          </w:tcPr>
          <w:p>
            <w:pPr>
              <w:spacing w:after="0"/>
              <w:rPr>
                <w:sz w:val="6"/>
                <w:szCs w:val="6"/>
                <w:color w:val="auto"/>
              </w:rPr>
            </w:pPr>
          </w:p>
        </w:tc>
        <w:tc>
          <w:tcPr>
            <w:tcW w:w="420" w:type="dxa"/>
            <w:vAlign w:val="bottom"/>
            <w:shd w:val="clear" w:color="auto" w:fill="E8F4FF"/>
          </w:tcPr>
          <w:p>
            <w:pPr>
              <w:spacing w:after="0"/>
              <w:rPr>
                <w:sz w:val="6"/>
                <w:szCs w:val="6"/>
                <w:color w:val="auto"/>
              </w:rPr>
            </w:pPr>
          </w:p>
        </w:tc>
        <w:tc>
          <w:tcPr>
            <w:tcW w:w="560" w:type="dxa"/>
            <w:vAlign w:val="bottom"/>
            <w:shd w:val="clear" w:color="auto" w:fill="E8F4FF"/>
          </w:tcPr>
          <w:p>
            <w:pPr>
              <w:spacing w:after="0"/>
              <w:rPr>
                <w:sz w:val="6"/>
                <w:szCs w:val="6"/>
                <w:color w:val="auto"/>
              </w:rPr>
            </w:pPr>
          </w:p>
        </w:tc>
        <w:tc>
          <w:tcPr>
            <w:tcW w:w="440" w:type="dxa"/>
            <w:vAlign w:val="bottom"/>
            <w:shd w:val="clear" w:color="auto" w:fill="E8F4FF"/>
          </w:tcPr>
          <w:p>
            <w:pPr>
              <w:spacing w:after="0"/>
              <w:rPr>
                <w:sz w:val="6"/>
                <w:szCs w:val="6"/>
                <w:color w:val="auto"/>
              </w:rPr>
            </w:pPr>
          </w:p>
        </w:tc>
        <w:tc>
          <w:tcPr>
            <w:tcW w:w="720" w:type="dxa"/>
            <w:vAlign w:val="bottom"/>
            <w:shd w:val="clear" w:color="auto" w:fill="E8F4FF"/>
          </w:tcPr>
          <w:p>
            <w:pPr>
              <w:spacing w:after="0"/>
              <w:rPr>
                <w:sz w:val="6"/>
                <w:szCs w:val="6"/>
                <w:color w:val="auto"/>
              </w:rPr>
            </w:pPr>
          </w:p>
        </w:tc>
        <w:tc>
          <w:tcPr>
            <w:tcW w:w="1200" w:type="dxa"/>
            <w:vAlign w:val="bottom"/>
            <w:shd w:val="clear" w:color="auto" w:fill="E8F4FF"/>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1400" w:type="dxa"/>
            <w:vAlign w:val="bottom"/>
            <w:gridSpan w:val="2"/>
          </w:tcPr>
          <w:p>
            <w:pPr>
              <w:jc w:val="right"/>
              <w:ind w:right="407"/>
              <w:spacing w:after="0"/>
              <w:rPr>
                <w:sz w:val="20"/>
                <w:szCs w:val="20"/>
                <w:color w:val="auto"/>
              </w:rPr>
            </w:pPr>
            <w:r>
              <w:rPr>
                <w:rFonts w:ascii="Arial" w:cs="Arial" w:eastAsia="Arial" w:hAnsi="Arial"/>
                <w:sz w:val="12"/>
                <w:szCs w:val="12"/>
                <w:color w:val="auto"/>
              </w:rPr>
              <w:t>N/A</w:t>
            </w:r>
          </w:p>
        </w:tc>
        <w:tc>
          <w:tcPr>
            <w:tcW w:w="940" w:type="dxa"/>
            <w:vAlign w:val="bottom"/>
          </w:tcPr>
          <w:p>
            <w:pPr>
              <w:jc w:val="right"/>
              <w:ind w:right="85"/>
              <w:spacing w:after="0"/>
              <w:rPr>
                <w:sz w:val="20"/>
                <w:szCs w:val="20"/>
                <w:color w:val="auto"/>
              </w:rPr>
            </w:pPr>
            <w:r>
              <w:rPr>
                <w:rFonts w:ascii="Arial" w:cs="Arial" w:eastAsia="Arial" w:hAnsi="Arial"/>
                <w:sz w:val="12"/>
                <w:szCs w:val="12"/>
                <w:color w:val="auto"/>
              </w:rPr>
              <w:t>500</w:t>
            </w:r>
          </w:p>
        </w:tc>
        <w:tc>
          <w:tcPr>
            <w:tcW w:w="1020" w:type="dxa"/>
            <w:vAlign w:val="bottom"/>
          </w:tcPr>
          <w:p>
            <w:pPr>
              <w:jc w:val="right"/>
              <w:ind w:right="82"/>
              <w:spacing w:after="0"/>
              <w:rPr>
                <w:sz w:val="20"/>
                <w:szCs w:val="20"/>
                <w:color w:val="auto"/>
              </w:rPr>
            </w:pPr>
            <w:r>
              <w:rPr>
                <w:rFonts w:ascii="Arial" w:cs="Arial" w:eastAsia="Arial" w:hAnsi="Arial"/>
                <w:sz w:val="12"/>
                <w:szCs w:val="12"/>
                <w:color w:val="auto"/>
              </w:rPr>
              <w:t>200,000</w:t>
            </w:r>
          </w:p>
        </w:tc>
        <w:tc>
          <w:tcPr>
            <w:tcW w:w="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300,000</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220" w:type="dxa"/>
            <w:vAlign w:val="bottom"/>
          </w:tcPr>
          <w:p>
            <w:pPr>
              <w:jc w:val="right"/>
              <w:ind w:right="221"/>
              <w:spacing w:after="0"/>
              <w:rPr>
                <w:sz w:val="20"/>
                <w:szCs w:val="20"/>
                <w:color w:val="auto"/>
              </w:rPr>
            </w:pPr>
            <w:r>
              <w:rPr>
                <w:rFonts w:ascii="Arial" w:cs="Arial" w:eastAsia="Arial" w:hAnsi="Arial"/>
                <w:sz w:val="12"/>
                <w:szCs w:val="12"/>
                <w:color w:val="auto"/>
              </w:rPr>
              <w:t>3/13/2025</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ind w:right="45"/>
              <w:spacing w:after="0"/>
              <w:rPr>
                <w:sz w:val="20"/>
                <w:szCs w:val="20"/>
                <w:color w:val="auto"/>
              </w:rPr>
            </w:pPr>
            <w:r>
              <w:rPr>
                <w:rFonts w:ascii="Arial" w:cs="Arial" w:eastAsia="Arial" w:hAnsi="Arial"/>
                <w:sz w:val="12"/>
                <w:szCs w:val="12"/>
                <w:color w:val="auto"/>
              </w:rPr>
              <w:t>172,248</w:t>
            </w:r>
          </w:p>
        </w:tc>
        <w:tc>
          <w:tcPr>
            <w:tcW w:w="1200" w:type="dxa"/>
            <w:vAlign w:val="bottom"/>
          </w:tcPr>
          <w:p>
            <w:pPr>
              <w:jc w:val="right"/>
              <w:ind w:right="25"/>
              <w:spacing w:after="0"/>
              <w:rPr>
                <w:sz w:val="20"/>
                <w:szCs w:val="20"/>
                <w:color w:val="auto"/>
              </w:rPr>
            </w:pPr>
            <w:r>
              <w:rPr>
                <w:rFonts w:ascii="Arial" w:cs="Arial" w:eastAsia="Arial" w:hAnsi="Arial"/>
                <w:sz w:val="12"/>
                <w:szCs w:val="12"/>
                <w:color w:val="auto"/>
              </w:rPr>
              <w:t>$1,739,705</w:t>
            </w:r>
          </w:p>
        </w:tc>
        <w:tc>
          <w:tcPr>
            <w:tcW w:w="0" w:type="dxa"/>
            <w:vAlign w:val="bottom"/>
          </w:tcPr>
          <w:p>
            <w:pPr>
              <w:spacing w:after="0"/>
              <w:rPr>
                <w:sz w:val="1"/>
                <w:szCs w:val="1"/>
                <w:color w:val="auto"/>
              </w:rPr>
            </w:pPr>
          </w:p>
        </w:tc>
      </w:tr>
      <w:tr>
        <w:trPr>
          <w:trHeight w:val="75"/>
        </w:trPr>
        <w:tc>
          <w:tcPr>
            <w:tcW w:w="25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1220" w:type="dxa"/>
            <w:vAlign w:val="bottom"/>
            <w:shd w:val="clear" w:color="auto" w:fill="E8F4FF"/>
          </w:tcPr>
          <w:p>
            <w:pPr>
              <w:jc w:val="right"/>
              <w:ind w:right="221"/>
              <w:spacing w:after="0"/>
              <w:rPr>
                <w:sz w:val="20"/>
                <w:szCs w:val="20"/>
                <w:color w:val="auto"/>
              </w:rPr>
            </w:pPr>
            <w:r>
              <w:rPr>
                <w:rFonts w:ascii="Arial" w:cs="Arial" w:eastAsia="Arial" w:hAnsi="Arial"/>
                <w:sz w:val="12"/>
                <w:szCs w:val="12"/>
                <w:color w:val="auto"/>
              </w:rPr>
              <w:t>N/A</w:t>
            </w:r>
          </w:p>
        </w:tc>
        <w:tc>
          <w:tcPr>
            <w:tcW w:w="180" w:type="dxa"/>
            <w:vAlign w:val="bottom"/>
            <w:shd w:val="clear" w:color="auto" w:fill="E8F4FF"/>
          </w:tcPr>
          <w:p>
            <w:pPr>
              <w:spacing w:after="0"/>
              <w:rPr>
                <w:sz w:val="17"/>
                <w:szCs w:val="17"/>
                <w:color w:val="auto"/>
              </w:rPr>
            </w:pPr>
          </w:p>
        </w:tc>
        <w:tc>
          <w:tcPr>
            <w:tcW w:w="94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500</w:t>
            </w:r>
          </w:p>
        </w:tc>
        <w:tc>
          <w:tcPr>
            <w:tcW w:w="1020" w:type="dxa"/>
            <w:vAlign w:val="bottom"/>
            <w:shd w:val="clear" w:color="auto" w:fill="E8F4FF"/>
          </w:tcPr>
          <w:p>
            <w:pPr>
              <w:jc w:val="right"/>
              <w:ind w:right="82"/>
              <w:spacing w:after="0"/>
              <w:rPr>
                <w:sz w:val="20"/>
                <w:szCs w:val="20"/>
                <w:color w:val="auto"/>
              </w:rPr>
            </w:pPr>
            <w:r>
              <w:rPr>
                <w:rFonts w:ascii="Arial" w:cs="Arial" w:eastAsia="Arial" w:hAnsi="Arial"/>
                <w:sz w:val="12"/>
                <w:szCs w:val="12"/>
                <w:color w:val="auto"/>
              </w:rPr>
              <w:t>200,000</w:t>
            </w:r>
          </w:p>
        </w:tc>
        <w:tc>
          <w:tcPr>
            <w:tcW w:w="420" w:type="dxa"/>
            <w:vAlign w:val="bottom"/>
            <w:shd w:val="clear" w:color="auto" w:fill="E8F4FF"/>
          </w:tcPr>
          <w:p>
            <w:pPr>
              <w:spacing w:after="0"/>
              <w:rPr>
                <w:sz w:val="17"/>
                <w:szCs w:val="17"/>
                <w:color w:val="auto"/>
              </w:rPr>
            </w:pPr>
          </w:p>
        </w:tc>
        <w:tc>
          <w:tcPr>
            <w:tcW w:w="560" w:type="dxa"/>
            <w:vAlign w:val="bottom"/>
            <w:shd w:val="clear" w:color="auto" w:fill="E8F4FF"/>
          </w:tcPr>
          <w:p>
            <w:pPr>
              <w:jc w:val="right"/>
              <w:spacing w:after="0"/>
              <w:rPr>
                <w:sz w:val="20"/>
                <w:szCs w:val="20"/>
                <w:color w:val="auto"/>
              </w:rPr>
            </w:pPr>
            <w:r>
              <w:rPr>
                <w:rFonts w:ascii="Arial" w:cs="Arial" w:eastAsia="Arial" w:hAnsi="Arial"/>
                <w:sz w:val="12"/>
                <w:szCs w:val="12"/>
                <w:color w:val="auto"/>
              </w:rPr>
              <w:t>300,000</w:t>
            </w:r>
          </w:p>
        </w:tc>
        <w:tc>
          <w:tcPr>
            <w:tcW w:w="440" w:type="dxa"/>
            <w:vAlign w:val="bottom"/>
            <w:shd w:val="clear" w:color="auto" w:fill="E8F4FF"/>
          </w:tcPr>
          <w:p>
            <w:pPr>
              <w:spacing w:after="0"/>
              <w:rPr>
                <w:sz w:val="17"/>
                <w:szCs w:val="17"/>
                <w:color w:val="auto"/>
              </w:rPr>
            </w:pPr>
          </w:p>
        </w:tc>
        <w:tc>
          <w:tcPr>
            <w:tcW w:w="720" w:type="dxa"/>
            <w:vAlign w:val="bottom"/>
            <w:shd w:val="clear" w:color="auto" w:fill="E8F4FF"/>
          </w:tcPr>
          <w:p>
            <w:pPr>
              <w:spacing w:after="0"/>
              <w:rPr>
                <w:sz w:val="17"/>
                <w:szCs w:val="17"/>
                <w:color w:val="auto"/>
              </w:rPr>
            </w:pPr>
          </w:p>
        </w:tc>
        <w:tc>
          <w:tcPr>
            <w:tcW w:w="1200" w:type="dxa"/>
            <w:vAlign w:val="bottom"/>
            <w:shd w:val="clear" w:color="auto" w:fill="E8F4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E8F4FF"/>
          </w:tcPr>
          <w:p>
            <w:pPr>
              <w:spacing w:after="0"/>
              <w:rPr>
                <w:sz w:val="22"/>
                <w:szCs w:val="22"/>
                <w:color w:val="auto"/>
              </w:rPr>
            </w:pPr>
          </w:p>
        </w:tc>
        <w:tc>
          <w:tcPr>
            <w:tcW w:w="1220" w:type="dxa"/>
            <w:vAlign w:val="bottom"/>
            <w:shd w:val="clear" w:color="auto" w:fill="E8F4FF"/>
          </w:tcPr>
          <w:p>
            <w:pPr>
              <w:jc w:val="right"/>
              <w:ind w:right="221"/>
              <w:spacing w:after="0"/>
              <w:rPr>
                <w:sz w:val="20"/>
                <w:szCs w:val="20"/>
                <w:color w:val="auto"/>
              </w:rPr>
            </w:pPr>
            <w:r>
              <w:rPr>
                <w:rFonts w:ascii="Arial" w:cs="Arial" w:eastAsia="Arial" w:hAnsi="Arial"/>
                <w:sz w:val="12"/>
                <w:szCs w:val="12"/>
                <w:color w:val="auto"/>
              </w:rPr>
              <w:t>3/13/2025</w:t>
            </w:r>
          </w:p>
        </w:tc>
        <w:tc>
          <w:tcPr>
            <w:tcW w:w="180" w:type="dxa"/>
            <w:vAlign w:val="bottom"/>
            <w:shd w:val="clear" w:color="auto" w:fill="E8F4FF"/>
          </w:tcPr>
          <w:p>
            <w:pPr>
              <w:spacing w:after="0"/>
              <w:rPr>
                <w:sz w:val="22"/>
                <w:szCs w:val="22"/>
                <w:color w:val="auto"/>
              </w:rPr>
            </w:pPr>
          </w:p>
        </w:tc>
        <w:tc>
          <w:tcPr>
            <w:tcW w:w="940" w:type="dxa"/>
            <w:vAlign w:val="bottom"/>
            <w:shd w:val="clear" w:color="auto" w:fill="E8F4FF"/>
          </w:tcPr>
          <w:p>
            <w:pPr>
              <w:spacing w:after="0"/>
              <w:rPr>
                <w:sz w:val="22"/>
                <w:szCs w:val="22"/>
                <w:color w:val="auto"/>
              </w:rPr>
            </w:pPr>
          </w:p>
        </w:tc>
        <w:tc>
          <w:tcPr>
            <w:tcW w:w="1020" w:type="dxa"/>
            <w:vAlign w:val="bottom"/>
            <w:shd w:val="clear" w:color="auto" w:fill="E8F4FF"/>
          </w:tcPr>
          <w:p>
            <w:pPr>
              <w:spacing w:after="0"/>
              <w:rPr>
                <w:sz w:val="22"/>
                <w:szCs w:val="22"/>
                <w:color w:val="auto"/>
              </w:rPr>
            </w:pPr>
          </w:p>
        </w:tc>
        <w:tc>
          <w:tcPr>
            <w:tcW w:w="420" w:type="dxa"/>
            <w:vAlign w:val="bottom"/>
            <w:shd w:val="clear" w:color="auto" w:fill="E8F4FF"/>
          </w:tcPr>
          <w:p>
            <w:pPr>
              <w:spacing w:after="0"/>
              <w:rPr>
                <w:sz w:val="22"/>
                <w:szCs w:val="22"/>
                <w:color w:val="auto"/>
              </w:rPr>
            </w:pPr>
          </w:p>
        </w:tc>
        <w:tc>
          <w:tcPr>
            <w:tcW w:w="560" w:type="dxa"/>
            <w:vAlign w:val="bottom"/>
            <w:shd w:val="clear" w:color="auto" w:fill="E8F4FF"/>
          </w:tcPr>
          <w:p>
            <w:pPr>
              <w:spacing w:after="0"/>
              <w:rPr>
                <w:sz w:val="22"/>
                <w:szCs w:val="22"/>
                <w:color w:val="auto"/>
              </w:rPr>
            </w:pPr>
          </w:p>
        </w:tc>
        <w:tc>
          <w:tcPr>
            <w:tcW w:w="440" w:type="dxa"/>
            <w:vAlign w:val="bottom"/>
            <w:shd w:val="clear" w:color="auto" w:fill="E8F4FF"/>
          </w:tcPr>
          <w:p>
            <w:pPr>
              <w:spacing w:after="0"/>
              <w:rPr>
                <w:sz w:val="22"/>
                <w:szCs w:val="22"/>
                <w:color w:val="auto"/>
              </w:rPr>
            </w:pPr>
          </w:p>
        </w:tc>
        <w:tc>
          <w:tcPr>
            <w:tcW w:w="720" w:type="dxa"/>
            <w:vAlign w:val="bottom"/>
            <w:shd w:val="clear" w:color="auto" w:fill="E8F4FF"/>
          </w:tcPr>
          <w:p>
            <w:pPr>
              <w:jc w:val="right"/>
              <w:ind w:right="45"/>
              <w:spacing w:after="0"/>
              <w:rPr>
                <w:sz w:val="20"/>
                <w:szCs w:val="20"/>
                <w:color w:val="auto"/>
              </w:rPr>
            </w:pPr>
            <w:r>
              <w:rPr>
                <w:rFonts w:ascii="Arial" w:cs="Arial" w:eastAsia="Arial" w:hAnsi="Arial"/>
                <w:sz w:val="12"/>
                <w:szCs w:val="12"/>
                <w:color w:val="auto"/>
              </w:rPr>
              <w:t>315,789</w:t>
            </w:r>
          </w:p>
        </w:tc>
        <w:tc>
          <w:tcPr>
            <w:tcW w:w="1200" w:type="dxa"/>
            <w:vAlign w:val="bottom"/>
            <w:shd w:val="clear" w:color="auto" w:fill="E8F4FF"/>
          </w:tcPr>
          <w:p>
            <w:pPr>
              <w:jc w:val="right"/>
              <w:ind w:right="25"/>
              <w:spacing w:after="0"/>
              <w:rPr>
                <w:sz w:val="20"/>
                <w:szCs w:val="20"/>
                <w:color w:val="auto"/>
              </w:rPr>
            </w:pPr>
            <w:r>
              <w:rPr>
                <w:rFonts w:ascii="Arial" w:cs="Arial" w:eastAsia="Arial" w:hAnsi="Arial"/>
                <w:sz w:val="12"/>
                <w:szCs w:val="12"/>
                <w:color w:val="auto"/>
              </w:rPr>
              <w:t>$3,189,469</w:t>
            </w:r>
          </w:p>
        </w:tc>
        <w:tc>
          <w:tcPr>
            <w:tcW w:w="0" w:type="dxa"/>
            <w:vAlign w:val="bottom"/>
          </w:tcPr>
          <w:p>
            <w:pPr>
              <w:spacing w:after="0"/>
              <w:rPr>
                <w:sz w:val="1"/>
                <w:szCs w:val="1"/>
                <w:color w:val="auto"/>
              </w:rPr>
            </w:pPr>
          </w:p>
        </w:tc>
      </w:tr>
      <w:tr>
        <w:trPr>
          <w:trHeight w:val="75"/>
        </w:trPr>
        <w:tc>
          <w:tcPr>
            <w:tcW w:w="2500" w:type="dxa"/>
            <w:vAlign w:val="bottom"/>
            <w:tcBorders>
              <w:bottom w:val="single" w:sz="8" w:color="2393FF"/>
            </w:tcBorders>
            <w:shd w:val="clear" w:color="auto" w:fill="E8F4FF"/>
          </w:tcPr>
          <w:p>
            <w:pPr>
              <w:spacing w:after="0"/>
              <w:rPr>
                <w:sz w:val="6"/>
                <w:szCs w:val="6"/>
                <w:color w:val="auto"/>
              </w:rPr>
            </w:pPr>
          </w:p>
        </w:tc>
        <w:tc>
          <w:tcPr>
            <w:tcW w:w="1220" w:type="dxa"/>
            <w:vAlign w:val="bottom"/>
            <w:tcBorders>
              <w:bottom w:val="single" w:sz="8" w:color="2393FF"/>
            </w:tcBorders>
            <w:shd w:val="clear" w:color="auto" w:fill="E8F4FF"/>
          </w:tcPr>
          <w:p>
            <w:pPr>
              <w:spacing w:after="0"/>
              <w:rPr>
                <w:sz w:val="6"/>
                <w:szCs w:val="6"/>
                <w:color w:val="auto"/>
              </w:rPr>
            </w:pPr>
          </w:p>
        </w:tc>
        <w:tc>
          <w:tcPr>
            <w:tcW w:w="180" w:type="dxa"/>
            <w:vAlign w:val="bottom"/>
            <w:tcBorders>
              <w:bottom w:val="single" w:sz="8" w:color="2393FF"/>
            </w:tcBorders>
            <w:shd w:val="clear" w:color="auto" w:fill="E8F4FF"/>
          </w:tcPr>
          <w:p>
            <w:pPr>
              <w:spacing w:after="0"/>
              <w:rPr>
                <w:sz w:val="6"/>
                <w:szCs w:val="6"/>
                <w:color w:val="auto"/>
              </w:rPr>
            </w:pPr>
          </w:p>
        </w:tc>
        <w:tc>
          <w:tcPr>
            <w:tcW w:w="940" w:type="dxa"/>
            <w:vAlign w:val="bottom"/>
            <w:tcBorders>
              <w:bottom w:val="single" w:sz="8" w:color="2393FF"/>
            </w:tcBorders>
            <w:shd w:val="clear" w:color="auto" w:fill="E8F4FF"/>
          </w:tcPr>
          <w:p>
            <w:pPr>
              <w:spacing w:after="0"/>
              <w:rPr>
                <w:sz w:val="6"/>
                <w:szCs w:val="6"/>
                <w:color w:val="auto"/>
              </w:rPr>
            </w:pPr>
          </w:p>
        </w:tc>
        <w:tc>
          <w:tcPr>
            <w:tcW w:w="1020" w:type="dxa"/>
            <w:vAlign w:val="bottom"/>
            <w:tcBorders>
              <w:bottom w:val="single" w:sz="8" w:color="2393FF"/>
            </w:tcBorders>
            <w:shd w:val="clear" w:color="auto" w:fill="E8F4FF"/>
          </w:tcPr>
          <w:p>
            <w:pPr>
              <w:spacing w:after="0"/>
              <w:rPr>
                <w:sz w:val="6"/>
                <w:szCs w:val="6"/>
                <w:color w:val="auto"/>
              </w:rPr>
            </w:pPr>
          </w:p>
        </w:tc>
        <w:tc>
          <w:tcPr>
            <w:tcW w:w="420" w:type="dxa"/>
            <w:vAlign w:val="bottom"/>
            <w:tcBorders>
              <w:bottom w:val="single" w:sz="8" w:color="2393FF"/>
            </w:tcBorders>
            <w:shd w:val="clear" w:color="auto" w:fill="E8F4FF"/>
          </w:tcPr>
          <w:p>
            <w:pPr>
              <w:spacing w:after="0"/>
              <w:rPr>
                <w:sz w:val="6"/>
                <w:szCs w:val="6"/>
                <w:color w:val="auto"/>
              </w:rPr>
            </w:pPr>
          </w:p>
        </w:tc>
        <w:tc>
          <w:tcPr>
            <w:tcW w:w="560" w:type="dxa"/>
            <w:vAlign w:val="bottom"/>
            <w:tcBorders>
              <w:bottom w:val="single" w:sz="8" w:color="2393FF"/>
            </w:tcBorders>
            <w:shd w:val="clear" w:color="auto" w:fill="E8F4FF"/>
          </w:tcPr>
          <w:p>
            <w:pPr>
              <w:spacing w:after="0"/>
              <w:rPr>
                <w:sz w:val="6"/>
                <w:szCs w:val="6"/>
                <w:color w:val="auto"/>
              </w:rPr>
            </w:pPr>
          </w:p>
        </w:tc>
        <w:tc>
          <w:tcPr>
            <w:tcW w:w="440" w:type="dxa"/>
            <w:vAlign w:val="bottom"/>
            <w:tcBorders>
              <w:bottom w:val="single" w:sz="8" w:color="2393FF"/>
            </w:tcBorders>
            <w:shd w:val="clear" w:color="auto" w:fill="E8F4FF"/>
          </w:tcPr>
          <w:p>
            <w:pPr>
              <w:spacing w:after="0"/>
              <w:rPr>
                <w:sz w:val="6"/>
                <w:szCs w:val="6"/>
                <w:color w:val="auto"/>
              </w:rPr>
            </w:pPr>
          </w:p>
        </w:tc>
        <w:tc>
          <w:tcPr>
            <w:tcW w:w="720" w:type="dxa"/>
            <w:vAlign w:val="bottom"/>
            <w:tcBorders>
              <w:bottom w:val="single" w:sz="8" w:color="2393FF"/>
            </w:tcBorders>
            <w:shd w:val="clear" w:color="auto" w:fill="E8F4FF"/>
          </w:tcPr>
          <w:p>
            <w:pPr>
              <w:spacing w:after="0"/>
              <w:rPr>
                <w:sz w:val="6"/>
                <w:szCs w:val="6"/>
                <w:color w:val="auto"/>
              </w:rPr>
            </w:pPr>
          </w:p>
        </w:tc>
        <w:tc>
          <w:tcPr>
            <w:tcW w:w="1200" w:type="dxa"/>
            <w:vAlign w:val="bottom"/>
            <w:tcBorders>
              <w:bottom w:val="single" w:sz="8" w:color="2393FF"/>
            </w:tcBorders>
            <w:shd w:val="clear" w:color="auto" w:fill="E8F4FF"/>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380" w:right="100" w:hanging="353"/>
        <w:spacing w:after="0" w:line="226" w:lineRule="auto"/>
        <w:tabs>
          <w:tab w:leader="none" w:pos="1380" w:val="left"/>
        </w:tabs>
        <w:numPr>
          <w:ilvl w:val="0"/>
          <w:numId w:val="78"/>
        </w:numPr>
        <w:rPr>
          <w:rFonts w:ascii="Arial" w:cs="Arial" w:eastAsia="Arial" w:hAnsi="Arial"/>
          <w:sz w:val="11"/>
          <w:szCs w:val="11"/>
          <w:color w:val="333333"/>
        </w:rPr>
      </w:pPr>
      <w:r>
        <w:rPr>
          <w:rFonts w:ascii="Arial" w:cs="Arial" w:eastAsia="Arial" w:hAnsi="Arial"/>
          <w:sz w:val="11"/>
          <w:szCs w:val="11"/>
          <w:color w:val="333333"/>
        </w:rPr>
        <w:t>Each NEO was granted a non-equity incentive plan award under the 2025 cash incentive bonus program which is discussed in greater detail in the Compensation Discussion and Analysis above. The amounts shown in the “threshold” column reflect the payout that would occur if the minimum threshold of the RLAS (FXN) growth rate were achieved. The amounts shown in the “target” column reflect the target payout of the bonuses and the amounts shown in the “maximum” column reflect the maximum payout if both of the corporate components were achieved at maximum levels.</w:t>
      </w:r>
    </w:p>
    <w:p>
      <w:pPr>
        <w:spacing w:after="0" w:line="75" w:lineRule="exact"/>
        <w:rPr>
          <w:rFonts w:ascii="Arial" w:cs="Arial" w:eastAsia="Arial" w:hAnsi="Arial"/>
          <w:sz w:val="11"/>
          <w:szCs w:val="11"/>
          <w:color w:val="333333"/>
        </w:rPr>
      </w:pPr>
    </w:p>
    <w:p>
      <w:pPr>
        <w:ind w:left="1380" w:right="100" w:hanging="353"/>
        <w:spacing w:after="0" w:line="238" w:lineRule="auto"/>
        <w:tabs>
          <w:tab w:leader="none" w:pos="1380" w:val="left"/>
        </w:tabs>
        <w:numPr>
          <w:ilvl w:val="0"/>
          <w:numId w:val="78"/>
        </w:numPr>
        <w:rPr>
          <w:rFonts w:ascii="Arial" w:cs="Arial" w:eastAsia="Arial" w:hAnsi="Arial"/>
          <w:sz w:val="11"/>
          <w:szCs w:val="11"/>
          <w:color w:val="333333"/>
        </w:rPr>
      </w:pPr>
      <w:r>
        <w:rPr>
          <w:rFonts w:ascii="Arial" w:cs="Arial" w:eastAsia="Arial" w:hAnsi="Arial"/>
          <w:sz w:val="11"/>
          <w:szCs w:val="11"/>
          <w:color w:val="333333"/>
        </w:rPr>
        <w:t>This amount reflects the number of shares of common stock underlying time-vesting RSUs granted, which vested with respect to 25% of the shares on March 1, 2026, with the remainder of the shares vesting in equal quarterly installments over the following three years, provided the NEO provides continuous service to us through such vesting dates.</w:t>
      </w:r>
    </w:p>
    <w:p>
      <w:pPr>
        <w:spacing w:after="0" w:line="75" w:lineRule="exact"/>
        <w:rPr>
          <w:rFonts w:ascii="Arial" w:cs="Arial" w:eastAsia="Arial" w:hAnsi="Arial"/>
          <w:sz w:val="11"/>
          <w:szCs w:val="11"/>
          <w:color w:val="333333"/>
        </w:rPr>
      </w:pPr>
    </w:p>
    <w:p>
      <w:pPr>
        <w:ind w:left="1380" w:right="300" w:hanging="353"/>
        <w:spacing w:after="0" w:line="238" w:lineRule="auto"/>
        <w:tabs>
          <w:tab w:leader="none" w:pos="1380" w:val="left"/>
        </w:tabs>
        <w:numPr>
          <w:ilvl w:val="0"/>
          <w:numId w:val="78"/>
        </w:numPr>
        <w:rPr>
          <w:rFonts w:ascii="Arial" w:cs="Arial" w:eastAsia="Arial" w:hAnsi="Arial"/>
          <w:sz w:val="11"/>
          <w:szCs w:val="11"/>
          <w:color w:val="333333"/>
        </w:rPr>
      </w:pPr>
      <w:r>
        <w:rPr>
          <w:rFonts w:ascii="Arial" w:cs="Arial" w:eastAsia="Arial" w:hAnsi="Arial"/>
          <w:sz w:val="11"/>
          <w:szCs w:val="11"/>
          <w:color w:val="333333"/>
        </w:rPr>
        <w:t>Reflects the grant date fair value of the stock award calculated in accordance with FASB ASC Topic 718. For a discussion of valuation assumptions, see Note 14 to our audited financial statements included in our 2025 Annual Report.</w:t>
      </w:r>
    </w:p>
    <w:p>
      <w:pPr>
        <w:spacing w:after="0" w:line="98"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39 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OUTSTANDING EQUITY AWARDS AT FISCAL 2025 YEAR-END</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table sets forth information regarding outstanding equity awards held by each of our NEOs as of December 31, 2025.</w:t>
      </w:r>
    </w:p>
    <w:p>
      <w:pPr>
        <w:spacing w:after="0" w:line="195" w:lineRule="exact"/>
        <w:rPr>
          <w:sz w:val="20"/>
          <w:szCs w:val="20"/>
          <w:color w:val="auto"/>
        </w:rPr>
      </w:pPr>
    </w:p>
    <w:tbl>
      <w:tblPr>
        <w:tblLayout w:type="fixed"/>
        <w:tblInd w:w="1020" w:type="dxa"/>
        <w:tblCellMar>
          <w:top w:w="0" w:type="dxa"/>
          <w:left w:w="0" w:type="dxa"/>
          <w:bottom w:w="0" w:type="dxa"/>
          <w:right w:w="0" w:type="dxa"/>
        </w:tblCellMar>
      </w:tblPr>
      <w:tr>
        <w:trPr>
          <w:trHeight w:val="143"/>
        </w:trPr>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gridSpan w:val="2"/>
          </w:tcPr>
          <w:p>
            <w:pPr>
              <w:jc w:val="right"/>
              <w:ind w:right="542"/>
              <w:spacing w:after="0"/>
              <w:rPr>
                <w:sz w:val="20"/>
                <w:szCs w:val="20"/>
                <w:color w:val="auto"/>
              </w:rPr>
            </w:pPr>
            <w:r>
              <w:rPr>
                <w:rFonts w:ascii="Arial" w:cs="Arial" w:eastAsia="Arial" w:hAnsi="Arial"/>
                <w:sz w:val="11"/>
                <w:szCs w:val="11"/>
                <w:b w:val="1"/>
                <w:bCs w:val="1"/>
                <w:color w:val="auto"/>
              </w:rPr>
              <w:t>OPTION AWARDS</w:t>
            </w: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00" w:type="dxa"/>
            <w:vAlign w:val="bottom"/>
            <w:gridSpan w:val="2"/>
          </w:tcPr>
          <w:p>
            <w:pPr>
              <w:jc w:val="right"/>
              <w:ind w:right="602"/>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30"/>
        </w:trPr>
        <w:tc>
          <w:tcPr>
            <w:tcW w:w="2320" w:type="dxa"/>
            <w:vAlign w:val="bottom"/>
          </w:tcPr>
          <w:p>
            <w:pPr>
              <w:spacing w:after="0"/>
              <w:rPr>
                <w:sz w:val="2"/>
                <w:szCs w:val="2"/>
                <w:color w:val="auto"/>
              </w:rPr>
            </w:pPr>
          </w:p>
        </w:tc>
        <w:tc>
          <w:tcPr>
            <w:tcW w:w="1080" w:type="dxa"/>
            <w:vAlign w:val="bottom"/>
            <w:tcBorders>
              <w:bottom w:val="single" w:sz="8" w:color="2393FF"/>
            </w:tcBorders>
          </w:tcPr>
          <w:p>
            <w:pPr>
              <w:spacing w:after="0"/>
              <w:rPr>
                <w:sz w:val="2"/>
                <w:szCs w:val="2"/>
                <w:color w:val="auto"/>
              </w:rPr>
            </w:pPr>
          </w:p>
        </w:tc>
        <w:tc>
          <w:tcPr>
            <w:tcW w:w="1200" w:type="dxa"/>
            <w:vAlign w:val="bottom"/>
            <w:tcBorders>
              <w:bottom w:val="single" w:sz="8" w:color="2393FF"/>
            </w:tcBorders>
          </w:tcPr>
          <w:p>
            <w:pPr>
              <w:spacing w:after="0"/>
              <w:rPr>
                <w:sz w:val="2"/>
                <w:szCs w:val="2"/>
                <w:color w:val="auto"/>
              </w:rPr>
            </w:pPr>
          </w:p>
        </w:tc>
        <w:tc>
          <w:tcPr>
            <w:tcW w:w="800" w:type="dxa"/>
            <w:vAlign w:val="bottom"/>
            <w:tcBorders>
              <w:bottom w:val="single" w:sz="8" w:color="2393FF"/>
            </w:tcBorders>
          </w:tcPr>
          <w:p>
            <w:pPr>
              <w:spacing w:after="0"/>
              <w:rPr>
                <w:sz w:val="2"/>
                <w:szCs w:val="2"/>
                <w:color w:val="auto"/>
              </w:rPr>
            </w:pPr>
          </w:p>
        </w:tc>
        <w:tc>
          <w:tcPr>
            <w:tcW w:w="820" w:type="dxa"/>
            <w:vAlign w:val="bottom"/>
            <w:tcBorders>
              <w:bottom w:val="single" w:sz="8" w:color="2393FF"/>
            </w:tcBorders>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Borders>
              <w:bottom w:val="single" w:sz="8" w:color="2393FF"/>
            </w:tcBorders>
          </w:tcPr>
          <w:p>
            <w:pPr>
              <w:spacing w:after="0"/>
              <w:rPr>
                <w:sz w:val="2"/>
                <w:szCs w:val="2"/>
                <w:color w:val="auto"/>
              </w:rPr>
            </w:pPr>
          </w:p>
        </w:tc>
        <w:tc>
          <w:tcPr>
            <w:tcW w:w="1040" w:type="dxa"/>
            <w:vAlign w:val="bottom"/>
            <w:tcBorders>
              <w:bottom w:val="single" w:sz="8" w:color="2393FF"/>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080" w:type="dxa"/>
            <w:vAlign w:val="bottom"/>
          </w:tcPr>
          <w:p>
            <w:pPr>
              <w:jc w:val="center"/>
              <w:ind w:left="3"/>
              <w:spacing w:after="0"/>
              <w:rPr>
                <w:sz w:val="20"/>
                <w:szCs w:val="20"/>
                <w:color w:val="auto"/>
              </w:rPr>
            </w:pPr>
            <w:r>
              <w:rPr>
                <w:rFonts w:ascii="Arial" w:cs="Arial" w:eastAsia="Arial" w:hAnsi="Arial"/>
                <w:sz w:val="11"/>
                <w:szCs w:val="11"/>
                <w:b w:val="1"/>
                <w:bCs w:val="1"/>
                <w:color w:val="auto"/>
                <w:w w:val="93"/>
              </w:rPr>
              <w:t>NUMBER OF</w:t>
            </w:r>
          </w:p>
        </w:tc>
        <w:tc>
          <w:tcPr>
            <w:tcW w:w="1200" w:type="dxa"/>
            <w:vAlign w:val="bottom"/>
          </w:tcPr>
          <w:p>
            <w:pPr>
              <w:jc w:val="center"/>
              <w:ind w:left="23"/>
              <w:spacing w:after="0"/>
              <w:rPr>
                <w:sz w:val="20"/>
                <w:szCs w:val="20"/>
                <w:color w:val="auto"/>
              </w:rPr>
            </w:pPr>
            <w:r>
              <w:rPr>
                <w:rFonts w:ascii="Arial" w:cs="Arial" w:eastAsia="Arial" w:hAnsi="Arial"/>
                <w:sz w:val="11"/>
                <w:szCs w:val="11"/>
                <w:b w:val="1"/>
                <w:bCs w:val="1"/>
                <w:color w:val="auto"/>
                <w:w w:val="96"/>
              </w:rPr>
              <w:t>NUMBER OF</w:t>
            </w: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NUMBER OF</w:t>
            </w:r>
          </w:p>
        </w:tc>
        <w:tc>
          <w:tcPr>
            <w:tcW w:w="1040" w:type="dxa"/>
            <w:vAlign w:val="bottom"/>
            <w:vMerge w:val="restart"/>
          </w:tcPr>
          <w:p>
            <w:pPr>
              <w:jc w:val="right"/>
              <w:ind w:right="22"/>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1080" w:type="dxa"/>
            <w:vAlign w:val="bottom"/>
          </w:tcPr>
          <w:p>
            <w:pPr>
              <w:jc w:val="center"/>
              <w:ind w:left="3"/>
              <w:spacing w:after="0" w:line="113" w:lineRule="exact"/>
              <w:rPr>
                <w:sz w:val="20"/>
                <w:szCs w:val="20"/>
                <w:color w:val="auto"/>
              </w:rPr>
            </w:pPr>
            <w:r>
              <w:rPr>
                <w:rFonts w:ascii="Arial" w:cs="Arial" w:eastAsia="Arial" w:hAnsi="Arial"/>
                <w:sz w:val="11"/>
                <w:szCs w:val="11"/>
                <w:b w:val="1"/>
                <w:bCs w:val="1"/>
                <w:color w:val="auto"/>
                <w:w w:val="93"/>
              </w:rPr>
              <w:t>SECURITIES</w:t>
            </w:r>
          </w:p>
        </w:tc>
        <w:tc>
          <w:tcPr>
            <w:tcW w:w="1200" w:type="dxa"/>
            <w:vAlign w:val="bottom"/>
          </w:tcPr>
          <w:p>
            <w:pPr>
              <w:jc w:val="center"/>
              <w:ind w:left="23"/>
              <w:spacing w:after="0" w:line="113" w:lineRule="exact"/>
              <w:rPr>
                <w:sz w:val="20"/>
                <w:szCs w:val="20"/>
                <w:color w:val="auto"/>
              </w:rPr>
            </w:pPr>
            <w:r>
              <w:rPr>
                <w:rFonts w:ascii="Arial" w:cs="Arial" w:eastAsia="Arial" w:hAnsi="Arial"/>
                <w:sz w:val="11"/>
                <w:szCs w:val="11"/>
                <w:b w:val="1"/>
                <w:bCs w:val="1"/>
                <w:color w:val="auto"/>
                <w:w w:val="96"/>
              </w:rPr>
              <w:t>SECURITIES</w:t>
            </w: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1080" w:type="dxa"/>
            <w:vAlign w:val="bottom"/>
          </w:tcPr>
          <w:p>
            <w:pPr>
              <w:jc w:val="center"/>
              <w:ind w:left="3"/>
              <w:spacing w:after="0" w:line="113" w:lineRule="exact"/>
              <w:rPr>
                <w:sz w:val="20"/>
                <w:szCs w:val="20"/>
                <w:color w:val="auto"/>
              </w:rPr>
            </w:pPr>
            <w:r>
              <w:rPr>
                <w:rFonts w:ascii="Arial" w:cs="Arial" w:eastAsia="Arial" w:hAnsi="Arial"/>
                <w:sz w:val="11"/>
                <w:szCs w:val="11"/>
                <w:b w:val="1"/>
                <w:bCs w:val="1"/>
                <w:color w:val="auto"/>
                <w:w w:val="96"/>
              </w:rPr>
              <w:t>UNDERLYING</w:t>
            </w:r>
          </w:p>
        </w:tc>
        <w:tc>
          <w:tcPr>
            <w:tcW w:w="1200" w:type="dxa"/>
            <w:vAlign w:val="bottom"/>
          </w:tcPr>
          <w:p>
            <w:pPr>
              <w:jc w:val="center"/>
              <w:ind w:left="23"/>
              <w:spacing w:after="0" w:line="113" w:lineRule="exact"/>
              <w:rPr>
                <w:sz w:val="20"/>
                <w:szCs w:val="20"/>
                <w:color w:val="auto"/>
              </w:rPr>
            </w:pPr>
            <w:r>
              <w:rPr>
                <w:rFonts w:ascii="Arial" w:cs="Arial" w:eastAsia="Arial" w:hAnsi="Arial"/>
                <w:sz w:val="11"/>
                <w:szCs w:val="11"/>
                <w:b w:val="1"/>
                <w:bCs w:val="1"/>
                <w:color w:val="auto"/>
                <w:w w:val="93"/>
              </w:rPr>
              <w:t>UNDERLYING</w:t>
            </w:r>
          </w:p>
        </w:tc>
        <w:tc>
          <w:tcPr>
            <w:tcW w:w="800" w:type="dxa"/>
            <w:vAlign w:val="bottom"/>
            <w:vMerge w:val="restart"/>
          </w:tcPr>
          <w:p>
            <w:pPr>
              <w:jc w:val="right"/>
              <w:ind w:right="82"/>
              <w:spacing w:after="0"/>
              <w:rPr>
                <w:sz w:val="20"/>
                <w:szCs w:val="20"/>
                <w:color w:val="auto"/>
              </w:rPr>
            </w:pPr>
            <w:r>
              <w:rPr>
                <w:rFonts w:ascii="Arial" w:cs="Arial" w:eastAsia="Arial" w:hAnsi="Arial"/>
                <w:sz w:val="11"/>
                <w:szCs w:val="11"/>
                <w:b w:val="1"/>
                <w:bCs w:val="1"/>
                <w:color w:val="auto"/>
              </w:rPr>
              <w:t>OPTION</w:t>
            </w: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4"/>
              </w:rPr>
              <w:t>SHARES OR</w:t>
            </w:r>
          </w:p>
        </w:tc>
        <w:tc>
          <w:tcPr>
            <w:tcW w:w="1040" w:type="dxa"/>
            <w:vAlign w:val="bottom"/>
          </w:tcPr>
          <w:p>
            <w:pPr>
              <w:jc w:val="right"/>
              <w:ind w:right="22"/>
              <w:spacing w:after="0" w:line="113" w:lineRule="exact"/>
              <w:rPr>
                <w:sz w:val="20"/>
                <w:szCs w:val="20"/>
                <w:color w:val="auto"/>
              </w:rPr>
            </w:pPr>
            <w:r>
              <w:rPr>
                <w:rFonts w:ascii="Arial" w:cs="Arial" w:eastAsia="Arial" w:hAnsi="Arial"/>
                <w:sz w:val="11"/>
                <w:szCs w:val="11"/>
                <w:b w:val="1"/>
                <w:bCs w:val="1"/>
                <w:color w:val="auto"/>
              </w:rPr>
              <w:t>OF SHARES OR</w:t>
            </w: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1080" w:type="dxa"/>
            <w:vAlign w:val="bottom"/>
          </w:tcPr>
          <w:p>
            <w:pPr>
              <w:jc w:val="center"/>
              <w:ind w:left="23"/>
              <w:spacing w:after="0" w:line="113" w:lineRule="exact"/>
              <w:rPr>
                <w:sz w:val="20"/>
                <w:szCs w:val="20"/>
                <w:color w:val="auto"/>
              </w:rPr>
            </w:pPr>
            <w:r>
              <w:rPr>
                <w:rFonts w:ascii="Arial" w:cs="Arial" w:eastAsia="Arial" w:hAnsi="Arial"/>
                <w:sz w:val="11"/>
                <w:szCs w:val="11"/>
                <w:b w:val="1"/>
                <w:bCs w:val="1"/>
                <w:color w:val="auto"/>
                <w:w w:val="95"/>
              </w:rPr>
              <w:t>UNEXERCISED</w:t>
            </w:r>
          </w:p>
        </w:tc>
        <w:tc>
          <w:tcPr>
            <w:tcW w:w="1200" w:type="dxa"/>
            <w:vAlign w:val="bottom"/>
          </w:tcPr>
          <w:p>
            <w:pPr>
              <w:jc w:val="center"/>
              <w:ind w:left="23"/>
              <w:spacing w:after="0" w:line="113" w:lineRule="exact"/>
              <w:rPr>
                <w:sz w:val="20"/>
                <w:szCs w:val="20"/>
                <w:color w:val="auto"/>
              </w:rPr>
            </w:pPr>
            <w:r>
              <w:rPr>
                <w:rFonts w:ascii="Arial" w:cs="Arial" w:eastAsia="Arial" w:hAnsi="Arial"/>
                <w:sz w:val="11"/>
                <w:szCs w:val="11"/>
                <w:b w:val="1"/>
                <w:bCs w:val="1"/>
                <w:color w:val="auto"/>
                <w:w w:val="95"/>
              </w:rPr>
              <w:t>UNEXERCISED</w:t>
            </w:r>
          </w:p>
        </w:tc>
        <w:tc>
          <w:tcPr>
            <w:tcW w:w="800" w:type="dxa"/>
            <w:vAlign w:val="bottom"/>
            <w:vMerge w:val="continue"/>
          </w:tcPr>
          <w:p>
            <w:pPr>
              <w:spacing w:after="0"/>
              <w:rPr>
                <w:sz w:val="9"/>
                <w:szCs w:val="9"/>
                <w:color w:val="auto"/>
              </w:rPr>
            </w:pPr>
          </w:p>
        </w:tc>
        <w:tc>
          <w:tcPr>
            <w:tcW w:w="820" w:type="dxa"/>
            <w:vAlign w:val="bottom"/>
            <w:vMerge w:val="restart"/>
          </w:tcPr>
          <w:p>
            <w:pPr>
              <w:jc w:val="center"/>
              <w:ind w:left="42"/>
              <w:spacing w:after="0"/>
              <w:rPr>
                <w:sz w:val="20"/>
                <w:szCs w:val="20"/>
                <w:color w:val="auto"/>
              </w:rPr>
            </w:pPr>
            <w:r>
              <w:rPr>
                <w:rFonts w:ascii="Arial" w:cs="Arial" w:eastAsia="Arial" w:hAnsi="Arial"/>
                <w:sz w:val="11"/>
                <w:szCs w:val="11"/>
                <w:b w:val="1"/>
                <w:bCs w:val="1"/>
                <w:color w:val="auto"/>
                <w:w w:val="94"/>
              </w:rPr>
              <w:t>OPTION</w:t>
            </w:r>
          </w:p>
        </w:tc>
        <w:tc>
          <w:tcPr>
            <w:tcW w:w="680" w:type="dxa"/>
            <w:vAlign w:val="bottom"/>
          </w:tcPr>
          <w:p>
            <w:pPr>
              <w:spacing w:after="0"/>
              <w:rPr>
                <w:sz w:val="9"/>
                <w:szCs w:val="9"/>
                <w:color w:val="auto"/>
              </w:rPr>
            </w:pPr>
          </w:p>
        </w:tc>
        <w:tc>
          <w:tcPr>
            <w:tcW w:w="12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6"/>
              </w:rPr>
              <w:t>UNITS OF STOCK</w:t>
            </w:r>
          </w:p>
        </w:tc>
        <w:tc>
          <w:tcPr>
            <w:tcW w:w="1040" w:type="dxa"/>
            <w:vAlign w:val="bottom"/>
          </w:tcPr>
          <w:p>
            <w:pPr>
              <w:jc w:val="right"/>
              <w:ind w:right="22"/>
              <w:spacing w:after="0" w:line="113" w:lineRule="exact"/>
              <w:rPr>
                <w:sz w:val="20"/>
                <w:szCs w:val="20"/>
                <w:color w:val="auto"/>
              </w:rPr>
            </w:pPr>
            <w:r>
              <w:rPr>
                <w:rFonts w:ascii="Arial" w:cs="Arial" w:eastAsia="Arial" w:hAnsi="Arial"/>
                <w:sz w:val="11"/>
                <w:szCs w:val="11"/>
                <w:b w:val="1"/>
                <w:bCs w:val="1"/>
                <w:color w:val="auto"/>
              </w:rPr>
              <w:t>UNITS OF STOCK</w:t>
            </w: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1080" w:type="dxa"/>
            <w:vAlign w:val="bottom"/>
          </w:tcPr>
          <w:p>
            <w:pPr>
              <w:jc w:val="center"/>
              <w:ind w:left="3"/>
              <w:spacing w:after="0" w:line="113" w:lineRule="exact"/>
              <w:rPr>
                <w:sz w:val="20"/>
                <w:szCs w:val="20"/>
                <w:color w:val="auto"/>
              </w:rPr>
            </w:pPr>
            <w:r>
              <w:rPr>
                <w:rFonts w:ascii="Arial" w:cs="Arial" w:eastAsia="Arial" w:hAnsi="Arial"/>
                <w:sz w:val="11"/>
                <w:szCs w:val="11"/>
                <w:b w:val="1"/>
                <w:bCs w:val="1"/>
                <w:color w:val="auto"/>
                <w:w w:val="92"/>
              </w:rPr>
              <w:t>OPTIONS</w:t>
            </w:r>
          </w:p>
        </w:tc>
        <w:tc>
          <w:tcPr>
            <w:tcW w:w="1200" w:type="dxa"/>
            <w:vAlign w:val="bottom"/>
          </w:tcPr>
          <w:p>
            <w:pPr>
              <w:jc w:val="center"/>
              <w:ind w:left="23"/>
              <w:spacing w:after="0" w:line="113" w:lineRule="exact"/>
              <w:rPr>
                <w:sz w:val="20"/>
                <w:szCs w:val="20"/>
                <w:color w:val="auto"/>
              </w:rPr>
            </w:pPr>
            <w:r>
              <w:rPr>
                <w:rFonts w:ascii="Arial" w:cs="Arial" w:eastAsia="Arial" w:hAnsi="Arial"/>
                <w:sz w:val="11"/>
                <w:szCs w:val="11"/>
                <w:b w:val="1"/>
                <w:bCs w:val="1"/>
                <w:color w:val="auto"/>
                <w:w w:val="96"/>
              </w:rPr>
              <w:t>OPTIONS</w:t>
            </w:r>
          </w:p>
        </w:tc>
        <w:tc>
          <w:tcPr>
            <w:tcW w:w="800" w:type="dxa"/>
            <w:vAlign w:val="bottom"/>
          </w:tcPr>
          <w:p>
            <w:pPr>
              <w:jc w:val="right"/>
              <w:ind w:right="82"/>
              <w:spacing w:after="0" w:line="113" w:lineRule="exact"/>
              <w:rPr>
                <w:sz w:val="20"/>
                <w:szCs w:val="20"/>
                <w:color w:val="auto"/>
              </w:rPr>
            </w:pPr>
            <w:r>
              <w:rPr>
                <w:rFonts w:ascii="Arial" w:cs="Arial" w:eastAsia="Arial" w:hAnsi="Arial"/>
                <w:sz w:val="11"/>
                <w:szCs w:val="11"/>
                <w:b w:val="1"/>
                <w:bCs w:val="1"/>
                <w:color w:val="auto"/>
              </w:rPr>
              <w:t>EXERCISE</w:t>
            </w:r>
          </w:p>
        </w:tc>
        <w:tc>
          <w:tcPr>
            <w:tcW w:w="8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2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4"/>
              </w:rPr>
              <w:t>THAT HAVE NOT</w:t>
            </w:r>
          </w:p>
        </w:tc>
        <w:tc>
          <w:tcPr>
            <w:tcW w:w="1040" w:type="dxa"/>
            <w:vAlign w:val="bottom"/>
          </w:tcPr>
          <w:p>
            <w:pPr>
              <w:jc w:val="right"/>
              <w:ind w:right="22"/>
              <w:spacing w:after="0" w:line="113" w:lineRule="exact"/>
              <w:rPr>
                <w:sz w:val="20"/>
                <w:szCs w:val="20"/>
                <w:color w:val="auto"/>
              </w:rPr>
            </w:pPr>
            <w:r>
              <w:rPr>
                <w:rFonts w:ascii="Arial" w:cs="Arial" w:eastAsia="Arial" w:hAnsi="Arial"/>
                <w:sz w:val="11"/>
                <w:szCs w:val="11"/>
                <w:b w:val="1"/>
                <w:bCs w:val="1"/>
                <w:color w:val="auto"/>
              </w:rPr>
              <w:t>THAT HAVE NOT</w:t>
            </w:r>
          </w:p>
        </w:tc>
        <w:tc>
          <w:tcPr>
            <w:tcW w:w="0" w:type="dxa"/>
            <w:vAlign w:val="bottom"/>
          </w:tcPr>
          <w:p>
            <w:pPr>
              <w:spacing w:after="0"/>
              <w:rPr>
                <w:sz w:val="1"/>
                <w:szCs w:val="1"/>
                <w:color w:val="auto"/>
              </w:rPr>
            </w:pPr>
          </w:p>
        </w:tc>
      </w:tr>
      <w:tr>
        <w:trPr>
          <w:trHeight w:val="113"/>
        </w:trPr>
        <w:tc>
          <w:tcPr>
            <w:tcW w:w="2320" w:type="dxa"/>
            <w:vAlign w:val="bottom"/>
          </w:tcPr>
          <w:p>
            <w:pPr>
              <w:spacing w:after="0"/>
              <w:rPr>
                <w:sz w:val="9"/>
                <w:szCs w:val="9"/>
                <w:color w:val="auto"/>
              </w:rPr>
            </w:pPr>
          </w:p>
        </w:tc>
        <w:tc>
          <w:tcPr>
            <w:tcW w:w="1080" w:type="dxa"/>
            <w:vAlign w:val="bottom"/>
          </w:tcPr>
          <w:p>
            <w:pPr>
              <w:jc w:val="center"/>
              <w:ind w:left="3"/>
              <w:spacing w:after="0" w:line="113" w:lineRule="exact"/>
              <w:rPr>
                <w:sz w:val="20"/>
                <w:szCs w:val="20"/>
                <w:color w:val="auto"/>
              </w:rPr>
            </w:pPr>
            <w:r>
              <w:rPr>
                <w:rFonts w:ascii="Arial" w:cs="Arial" w:eastAsia="Arial" w:hAnsi="Arial"/>
                <w:sz w:val="11"/>
                <w:szCs w:val="11"/>
                <w:b w:val="1"/>
                <w:bCs w:val="1"/>
                <w:color w:val="auto"/>
              </w:rPr>
              <w:t>(#)</w:t>
            </w:r>
          </w:p>
        </w:tc>
        <w:tc>
          <w:tcPr>
            <w:tcW w:w="1200" w:type="dxa"/>
            <w:vAlign w:val="bottom"/>
          </w:tcPr>
          <w:p>
            <w:pPr>
              <w:jc w:val="center"/>
              <w:ind w:left="23"/>
              <w:spacing w:after="0" w:line="113" w:lineRule="exact"/>
              <w:rPr>
                <w:sz w:val="20"/>
                <w:szCs w:val="20"/>
                <w:color w:val="auto"/>
              </w:rPr>
            </w:pPr>
            <w:r>
              <w:rPr>
                <w:rFonts w:ascii="Arial" w:cs="Arial" w:eastAsia="Arial" w:hAnsi="Arial"/>
                <w:sz w:val="11"/>
                <w:szCs w:val="11"/>
                <w:b w:val="1"/>
                <w:bCs w:val="1"/>
                <w:color w:val="auto"/>
                <w:w w:val="88"/>
              </w:rPr>
              <w:t>(#)</w:t>
            </w:r>
          </w:p>
        </w:tc>
        <w:tc>
          <w:tcPr>
            <w:tcW w:w="800" w:type="dxa"/>
            <w:vAlign w:val="bottom"/>
          </w:tcPr>
          <w:p>
            <w:pPr>
              <w:jc w:val="right"/>
              <w:ind w:right="82"/>
              <w:spacing w:after="0" w:line="113" w:lineRule="exact"/>
              <w:rPr>
                <w:sz w:val="20"/>
                <w:szCs w:val="20"/>
                <w:color w:val="auto"/>
              </w:rPr>
            </w:pPr>
            <w:r>
              <w:rPr>
                <w:rFonts w:ascii="Arial" w:cs="Arial" w:eastAsia="Arial" w:hAnsi="Arial"/>
                <w:sz w:val="11"/>
                <w:szCs w:val="11"/>
                <w:b w:val="1"/>
                <w:bCs w:val="1"/>
                <w:color w:val="auto"/>
              </w:rPr>
              <w:t>PRICE</w:t>
            </w:r>
          </w:p>
        </w:tc>
        <w:tc>
          <w:tcPr>
            <w:tcW w:w="820" w:type="dxa"/>
            <w:vAlign w:val="bottom"/>
          </w:tcPr>
          <w:p>
            <w:pPr>
              <w:jc w:val="center"/>
              <w:ind w:left="42"/>
              <w:spacing w:after="0" w:line="113" w:lineRule="exact"/>
              <w:rPr>
                <w:sz w:val="20"/>
                <w:szCs w:val="20"/>
                <w:color w:val="auto"/>
              </w:rPr>
            </w:pPr>
            <w:r>
              <w:rPr>
                <w:rFonts w:ascii="Arial" w:cs="Arial" w:eastAsia="Arial" w:hAnsi="Arial"/>
                <w:sz w:val="11"/>
                <w:szCs w:val="11"/>
                <w:b w:val="1"/>
                <w:bCs w:val="1"/>
                <w:color w:val="auto"/>
                <w:w w:val="95"/>
              </w:rPr>
              <w:t>EXPIRATION</w:t>
            </w:r>
          </w:p>
        </w:tc>
        <w:tc>
          <w:tcPr>
            <w:tcW w:w="680" w:type="dxa"/>
            <w:vAlign w:val="bottom"/>
          </w:tcPr>
          <w:p>
            <w:pPr>
              <w:spacing w:after="0"/>
              <w:rPr>
                <w:sz w:val="9"/>
                <w:szCs w:val="9"/>
                <w:color w:val="auto"/>
              </w:rPr>
            </w:pPr>
          </w:p>
        </w:tc>
        <w:tc>
          <w:tcPr>
            <w:tcW w:w="12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95"/>
              </w:rPr>
              <w:t>VESTED</w:t>
            </w:r>
          </w:p>
        </w:tc>
        <w:tc>
          <w:tcPr>
            <w:tcW w:w="1040" w:type="dxa"/>
            <w:vAlign w:val="bottom"/>
          </w:tcPr>
          <w:p>
            <w:pPr>
              <w:jc w:val="right"/>
              <w:ind w:right="22"/>
              <w:spacing w:after="0" w:line="113" w:lineRule="exact"/>
              <w:rPr>
                <w:sz w:val="20"/>
                <w:szCs w:val="20"/>
                <w:color w:val="auto"/>
              </w:rPr>
            </w:pPr>
            <w:r>
              <w:rPr>
                <w:rFonts w:ascii="Arial" w:cs="Arial" w:eastAsia="Arial" w:hAnsi="Arial"/>
                <w:sz w:val="11"/>
                <w:szCs w:val="11"/>
                <w:b w:val="1"/>
                <w:bCs w:val="1"/>
                <w:color w:val="auto"/>
              </w:rPr>
              <w:t>VESTED</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20"/>
                <w:szCs w:val="20"/>
                <w:color w:val="auto"/>
              </w:rPr>
            </w:pPr>
            <w:r>
              <w:rPr>
                <w:rFonts w:ascii="Arial" w:cs="Arial" w:eastAsia="Arial" w:hAnsi="Arial"/>
                <w:sz w:val="11"/>
                <w:szCs w:val="11"/>
                <w:b w:val="1"/>
                <w:bCs w:val="1"/>
                <w:color w:val="auto"/>
              </w:rPr>
              <w:t>  NAME</w:t>
            </w:r>
          </w:p>
        </w:tc>
        <w:tc>
          <w:tcPr>
            <w:tcW w:w="1080" w:type="dxa"/>
            <w:vAlign w:val="bottom"/>
          </w:tcPr>
          <w:p>
            <w:pPr>
              <w:jc w:val="center"/>
              <w:ind w:left="3"/>
              <w:spacing w:after="0"/>
              <w:rPr>
                <w:sz w:val="20"/>
                <w:szCs w:val="20"/>
                <w:color w:val="auto"/>
              </w:rPr>
            </w:pPr>
            <w:r>
              <w:rPr>
                <w:rFonts w:ascii="Arial" w:cs="Arial" w:eastAsia="Arial" w:hAnsi="Arial"/>
                <w:sz w:val="11"/>
                <w:szCs w:val="11"/>
                <w:b w:val="1"/>
                <w:bCs w:val="1"/>
                <w:color w:val="auto"/>
                <w:w w:val="94"/>
              </w:rPr>
              <w:t>EXERCISABLE</w:t>
            </w:r>
          </w:p>
        </w:tc>
        <w:tc>
          <w:tcPr>
            <w:tcW w:w="1200" w:type="dxa"/>
            <w:vAlign w:val="bottom"/>
          </w:tcPr>
          <w:p>
            <w:pPr>
              <w:jc w:val="center"/>
              <w:ind w:left="43"/>
              <w:spacing w:after="0"/>
              <w:rPr>
                <w:sz w:val="20"/>
                <w:szCs w:val="20"/>
                <w:color w:val="auto"/>
              </w:rPr>
            </w:pPr>
            <w:r>
              <w:rPr>
                <w:rFonts w:ascii="Arial" w:cs="Arial" w:eastAsia="Arial" w:hAnsi="Arial"/>
                <w:sz w:val="11"/>
                <w:szCs w:val="11"/>
                <w:b w:val="1"/>
                <w:bCs w:val="1"/>
                <w:color w:val="auto"/>
                <w:w w:val="95"/>
              </w:rPr>
              <w:t>UNEXERCISABLE</w:t>
            </w:r>
          </w:p>
        </w:tc>
        <w:tc>
          <w:tcPr>
            <w:tcW w:w="800" w:type="dxa"/>
            <w:vAlign w:val="bottom"/>
          </w:tcPr>
          <w:p>
            <w:pPr>
              <w:jc w:val="right"/>
              <w:ind w:right="82"/>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center"/>
              <w:ind w:left="42"/>
              <w:spacing w:after="0"/>
              <w:rPr>
                <w:sz w:val="20"/>
                <w:szCs w:val="20"/>
                <w:color w:val="auto"/>
              </w:rPr>
            </w:pPr>
            <w:r>
              <w:rPr>
                <w:rFonts w:ascii="Arial" w:cs="Arial" w:eastAsia="Arial" w:hAnsi="Arial"/>
                <w:sz w:val="11"/>
                <w:szCs w:val="11"/>
                <w:b w:val="1"/>
                <w:bCs w:val="1"/>
                <w:color w:val="auto"/>
                <w:w w:val="93"/>
              </w:rPr>
              <w:t>DATE</w:t>
            </w: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rPr>
              <w:t xml:space="preserve">    </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3"/>
                <w:szCs w:val="13"/>
                <w:b w:val="1"/>
                <w:bCs w:val="1"/>
                <w:color w:val="auto"/>
                <w:vertAlign w:val="superscript"/>
              </w:rPr>
              <w:t>(1)</w:t>
            </w:r>
          </w:p>
        </w:tc>
        <w:tc>
          <w:tcPr>
            <w:tcW w:w="0" w:type="dxa"/>
            <w:vAlign w:val="bottom"/>
          </w:tcPr>
          <w:p>
            <w:pPr>
              <w:spacing w:after="0"/>
              <w:rPr>
                <w:sz w:val="1"/>
                <w:szCs w:val="1"/>
                <w:color w:val="auto"/>
              </w:rPr>
            </w:pPr>
          </w:p>
        </w:tc>
      </w:tr>
      <w:tr>
        <w:trPr>
          <w:trHeight w:val="219"/>
        </w:trPr>
        <w:tc>
          <w:tcPr>
            <w:tcW w:w="23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1080" w:type="dxa"/>
            <w:vAlign w:val="bottom"/>
            <w:shd w:val="clear" w:color="auto" w:fill="E8F4FF"/>
          </w:tcPr>
          <w:p>
            <w:pPr>
              <w:jc w:val="right"/>
              <w:ind w:right="63"/>
              <w:spacing w:after="0"/>
              <w:rPr>
                <w:sz w:val="20"/>
                <w:szCs w:val="20"/>
                <w:color w:val="auto"/>
              </w:rPr>
            </w:pPr>
            <w:r>
              <w:rPr>
                <w:rFonts w:ascii="Arial" w:cs="Arial" w:eastAsia="Arial" w:hAnsi="Arial"/>
                <w:sz w:val="12"/>
                <w:szCs w:val="12"/>
                <w:color w:val="auto"/>
              </w:rPr>
              <w:t>302,724</w:t>
            </w:r>
          </w:p>
        </w:tc>
        <w:tc>
          <w:tcPr>
            <w:tcW w:w="1200" w:type="dxa"/>
            <w:vAlign w:val="bottom"/>
            <w:shd w:val="clear" w:color="auto" w:fill="E8F4FF"/>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shd w:val="clear" w:color="auto" w:fill="E8F4FF"/>
          </w:tcPr>
          <w:p>
            <w:pPr>
              <w:jc w:val="right"/>
              <w:ind w:right="82"/>
              <w:spacing w:after="0"/>
              <w:rPr>
                <w:sz w:val="20"/>
                <w:szCs w:val="20"/>
                <w:color w:val="auto"/>
              </w:rPr>
            </w:pPr>
            <w:r>
              <w:rPr>
                <w:rFonts w:ascii="Arial" w:cs="Arial" w:eastAsia="Arial" w:hAnsi="Arial"/>
                <w:sz w:val="12"/>
                <w:szCs w:val="12"/>
                <w:color w:val="auto"/>
              </w:rPr>
              <w:t>3.30</w:t>
            </w:r>
          </w:p>
        </w:tc>
        <w:tc>
          <w:tcPr>
            <w:tcW w:w="820" w:type="dxa"/>
            <w:vAlign w:val="bottom"/>
            <w:shd w:val="clear" w:color="auto" w:fill="E8F4FF"/>
          </w:tcPr>
          <w:p>
            <w:pPr>
              <w:jc w:val="right"/>
              <w:spacing w:after="0"/>
              <w:rPr>
                <w:sz w:val="20"/>
                <w:szCs w:val="20"/>
                <w:color w:val="auto"/>
              </w:rPr>
            </w:pPr>
            <w:r>
              <w:rPr>
                <w:rFonts w:ascii="Arial" w:cs="Arial" w:eastAsia="Arial" w:hAnsi="Arial"/>
                <w:sz w:val="12"/>
                <w:szCs w:val="12"/>
                <w:color w:val="auto"/>
              </w:rPr>
              <w:t>10/31/29</w:t>
            </w:r>
          </w:p>
        </w:tc>
        <w:tc>
          <w:tcPr>
            <w:tcW w:w="680" w:type="dxa"/>
            <w:vAlign w:val="bottom"/>
            <w:shd w:val="clear" w:color="auto" w:fill="E8F4FF"/>
          </w:tcPr>
          <w:p>
            <w:pPr>
              <w:spacing w:after="0"/>
              <w:rPr>
                <w:sz w:val="19"/>
                <w:szCs w:val="19"/>
                <w:color w:val="auto"/>
              </w:rPr>
            </w:pPr>
          </w:p>
        </w:tc>
        <w:tc>
          <w:tcPr>
            <w:tcW w:w="1260" w:type="dxa"/>
            <w:vAlign w:val="bottom"/>
            <w:shd w:val="clear" w:color="auto" w:fill="E8F4FF"/>
          </w:tcPr>
          <w:p>
            <w:pPr>
              <w:spacing w:after="0"/>
              <w:rPr>
                <w:sz w:val="19"/>
                <w:szCs w:val="19"/>
                <w:color w:val="auto"/>
              </w:rPr>
            </w:pPr>
          </w:p>
        </w:tc>
        <w:tc>
          <w:tcPr>
            <w:tcW w:w="1040" w:type="dxa"/>
            <w:vAlign w:val="bottom"/>
            <w:shd w:val="clear" w:color="auto" w:fill="E8F4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320" w:type="dxa"/>
            <w:vAlign w:val="bottom"/>
            <w:shd w:val="clear" w:color="auto" w:fill="E8F4FF"/>
          </w:tcPr>
          <w:p>
            <w:pPr>
              <w:spacing w:after="0"/>
              <w:rPr>
                <w:sz w:val="24"/>
                <w:szCs w:val="24"/>
                <w:color w:val="auto"/>
              </w:rPr>
            </w:pPr>
          </w:p>
        </w:tc>
        <w:tc>
          <w:tcPr>
            <w:tcW w:w="1080" w:type="dxa"/>
            <w:vAlign w:val="bottom"/>
            <w:shd w:val="clear" w:color="auto" w:fill="E8F4FF"/>
          </w:tcPr>
          <w:p>
            <w:pPr>
              <w:jc w:val="right"/>
              <w:spacing w:after="0"/>
              <w:rPr>
                <w:sz w:val="20"/>
                <w:szCs w:val="20"/>
                <w:color w:val="auto"/>
              </w:rPr>
            </w:pPr>
            <w:r>
              <w:rPr>
                <w:rFonts w:ascii="Arial" w:cs="Arial" w:eastAsia="Arial" w:hAnsi="Arial"/>
                <w:sz w:val="12"/>
                <w:szCs w:val="12"/>
                <w:color w:val="auto"/>
              </w:rPr>
              <w:t>268,413</w:t>
            </w:r>
            <w:r>
              <w:rPr>
                <w:rFonts w:ascii="Arial" w:cs="Arial" w:eastAsia="Arial" w:hAnsi="Arial"/>
                <w:sz w:val="14"/>
                <w:szCs w:val="14"/>
                <w:color w:val="auto"/>
                <w:vertAlign w:val="superscript"/>
              </w:rPr>
              <w:t>(2)</w:t>
            </w:r>
          </w:p>
        </w:tc>
        <w:tc>
          <w:tcPr>
            <w:tcW w:w="1200" w:type="dxa"/>
            <w:vAlign w:val="bottom"/>
            <w:shd w:val="clear" w:color="auto" w:fill="E8F4FF"/>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shd w:val="clear" w:color="auto" w:fill="E8F4FF"/>
          </w:tcPr>
          <w:p>
            <w:pPr>
              <w:jc w:val="right"/>
              <w:ind w:right="82"/>
              <w:spacing w:after="0"/>
              <w:rPr>
                <w:sz w:val="20"/>
                <w:szCs w:val="20"/>
                <w:color w:val="auto"/>
              </w:rPr>
            </w:pPr>
            <w:r>
              <w:rPr>
                <w:rFonts w:ascii="Arial" w:cs="Arial" w:eastAsia="Arial" w:hAnsi="Arial"/>
                <w:sz w:val="12"/>
                <w:szCs w:val="12"/>
                <w:color w:val="auto"/>
              </w:rPr>
              <w:t>3.95</w:t>
            </w:r>
          </w:p>
        </w:tc>
        <w:tc>
          <w:tcPr>
            <w:tcW w:w="820" w:type="dxa"/>
            <w:vAlign w:val="bottom"/>
            <w:shd w:val="clear" w:color="auto" w:fill="E8F4FF"/>
          </w:tcPr>
          <w:p>
            <w:pPr>
              <w:jc w:val="right"/>
              <w:spacing w:after="0"/>
              <w:rPr>
                <w:sz w:val="20"/>
                <w:szCs w:val="20"/>
                <w:color w:val="auto"/>
              </w:rPr>
            </w:pPr>
            <w:r>
              <w:rPr>
                <w:rFonts w:ascii="Arial" w:cs="Arial" w:eastAsia="Arial" w:hAnsi="Arial"/>
                <w:sz w:val="12"/>
                <w:szCs w:val="12"/>
                <w:color w:val="auto"/>
              </w:rPr>
              <w:t>1/20/31</w:t>
            </w:r>
          </w:p>
        </w:tc>
        <w:tc>
          <w:tcPr>
            <w:tcW w:w="680" w:type="dxa"/>
            <w:vAlign w:val="bottom"/>
            <w:shd w:val="clear" w:color="auto" w:fill="E8F4FF"/>
          </w:tcPr>
          <w:p>
            <w:pPr>
              <w:spacing w:after="0"/>
              <w:rPr>
                <w:sz w:val="24"/>
                <w:szCs w:val="24"/>
                <w:color w:val="auto"/>
              </w:rPr>
            </w:pPr>
          </w:p>
        </w:tc>
        <w:tc>
          <w:tcPr>
            <w:tcW w:w="1260" w:type="dxa"/>
            <w:vAlign w:val="bottom"/>
            <w:shd w:val="clear" w:color="auto" w:fill="E8F4FF"/>
          </w:tcPr>
          <w:p>
            <w:pPr>
              <w:spacing w:after="0"/>
              <w:rPr>
                <w:sz w:val="24"/>
                <w:szCs w:val="24"/>
                <w:color w:val="auto"/>
              </w:rPr>
            </w:pPr>
          </w:p>
        </w:tc>
        <w:tc>
          <w:tcPr>
            <w:tcW w:w="1040" w:type="dxa"/>
            <w:vAlign w:val="bottom"/>
            <w:shd w:val="clear" w:color="auto" w:fill="E8F4FF"/>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jc w:val="right"/>
              <w:spacing w:after="0"/>
              <w:rPr>
                <w:sz w:val="20"/>
                <w:szCs w:val="20"/>
                <w:color w:val="auto"/>
              </w:rPr>
            </w:pPr>
            <w:r>
              <w:rPr>
                <w:rFonts w:ascii="Arial" w:cs="Arial" w:eastAsia="Arial" w:hAnsi="Arial"/>
                <w:sz w:val="12"/>
                <w:szCs w:val="12"/>
                <w:color w:val="auto"/>
              </w:rPr>
              <w:t>285,000</w:t>
            </w:r>
            <w:r>
              <w:rPr>
                <w:rFonts w:ascii="Arial" w:cs="Arial" w:eastAsia="Arial" w:hAnsi="Arial"/>
                <w:sz w:val="14"/>
                <w:szCs w:val="14"/>
                <w:color w:val="auto"/>
                <w:vertAlign w:val="superscript"/>
              </w:rPr>
              <w:t>(3)</w:t>
            </w:r>
          </w:p>
        </w:tc>
        <w:tc>
          <w:tcPr>
            <w:tcW w:w="1200" w:type="dxa"/>
            <w:vAlign w:val="bottom"/>
            <w:shd w:val="clear" w:color="auto" w:fill="E8F4FF"/>
          </w:tcPr>
          <w:p>
            <w:pPr>
              <w:jc w:val="right"/>
              <w:ind w:right="43"/>
              <w:spacing w:after="0"/>
              <w:rPr>
                <w:sz w:val="20"/>
                <w:szCs w:val="20"/>
                <w:color w:val="auto"/>
              </w:rPr>
            </w:pPr>
            <w:r>
              <w:rPr>
                <w:rFonts w:ascii="Arial" w:cs="Arial" w:eastAsia="Arial" w:hAnsi="Arial"/>
                <w:sz w:val="12"/>
                <w:szCs w:val="12"/>
                <w:color w:val="auto"/>
              </w:rPr>
              <w:t>5,000</w:t>
            </w:r>
          </w:p>
        </w:tc>
        <w:tc>
          <w:tcPr>
            <w:tcW w:w="800" w:type="dxa"/>
            <w:vAlign w:val="bottom"/>
            <w:shd w:val="clear" w:color="auto" w:fill="E8F4FF"/>
          </w:tcPr>
          <w:p>
            <w:pPr>
              <w:jc w:val="right"/>
              <w:ind w:right="82"/>
              <w:spacing w:after="0"/>
              <w:rPr>
                <w:sz w:val="20"/>
                <w:szCs w:val="20"/>
                <w:color w:val="auto"/>
              </w:rPr>
            </w:pPr>
            <w:r>
              <w:rPr>
                <w:rFonts w:ascii="Arial" w:cs="Arial" w:eastAsia="Arial" w:hAnsi="Arial"/>
                <w:sz w:val="12"/>
                <w:szCs w:val="12"/>
                <w:color w:val="auto"/>
              </w:rPr>
              <w:t>3.95</w:t>
            </w:r>
          </w:p>
        </w:tc>
        <w:tc>
          <w:tcPr>
            <w:tcW w:w="820" w:type="dxa"/>
            <w:vAlign w:val="bottom"/>
            <w:shd w:val="clear" w:color="auto" w:fill="E8F4FF"/>
          </w:tcPr>
          <w:p>
            <w:pPr>
              <w:jc w:val="right"/>
              <w:spacing w:after="0"/>
              <w:rPr>
                <w:sz w:val="20"/>
                <w:szCs w:val="20"/>
                <w:color w:val="auto"/>
              </w:rPr>
            </w:pPr>
            <w:r>
              <w:rPr>
                <w:rFonts w:ascii="Arial" w:cs="Arial" w:eastAsia="Arial" w:hAnsi="Arial"/>
                <w:sz w:val="12"/>
                <w:szCs w:val="12"/>
                <w:color w:val="auto"/>
              </w:rPr>
              <w:t>1/20/31</w:t>
            </w: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spacing w:after="0"/>
              <w:rPr>
                <w:sz w:val="21"/>
                <w:szCs w:val="21"/>
                <w:color w:val="auto"/>
              </w:rPr>
            </w:pPr>
          </w:p>
        </w:tc>
        <w:tc>
          <w:tcPr>
            <w:tcW w:w="1040" w:type="dxa"/>
            <w:vAlign w:val="bottom"/>
            <w:shd w:val="clear" w:color="auto" w:fill="E8F4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15,754</w:t>
            </w:r>
            <w:r>
              <w:rPr>
                <w:rFonts w:ascii="Arial" w:cs="Arial" w:eastAsia="Arial" w:hAnsi="Arial"/>
                <w:sz w:val="14"/>
                <w:szCs w:val="14"/>
                <w:color w:val="auto"/>
                <w:vertAlign w:val="superscript"/>
              </w:rPr>
              <w:t>(4)</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223,077</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88,887</w:t>
            </w:r>
            <w:r>
              <w:rPr>
                <w:rFonts w:ascii="Arial" w:cs="Arial" w:eastAsia="Arial" w:hAnsi="Arial"/>
                <w:sz w:val="14"/>
                <w:szCs w:val="14"/>
                <w:color w:val="auto"/>
                <w:vertAlign w:val="superscript"/>
              </w:rPr>
              <w:t>(5)</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1,258,640</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191,739</w:t>
            </w:r>
            <w:r>
              <w:rPr>
                <w:rFonts w:ascii="Arial" w:cs="Arial" w:eastAsia="Arial" w:hAnsi="Arial"/>
                <w:sz w:val="14"/>
                <w:szCs w:val="14"/>
                <w:color w:val="auto"/>
                <w:vertAlign w:val="superscript"/>
              </w:rPr>
              <w:t>(6)</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2,715,024</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765,550</w:t>
            </w:r>
            <w:r>
              <w:rPr>
                <w:rFonts w:ascii="Arial" w:cs="Arial" w:eastAsia="Arial" w:hAnsi="Arial"/>
                <w:sz w:val="14"/>
                <w:szCs w:val="14"/>
                <w:color w:val="auto"/>
                <w:vertAlign w:val="superscript"/>
              </w:rPr>
              <w:t>(7)</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10,840,188</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384,452</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3.30</w:t>
            </w:r>
          </w:p>
        </w:tc>
        <w:tc>
          <w:tcPr>
            <w:tcW w:w="820" w:type="dxa"/>
            <w:vAlign w:val="bottom"/>
          </w:tcPr>
          <w:p>
            <w:pPr>
              <w:jc w:val="right"/>
              <w:spacing w:after="0"/>
              <w:rPr>
                <w:sz w:val="20"/>
                <w:szCs w:val="20"/>
                <w:color w:val="auto"/>
              </w:rPr>
            </w:pPr>
            <w:r>
              <w:rPr>
                <w:rFonts w:ascii="Arial" w:cs="Arial" w:eastAsia="Arial" w:hAnsi="Arial"/>
                <w:sz w:val="12"/>
                <w:szCs w:val="12"/>
                <w:color w:val="auto"/>
              </w:rPr>
              <w:t>10/31/29</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234,663</w:t>
            </w:r>
            <w:r>
              <w:rPr>
                <w:rFonts w:ascii="Arial" w:cs="Arial" w:eastAsia="Arial" w:hAnsi="Arial"/>
                <w:sz w:val="14"/>
                <w:szCs w:val="14"/>
                <w:color w:val="auto"/>
                <w:vertAlign w:val="superscript"/>
              </w:rPr>
              <w:t>(8)</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3.95</w:t>
            </w:r>
          </w:p>
        </w:tc>
        <w:tc>
          <w:tcPr>
            <w:tcW w:w="820" w:type="dxa"/>
            <w:vAlign w:val="bottom"/>
          </w:tcPr>
          <w:p>
            <w:pPr>
              <w:jc w:val="right"/>
              <w:spacing w:after="0"/>
              <w:rPr>
                <w:sz w:val="20"/>
                <w:szCs w:val="20"/>
                <w:color w:val="auto"/>
              </w:rPr>
            </w:pPr>
            <w:r>
              <w:rPr>
                <w:rFonts w:ascii="Arial" w:cs="Arial" w:eastAsia="Arial" w:hAnsi="Arial"/>
                <w:sz w:val="12"/>
                <w:szCs w:val="12"/>
                <w:color w:val="auto"/>
              </w:rPr>
              <w:t>1/20/31</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7,877</w:t>
            </w:r>
            <w:r>
              <w:rPr>
                <w:rFonts w:ascii="Arial" w:cs="Arial" w:eastAsia="Arial" w:hAnsi="Arial"/>
                <w:sz w:val="14"/>
                <w:szCs w:val="14"/>
                <w:color w:val="auto"/>
                <w:vertAlign w:val="superscript"/>
              </w:rPr>
              <w:t>(4)</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111,538</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46,895</w:t>
            </w:r>
            <w:r>
              <w:rPr>
                <w:rFonts w:ascii="Arial" w:cs="Arial" w:eastAsia="Arial" w:hAnsi="Arial"/>
                <w:sz w:val="14"/>
                <w:szCs w:val="14"/>
                <w:color w:val="auto"/>
                <w:vertAlign w:val="superscript"/>
              </w:rPr>
              <w:t>(5)</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664,033</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111,448</w:t>
            </w:r>
            <w:r>
              <w:rPr>
                <w:rFonts w:ascii="Arial" w:cs="Arial" w:eastAsia="Arial" w:hAnsi="Arial"/>
                <w:sz w:val="14"/>
                <w:szCs w:val="14"/>
                <w:color w:val="auto"/>
                <w:vertAlign w:val="superscript"/>
              </w:rPr>
              <w:t>(6)</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1,578,104</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444,976</w:t>
            </w:r>
            <w:r>
              <w:rPr>
                <w:rFonts w:ascii="Arial" w:cs="Arial" w:eastAsia="Arial" w:hAnsi="Arial"/>
                <w:sz w:val="14"/>
                <w:szCs w:val="14"/>
                <w:color w:val="auto"/>
                <w:vertAlign w:val="superscript"/>
              </w:rPr>
              <w:t>(7)</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6,300,860</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173,418</w:t>
            </w:r>
            <w:r>
              <w:rPr>
                <w:rFonts w:ascii="Arial" w:cs="Arial" w:eastAsia="Arial" w:hAnsi="Arial"/>
                <w:sz w:val="14"/>
                <w:szCs w:val="14"/>
                <w:color w:val="auto"/>
                <w:vertAlign w:val="superscript"/>
              </w:rPr>
              <w:t>(9)</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2,455,599</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334,928</w:t>
            </w:r>
            <w:r>
              <w:rPr>
                <w:rFonts w:ascii="Arial" w:cs="Arial" w:eastAsia="Arial" w:hAnsi="Arial"/>
                <w:sz w:val="14"/>
                <w:szCs w:val="14"/>
                <w:color w:val="auto"/>
                <w:vertAlign w:val="superscript"/>
              </w:rPr>
              <w:t>(7)</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4,742,580</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140,000</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0.59</w:t>
            </w:r>
          </w:p>
        </w:tc>
        <w:tc>
          <w:tcPr>
            <w:tcW w:w="820" w:type="dxa"/>
            <w:vAlign w:val="bottom"/>
          </w:tcPr>
          <w:p>
            <w:pPr>
              <w:jc w:val="right"/>
              <w:spacing w:after="0"/>
              <w:rPr>
                <w:sz w:val="20"/>
                <w:szCs w:val="20"/>
                <w:color w:val="auto"/>
              </w:rPr>
            </w:pPr>
            <w:r>
              <w:rPr>
                <w:rFonts w:ascii="Arial" w:cs="Arial" w:eastAsia="Arial" w:hAnsi="Arial"/>
                <w:sz w:val="12"/>
                <w:szCs w:val="12"/>
                <w:color w:val="auto"/>
              </w:rPr>
              <w:t>7/25/26</w:t>
            </w: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320" w:type="dxa"/>
            <w:vAlign w:val="bottom"/>
          </w:tcPr>
          <w:p>
            <w:pPr>
              <w:spacing w:after="0"/>
              <w:rPr>
                <w:sz w:val="21"/>
                <w:szCs w:val="21"/>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90,066</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3.28</w:t>
            </w:r>
          </w:p>
        </w:tc>
        <w:tc>
          <w:tcPr>
            <w:tcW w:w="820" w:type="dxa"/>
            <w:vAlign w:val="bottom"/>
          </w:tcPr>
          <w:p>
            <w:pPr>
              <w:jc w:val="right"/>
              <w:spacing w:after="0"/>
              <w:rPr>
                <w:sz w:val="20"/>
                <w:szCs w:val="20"/>
                <w:color w:val="auto"/>
              </w:rPr>
            </w:pPr>
            <w:r>
              <w:rPr>
                <w:rFonts w:ascii="Arial" w:cs="Arial" w:eastAsia="Arial" w:hAnsi="Arial"/>
                <w:sz w:val="12"/>
                <w:szCs w:val="12"/>
                <w:color w:val="auto"/>
              </w:rPr>
              <w:t>11/27/28</w:t>
            </w:r>
          </w:p>
        </w:tc>
        <w:tc>
          <w:tcPr>
            <w:tcW w:w="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69,607</w:t>
            </w:r>
            <w:r>
              <w:rPr>
                <w:rFonts w:ascii="Arial" w:cs="Arial" w:eastAsia="Arial" w:hAnsi="Arial"/>
                <w:sz w:val="14"/>
                <w:szCs w:val="14"/>
                <w:color w:val="auto"/>
                <w:vertAlign w:val="superscript"/>
              </w:rPr>
              <w:t>(8)</w:t>
            </w:r>
          </w:p>
        </w:tc>
        <w:tc>
          <w:tcPr>
            <w:tcW w:w="1200" w:type="dxa"/>
            <w:vAlign w:val="bottom"/>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3.95</w:t>
            </w:r>
          </w:p>
        </w:tc>
        <w:tc>
          <w:tcPr>
            <w:tcW w:w="820" w:type="dxa"/>
            <w:vAlign w:val="bottom"/>
          </w:tcPr>
          <w:p>
            <w:pPr>
              <w:jc w:val="right"/>
              <w:spacing w:after="0"/>
              <w:rPr>
                <w:sz w:val="20"/>
                <w:szCs w:val="20"/>
                <w:color w:val="auto"/>
              </w:rPr>
            </w:pPr>
            <w:r>
              <w:rPr>
                <w:rFonts w:ascii="Arial" w:cs="Arial" w:eastAsia="Arial" w:hAnsi="Arial"/>
                <w:sz w:val="12"/>
                <w:szCs w:val="12"/>
                <w:color w:val="auto"/>
              </w:rPr>
              <w:t>1/20/31</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3,376</w:t>
            </w:r>
            <w:r>
              <w:rPr>
                <w:rFonts w:ascii="Arial" w:cs="Arial" w:eastAsia="Arial" w:hAnsi="Arial"/>
                <w:sz w:val="14"/>
                <w:szCs w:val="14"/>
                <w:color w:val="auto"/>
                <w:vertAlign w:val="superscript"/>
              </w:rPr>
              <w:t>(4)</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47,804</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22,376</w:t>
            </w:r>
            <w:r>
              <w:rPr>
                <w:rFonts w:ascii="Arial" w:cs="Arial" w:eastAsia="Arial" w:hAnsi="Arial"/>
                <w:sz w:val="14"/>
                <w:szCs w:val="14"/>
                <w:color w:val="auto"/>
                <w:vertAlign w:val="superscript"/>
              </w:rPr>
              <w:t>(5)</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316,844</w:t>
            </w:r>
          </w:p>
        </w:tc>
        <w:tc>
          <w:tcPr>
            <w:tcW w:w="0" w:type="dxa"/>
            <w:vAlign w:val="bottom"/>
          </w:tcPr>
          <w:p>
            <w:pPr>
              <w:spacing w:after="0"/>
              <w:rPr>
                <w:sz w:val="1"/>
                <w:szCs w:val="1"/>
                <w:color w:val="auto"/>
              </w:rPr>
            </w:pPr>
          </w:p>
        </w:tc>
      </w:tr>
      <w:tr>
        <w:trPr>
          <w:trHeight w:val="248"/>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43,142</w:t>
            </w:r>
            <w:r>
              <w:rPr>
                <w:rFonts w:ascii="Arial" w:cs="Arial" w:eastAsia="Arial" w:hAnsi="Arial"/>
                <w:sz w:val="14"/>
                <w:szCs w:val="14"/>
                <w:color w:val="auto"/>
                <w:vertAlign w:val="superscript"/>
              </w:rPr>
              <w:t>(6)</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610,891</w:t>
            </w:r>
          </w:p>
        </w:tc>
        <w:tc>
          <w:tcPr>
            <w:tcW w:w="0" w:type="dxa"/>
            <w:vAlign w:val="bottom"/>
          </w:tcPr>
          <w:p>
            <w:pPr>
              <w:spacing w:after="0"/>
              <w:rPr>
                <w:sz w:val="1"/>
                <w:szCs w:val="1"/>
                <w:color w:val="auto"/>
              </w:rPr>
            </w:pPr>
          </w:p>
        </w:tc>
      </w:tr>
      <w:tr>
        <w:trPr>
          <w:trHeight w:val="247"/>
        </w:trPr>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2"/>
                <w:szCs w:val="12"/>
                <w:color w:val="auto"/>
              </w:rPr>
              <w:t>172,248</w:t>
            </w:r>
            <w:r>
              <w:rPr>
                <w:rFonts w:ascii="Arial" w:cs="Arial" w:eastAsia="Arial" w:hAnsi="Arial"/>
                <w:sz w:val="14"/>
                <w:szCs w:val="14"/>
                <w:color w:val="auto"/>
                <w:vertAlign w:val="superscript"/>
              </w:rPr>
              <w:t>(7)</w:t>
            </w: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2,439,032</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1080" w:type="dxa"/>
            <w:vAlign w:val="bottom"/>
            <w:shd w:val="clear" w:color="auto" w:fill="E8F4FF"/>
          </w:tcPr>
          <w:p>
            <w:pPr>
              <w:jc w:val="right"/>
              <w:spacing w:after="0"/>
              <w:rPr>
                <w:sz w:val="20"/>
                <w:szCs w:val="20"/>
                <w:color w:val="auto"/>
              </w:rPr>
            </w:pPr>
            <w:r>
              <w:rPr>
                <w:rFonts w:ascii="Arial" w:cs="Arial" w:eastAsia="Arial" w:hAnsi="Arial"/>
                <w:sz w:val="12"/>
                <w:szCs w:val="12"/>
                <w:color w:val="auto"/>
              </w:rPr>
              <w:t>13,125</w:t>
            </w:r>
            <w:r>
              <w:rPr>
                <w:rFonts w:ascii="Arial" w:cs="Arial" w:eastAsia="Arial" w:hAnsi="Arial"/>
                <w:sz w:val="14"/>
                <w:szCs w:val="14"/>
                <w:color w:val="auto"/>
                <w:vertAlign w:val="superscript"/>
              </w:rPr>
              <w:t>(8)</w:t>
            </w:r>
          </w:p>
        </w:tc>
        <w:tc>
          <w:tcPr>
            <w:tcW w:w="1200" w:type="dxa"/>
            <w:vAlign w:val="bottom"/>
            <w:shd w:val="clear" w:color="auto" w:fill="E8F4FF"/>
          </w:tcPr>
          <w:p>
            <w:pPr>
              <w:jc w:val="right"/>
              <w:ind w:right="43"/>
              <w:spacing w:after="0"/>
              <w:rPr>
                <w:sz w:val="20"/>
                <w:szCs w:val="20"/>
                <w:color w:val="auto"/>
              </w:rPr>
            </w:pPr>
            <w:r>
              <w:rPr>
                <w:rFonts w:ascii="Arial" w:cs="Arial" w:eastAsia="Arial" w:hAnsi="Arial"/>
                <w:sz w:val="12"/>
                <w:szCs w:val="12"/>
                <w:color w:val="auto"/>
              </w:rPr>
              <w:t>—</w:t>
            </w:r>
          </w:p>
        </w:tc>
        <w:tc>
          <w:tcPr>
            <w:tcW w:w="800" w:type="dxa"/>
            <w:vAlign w:val="bottom"/>
            <w:shd w:val="clear" w:color="auto" w:fill="E8F4FF"/>
          </w:tcPr>
          <w:p>
            <w:pPr>
              <w:jc w:val="right"/>
              <w:ind w:right="82"/>
              <w:spacing w:after="0"/>
              <w:rPr>
                <w:sz w:val="20"/>
                <w:szCs w:val="20"/>
                <w:color w:val="auto"/>
              </w:rPr>
            </w:pPr>
            <w:r>
              <w:rPr>
                <w:rFonts w:ascii="Arial" w:cs="Arial" w:eastAsia="Arial" w:hAnsi="Arial"/>
                <w:sz w:val="12"/>
                <w:szCs w:val="12"/>
                <w:color w:val="auto"/>
              </w:rPr>
              <w:t>3.95</w:t>
            </w:r>
          </w:p>
        </w:tc>
        <w:tc>
          <w:tcPr>
            <w:tcW w:w="820" w:type="dxa"/>
            <w:vAlign w:val="bottom"/>
            <w:shd w:val="clear" w:color="auto" w:fill="E8F4FF"/>
          </w:tcPr>
          <w:p>
            <w:pPr>
              <w:jc w:val="right"/>
              <w:spacing w:after="0"/>
              <w:rPr>
                <w:sz w:val="20"/>
                <w:szCs w:val="20"/>
                <w:color w:val="auto"/>
              </w:rPr>
            </w:pPr>
            <w:r>
              <w:rPr>
                <w:rFonts w:ascii="Arial" w:cs="Arial" w:eastAsia="Arial" w:hAnsi="Arial"/>
                <w:sz w:val="12"/>
                <w:szCs w:val="12"/>
                <w:color w:val="auto"/>
              </w:rPr>
              <w:t>1/20/31</w:t>
            </w: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spacing w:after="0"/>
              <w:rPr>
                <w:sz w:val="21"/>
                <w:szCs w:val="21"/>
                <w:color w:val="auto"/>
              </w:rPr>
            </w:pPr>
          </w:p>
        </w:tc>
        <w:tc>
          <w:tcPr>
            <w:tcW w:w="1040" w:type="dxa"/>
            <w:vAlign w:val="bottom"/>
            <w:shd w:val="clear" w:color="auto" w:fill="E8F4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7,878</w:t>
            </w:r>
            <w:r>
              <w:rPr>
                <w:rFonts w:ascii="Arial" w:cs="Arial" w:eastAsia="Arial" w:hAnsi="Arial"/>
                <w:sz w:val="14"/>
                <w:szCs w:val="14"/>
                <w:color w:val="auto"/>
                <w:vertAlign w:val="superscript"/>
              </w:rPr>
              <w:t>(4)</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111,552</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37,700</w:t>
            </w:r>
            <w:r>
              <w:rPr>
                <w:rFonts w:ascii="Arial" w:cs="Arial" w:eastAsia="Arial" w:hAnsi="Arial"/>
                <w:sz w:val="14"/>
                <w:szCs w:val="14"/>
                <w:color w:val="auto"/>
                <w:vertAlign w:val="superscript"/>
              </w:rPr>
              <w:t>(5)</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533,832</w:t>
            </w:r>
          </w:p>
        </w:tc>
        <w:tc>
          <w:tcPr>
            <w:tcW w:w="0" w:type="dxa"/>
            <w:vAlign w:val="bottom"/>
          </w:tcPr>
          <w:p>
            <w:pPr>
              <w:spacing w:after="0"/>
              <w:rPr>
                <w:sz w:val="1"/>
                <w:szCs w:val="1"/>
                <w:color w:val="auto"/>
              </w:rPr>
            </w:pPr>
          </w:p>
        </w:tc>
      </w:tr>
      <w:tr>
        <w:trPr>
          <w:trHeight w:val="248"/>
        </w:trPr>
        <w:tc>
          <w:tcPr>
            <w:tcW w:w="2320" w:type="dxa"/>
            <w:vAlign w:val="bottom"/>
            <w:shd w:val="clear" w:color="auto" w:fill="E8F4FF"/>
          </w:tcPr>
          <w:p>
            <w:pPr>
              <w:spacing w:after="0"/>
              <w:rPr>
                <w:sz w:val="21"/>
                <w:szCs w:val="21"/>
                <w:color w:val="auto"/>
              </w:rPr>
            </w:pPr>
          </w:p>
        </w:tc>
        <w:tc>
          <w:tcPr>
            <w:tcW w:w="1080" w:type="dxa"/>
            <w:vAlign w:val="bottom"/>
            <w:shd w:val="clear" w:color="auto" w:fill="E8F4FF"/>
          </w:tcPr>
          <w:p>
            <w:pPr>
              <w:spacing w:after="0"/>
              <w:rPr>
                <w:sz w:val="21"/>
                <w:szCs w:val="21"/>
                <w:color w:val="auto"/>
              </w:rPr>
            </w:pPr>
          </w:p>
        </w:tc>
        <w:tc>
          <w:tcPr>
            <w:tcW w:w="1200" w:type="dxa"/>
            <w:vAlign w:val="bottom"/>
            <w:shd w:val="clear" w:color="auto" w:fill="E8F4FF"/>
          </w:tcPr>
          <w:p>
            <w:pPr>
              <w:spacing w:after="0"/>
              <w:rPr>
                <w:sz w:val="21"/>
                <w:szCs w:val="21"/>
                <w:color w:val="auto"/>
              </w:rPr>
            </w:pPr>
          </w:p>
        </w:tc>
        <w:tc>
          <w:tcPr>
            <w:tcW w:w="800" w:type="dxa"/>
            <w:vAlign w:val="bottom"/>
            <w:shd w:val="clear" w:color="auto" w:fill="E8F4FF"/>
          </w:tcPr>
          <w:p>
            <w:pPr>
              <w:spacing w:after="0"/>
              <w:rPr>
                <w:sz w:val="21"/>
                <w:szCs w:val="21"/>
                <w:color w:val="auto"/>
              </w:rPr>
            </w:pPr>
          </w:p>
        </w:tc>
        <w:tc>
          <w:tcPr>
            <w:tcW w:w="820" w:type="dxa"/>
            <w:vAlign w:val="bottom"/>
            <w:shd w:val="clear" w:color="auto" w:fill="E8F4FF"/>
          </w:tcPr>
          <w:p>
            <w:pPr>
              <w:spacing w:after="0"/>
              <w:rPr>
                <w:sz w:val="21"/>
                <w:szCs w:val="21"/>
                <w:color w:val="auto"/>
              </w:rPr>
            </w:pPr>
          </w:p>
        </w:tc>
        <w:tc>
          <w:tcPr>
            <w:tcW w:w="680" w:type="dxa"/>
            <w:vAlign w:val="bottom"/>
            <w:shd w:val="clear" w:color="auto" w:fill="E8F4FF"/>
          </w:tcPr>
          <w:p>
            <w:pPr>
              <w:spacing w:after="0"/>
              <w:rPr>
                <w:sz w:val="21"/>
                <w:szCs w:val="21"/>
                <w:color w:val="auto"/>
              </w:rPr>
            </w:pPr>
          </w:p>
        </w:tc>
        <w:tc>
          <w:tcPr>
            <w:tcW w:w="1260" w:type="dxa"/>
            <w:vAlign w:val="bottom"/>
            <w:shd w:val="clear" w:color="auto" w:fill="E8F4FF"/>
          </w:tcPr>
          <w:p>
            <w:pPr>
              <w:jc w:val="right"/>
              <w:ind w:right="42"/>
              <w:spacing w:after="0"/>
              <w:rPr>
                <w:sz w:val="20"/>
                <w:szCs w:val="20"/>
                <w:color w:val="auto"/>
              </w:rPr>
            </w:pPr>
            <w:r>
              <w:rPr>
                <w:rFonts w:ascii="Arial" w:cs="Arial" w:eastAsia="Arial" w:hAnsi="Arial"/>
                <w:sz w:val="12"/>
                <w:szCs w:val="12"/>
                <w:color w:val="auto"/>
              </w:rPr>
              <w:t>79,092</w:t>
            </w:r>
            <w:r>
              <w:rPr>
                <w:rFonts w:ascii="Arial" w:cs="Arial" w:eastAsia="Arial" w:hAnsi="Arial"/>
                <w:sz w:val="14"/>
                <w:szCs w:val="14"/>
                <w:color w:val="auto"/>
                <w:vertAlign w:val="superscript"/>
              </w:rPr>
              <w:t>(6)</w:t>
            </w:r>
          </w:p>
        </w:tc>
        <w:tc>
          <w:tcPr>
            <w:tcW w:w="1040" w:type="dxa"/>
            <w:vAlign w:val="bottom"/>
            <w:shd w:val="clear" w:color="auto" w:fill="E8F4FF"/>
          </w:tcPr>
          <w:p>
            <w:pPr>
              <w:jc w:val="right"/>
              <w:ind w:right="22"/>
              <w:spacing w:after="0"/>
              <w:rPr>
                <w:sz w:val="20"/>
                <w:szCs w:val="20"/>
                <w:color w:val="auto"/>
              </w:rPr>
            </w:pPr>
            <w:r>
              <w:rPr>
                <w:rFonts w:ascii="Arial" w:cs="Arial" w:eastAsia="Arial" w:hAnsi="Arial"/>
                <w:sz w:val="12"/>
                <w:szCs w:val="12"/>
                <w:color w:val="auto"/>
              </w:rPr>
              <w:t>1,119,943</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2393FF"/>
            </w:tcBorders>
            <w:shd w:val="clear" w:color="auto" w:fill="E8F4FF"/>
          </w:tcPr>
          <w:p>
            <w:pPr>
              <w:spacing w:after="0"/>
              <w:rPr>
                <w:sz w:val="21"/>
                <w:szCs w:val="21"/>
                <w:color w:val="auto"/>
              </w:rPr>
            </w:pPr>
          </w:p>
        </w:tc>
        <w:tc>
          <w:tcPr>
            <w:tcW w:w="1080" w:type="dxa"/>
            <w:vAlign w:val="bottom"/>
            <w:tcBorders>
              <w:bottom w:val="single" w:sz="8" w:color="2393FF"/>
            </w:tcBorders>
            <w:shd w:val="clear" w:color="auto" w:fill="E8F4FF"/>
          </w:tcPr>
          <w:p>
            <w:pPr>
              <w:spacing w:after="0"/>
              <w:rPr>
                <w:sz w:val="21"/>
                <w:szCs w:val="21"/>
                <w:color w:val="auto"/>
              </w:rPr>
            </w:pPr>
          </w:p>
        </w:tc>
        <w:tc>
          <w:tcPr>
            <w:tcW w:w="1200" w:type="dxa"/>
            <w:vAlign w:val="bottom"/>
            <w:tcBorders>
              <w:bottom w:val="single" w:sz="8" w:color="2393FF"/>
            </w:tcBorders>
            <w:shd w:val="clear" w:color="auto" w:fill="E8F4FF"/>
          </w:tcPr>
          <w:p>
            <w:pPr>
              <w:spacing w:after="0"/>
              <w:rPr>
                <w:sz w:val="21"/>
                <w:szCs w:val="21"/>
                <w:color w:val="auto"/>
              </w:rPr>
            </w:pPr>
          </w:p>
        </w:tc>
        <w:tc>
          <w:tcPr>
            <w:tcW w:w="800" w:type="dxa"/>
            <w:vAlign w:val="bottom"/>
            <w:tcBorders>
              <w:bottom w:val="single" w:sz="8" w:color="2393FF"/>
            </w:tcBorders>
            <w:shd w:val="clear" w:color="auto" w:fill="E8F4FF"/>
          </w:tcPr>
          <w:p>
            <w:pPr>
              <w:spacing w:after="0"/>
              <w:rPr>
                <w:sz w:val="21"/>
                <w:szCs w:val="21"/>
                <w:color w:val="auto"/>
              </w:rPr>
            </w:pPr>
          </w:p>
        </w:tc>
        <w:tc>
          <w:tcPr>
            <w:tcW w:w="820" w:type="dxa"/>
            <w:vAlign w:val="bottom"/>
            <w:tcBorders>
              <w:bottom w:val="single" w:sz="8" w:color="2393FF"/>
            </w:tcBorders>
            <w:shd w:val="clear" w:color="auto" w:fill="E8F4FF"/>
          </w:tcPr>
          <w:p>
            <w:pPr>
              <w:spacing w:after="0"/>
              <w:rPr>
                <w:sz w:val="21"/>
                <w:szCs w:val="21"/>
                <w:color w:val="auto"/>
              </w:rPr>
            </w:pPr>
          </w:p>
        </w:tc>
        <w:tc>
          <w:tcPr>
            <w:tcW w:w="680" w:type="dxa"/>
            <w:vAlign w:val="bottom"/>
            <w:tcBorders>
              <w:bottom w:val="single" w:sz="8" w:color="2393FF"/>
            </w:tcBorders>
            <w:shd w:val="clear" w:color="auto" w:fill="E8F4FF"/>
          </w:tcPr>
          <w:p>
            <w:pPr>
              <w:spacing w:after="0"/>
              <w:rPr>
                <w:sz w:val="21"/>
                <w:szCs w:val="21"/>
                <w:color w:val="auto"/>
              </w:rPr>
            </w:pPr>
          </w:p>
        </w:tc>
        <w:tc>
          <w:tcPr>
            <w:tcW w:w="1260" w:type="dxa"/>
            <w:vAlign w:val="bottom"/>
            <w:tcBorders>
              <w:bottom w:val="single" w:sz="8" w:color="2393FF"/>
            </w:tcBorders>
            <w:shd w:val="clear" w:color="auto" w:fill="E8F4FF"/>
          </w:tcPr>
          <w:p>
            <w:pPr>
              <w:jc w:val="right"/>
              <w:ind w:right="42"/>
              <w:spacing w:after="0"/>
              <w:rPr>
                <w:sz w:val="20"/>
                <w:szCs w:val="20"/>
                <w:color w:val="auto"/>
              </w:rPr>
            </w:pPr>
            <w:r>
              <w:rPr>
                <w:rFonts w:ascii="Arial" w:cs="Arial" w:eastAsia="Arial" w:hAnsi="Arial"/>
                <w:sz w:val="12"/>
                <w:szCs w:val="12"/>
                <w:color w:val="auto"/>
              </w:rPr>
              <w:t>315,789</w:t>
            </w:r>
            <w:r>
              <w:rPr>
                <w:rFonts w:ascii="Arial" w:cs="Arial" w:eastAsia="Arial" w:hAnsi="Arial"/>
                <w:sz w:val="14"/>
                <w:szCs w:val="14"/>
                <w:color w:val="auto"/>
                <w:vertAlign w:val="superscript"/>
              </w:rPr>
              <w:t>(7)</w:t>
            </w:r>
          </w:p>
        </w:tc>
        <w:tc>
          <w:tcPr>
            <w:tcW w:w="1040" w:type="dxa"/>
            <w:vAlign w:val="bottom"/>
            <w:tcBorders>
              <w:bottom w:val="single" w:sz="8" w:color="2393FF"/>
            </w:tcBorders>
            <w:shd w:val="clear" w:color="auto" w:fill="E8F4FF"/>
          </w:tcPr>
          <w:p>
            <w:pPr>
              <w:jc w:val="right"/>
              <w:ind w:right="22"/>
              <w:spacing w:after="0"/>
              <w:rPr>
                <w:sz w:val="20"/>
                <w:szCs w:val="20"/>
                <w:color w:val="auto"/>
              </w:rPr>
            </w:pPr>
            <w:r>
              <w:rPr>
                <w:rFonts w:ascii="Arial" w:cs="Arial" w:eastAsia="Arial" w:hAnsi="Arial"/>
                <w:sz w:val="12"/>
                <w:szCs w:val="12"/>
                <w:color w:val="auto"/>
              </w:rPr>
              <w:t>4,471,572</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80" w:right="220" w:hanging="353"/>
        <w:spacing w:after="0" w:line="288" w:lineRule="auto"/>
        <w:tabs>
          <w:tab w:leader="none" w:pos="1380" w:val="left"/>
        </w:tabs>
        <w:numPr>
          <w:ilvl w:val="0"/>
          <w:numId w:val="79"/>
        </w:numPr>
        <w:rPr>
          <w:rFonts w:ascii="Arial" w:cs="Arial" w:eastAsia="Arial" w:hAnsi="Arial"/>
          <w:sz w:val="9"/>
          <w:szCs w:val="9"/>
          <w:color w:val="333333"/>
        </w:rPr>
      </w:pPr>
      <w:r>
        <w:rPr>
          <w:rFonts w:ascii="Arial" w:cs="Arial" w:eastAsia="Arial" w:hAnsi="Arial"/>
          <w:sz w:val="9"/>
          <w:szCs w:val="9"/>
          <w:color w:val="333333"/>
        </w:rPr>
        <w:t>Computed in accordance with SEC rules as the number of shares of common stock underlying unvested RSUs multiplied by the closing market price per share of our common stock on December 31, 2025, which was the last trading day of 2025, which was $14.16 per share. The actual value (if any) to be realized by the NEO depends on whether the RSUs vest and the future performance of our common stock. Each of the RSUs vest if we are acquired and the NEO is either terminated without cause or voluntarily resigns for good reason under certain circumstances following our change of control, as discussed in more detail below under Fiscal 2025 Potential Payments Upon Termination or Change in Control.</w:t>
      </w:r>
    </w:p>
    <w:p>
      <w:pPr>
        <w:spacing w:after="0" w:line="78"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40 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1" w:lineRule="exact"/>
        <w:rPr>
          <w:sz w:val="20"/>
          <w:szCs w:val="20"/>
          <w:color w:val="auto"/>
        </w:rPr>
      </w:pPr>
    </w:p>
    <w:p>
      <w:pPr>
        <w:ind w:left="1380" w:hanging="353"/>
        <w:spacing w:after="0"/>
        <w:tabs>
          <w:tab w:leader="none" w:pos="1380" w:val="left"/>
        </w:tabs>
        <w:numPr>
          <w:ilvl w:val="0"/>
          <w:numId w:val="80"/>
        </w:numPr>
        <w:rPr>
          <w:rFonts w:ascii="Arial" w:cs="Arial" w:eastAsia="Arial" w:hAnsi="Arial"/>
          <w:sz w:val="11"/>
          <w:szCs w:val="11"/>
          <w:color w:val="333333"/>
        </w:rPr>
      </w:pPr>
      <w:r>
        <w:rPr>
          <w:rFonts w:ascii="Arial" w:cs="Arial" w:eastAsia="Arial" w:hAnsi="Arial"/>
          <w:sz w:val="11"/>
          <w:szCs w:val="11"/>
          <w:color w:val="333333"/>
        </w:rPr>
        <w:t>The shares originally subject to this option vest in substantially equal monthly installments over the next 48 months of continuous service to Flywire after January 21, 2021.</w:t>
      </w:r>
    </w:p>
    <w:p>
      <w:pPr>
        <w:spacing w:after="0" w:line="53" w:lineRule="exact"/>
        <w:rPr>
          <w:rFonts w:ascii="Arial" w:cs="Arial" w:eastAsia="Arial" w:hAnsi="Arial"/>
          <w:sz w:val="11"/>
          <w:szCs w:val="11"/>
          <w:color w:val="333333"/>
        </w:rPr>
      </w:pPr>
    </w:p>
    <w:p>
      <w:pPr>
        <w:ind w:left="1380" w:hanging="353"/>
        <w:spacing w:after="0"/>
        <w:tabs>
          <w:tab w:leader="none" w:pos="1380" w:val="left"/>
        </w:tabs>
        <w:numPr>
          <w:ilvl w:val="0"/>
          <w:numId w:val="80"/>
        </w:numPr>
        <w:rPr>
          <w:rFonts w:ascii="Arial" w:cs="Arial" w:eastAsia="Arial" w:hAnsi="Arial"/>
          <w:sz w:val="11"/>
          <w:szCs w:val="11"/>
          <w:color w:val="333333"/>
        </w:rPr>
      </w:pPr>
      <w:r>
        <w:rPr>
          <w:rFonts w:ascii="Arial" w:cs="Arial" w:eastAsia="Arial" w:hAnsi="Arial"/>
          <w:sz w:val="11"/>
          <w:szCs w:val="11"/>
          <w:color w:val="333333"/>
        </w:rPr>
        <w:t>The shares subject to this option vest in substantially equal monthly installments over the next 60 months of continuous service to Flywire after January 21, 2021.</w:t>
      </w:r>
    </w:p>
    <w:p>
      <w:pPr>
        <w:spacing w:after="0" w:line="53" w:lineRule="exact"/>
        <w:rPr>
          <w:rFonts w:ascii="Arial" w:cs="Arial" w:eastAsia="Arial" w:hAnsi="Arial"/>
          <w:sz w:val="11"/>
          <w:szCs w:val="11"/>
          <w:color w:val="333333"/>
        </w:rPr>
      </w:pPr>
    </w:p>
    <w:p>
      <w:pPr>
        <w:ind w:left="1380" w:hanging="353"/>
        <w:spacing w:after="0"/>
        <w:tabs>
          <w:tab w:leader="none" w:pos="1380" w:val="left"/>
        </w:tabs>
        <w:numPr>
          <w:ilvl w:val="0"/>
          <w:numId w:val="80"/>
        </w:numPr>
        <w:rPr>
          <w:rFonts w:ascii="Arial" w:cs="Arial" w:eastAsia="Arial" w:hAnsi="Arial"/>
          <w:sz w:val="9"/>
          <w:szCs w:val="9"/>
          <w:color w:val="333333"/>
        </w:rPr>
      </w:pPr>
      <w:r>
        <w:rPr>
          <w:rFonts w:ascii="Arial" w:cs="Arial" w:eastAsia="Arial" w:hAnsi="Arial"/>
          <w:sz w:val="9"/>
          <w:szCs w:val="9"/>
          <w:color w:val="333333"/>
        </w:rPr>
        <w:t>Time-based restricted stock units vest 25% on March 4, 2023 and the remaining 75% in substantially equal quarterly installments over the next 36 months of continuous service thereafter.</w:t>
      </w:r>
    </w:p>
    <w:p>
      <w:pPr>
        <w:spacing w:after="0" w:line="76" w:lineRule="exact"/>
        <w:rPr>
          <w:rFonts w:ascii="Arial" w:cs="Arial" w:eastAsia="Arial" w:hAnsi="Arial"/>
          <w:sz w:val="9"/>
          <w:szCs w:val="9"/>
          <w:color w:val="333333"/>
        </w:rPr>
      </w:pPr>
    </w:p>
    <w:p>
      <w:pPr>
        <w:ind w:left="1380" w:hanging="353"/>
        <w:spacing w:after="0"/>
        <w:tabs>
          <w:tab w:leader="none" w:pos="1380" w:val="left"/>
        </w:tabs>
        <w:numPr>
          <w:ilvl w:val="0"/>
          <w:numId w:val="80"/>
        </w:numPr>
        <w:rPr>
          <w:rFonts w:ascii="Arial" w:cs="Arial" w:eastAsia="Arial" w:hAnsi="Arial"/>
          <w:sz w:val="9"/>
          <w:szCs w:val="9"/>
          <w:color w:val="333333"/>
        </w:rPr>
      </w:pPr>
      <w:r>
        <w:rPr>
          <w:rFonts w:ascii="Arial" w:cs="Arial" w:eastAsia="Arial" w:hAnsi="Arial"/>
          <w:sz w:val="9"/>
          <w:szCs w:val="9"/>
          <w:color w:val="333333"/>
        </w:rPr>
        <w:t>Time-based restricted stock units vest 25% on March 1, 2024 and the remaining 75% in substantially equal quarterly installments over the next 36 months of continuous service thereafter.</w:t>
      </w:r>
    </w:p>
    <w:p>
      <w:pPr>
        <w:spacing w:after="0" w:line="76" w:lineRule="exact"/>
        <w:rPr>
          <w:rFonts w:ascii="Arial" w:cs="Arial" w:eastAsia="Arial" w:hAnsi="Arial"/>
          <w:sz w:val="9"/>
          <w:szCs w:val="9"/>
          <w:color w:val="333333"/>
        </w:rPr>
      </w:pPr>
    </w:p>
    <w:p>
      <w:pPr>
        <w:ind w:left="1380" w:hanging="353"/>
        <w:spacing w:after="0"/>
        <w:tabs>
          <w:tab w:leader="none" w:pos="1380" w:val="left"/>
        </w:tabs>
        <w:numPr>
          <w:ilvl w:val="0"/>
          <w:numId w:val="80"/>
        </w:numPr>
        <w:rPr>
          <w:rFonts w:ascii="Arial" w:cs="Arial" w:eastAsia="Arial" w:hAnsi="Arial"/>
          <w:sz w:val="9"/>
          <w:szCs w:val="9"/>
          <w:color w:val="333333"/>
        </w:rPr>
      </w:pPr>
      <w:r>
        <w:rPr>
          <w:rFonts w:ascii="Arial" w:cs="Arial" w:eastAsia="Arial" w:hAnsi="Arial"/>
          <w:sz w:val="9"/>
          <w:szCs w:val="9"/>
          <w:color w:val="333333"/>
        </w:rPr>
        <w:t>Time-based restricted stock units vest 25% on March 1, 2025 and the remaining 75% in substantially equal quarterly installments over the next 36 months of continuous service thereafter.</w:t>
      </w:r>
    </w:p>
    <w:p>
      <w:pPr>
        <w:spacing w:after="0" w:line="76" w:lineRule="exact"/>
        <w:rPr>
          <w:rFonts w:ascii="Arial" w:cs="Arial" w:eastAsia="Arial" w:hAnsi="Arial"/>
          <w:sz w:val="9"/>
          <w:szCs w:val="9"/>
          <w:color w:val="333333"/>
        </w:rPr>
      </w:pPr>
    </w:p>
    <w:p>
      <w:pPr>
        <w:ind w:left="1380" w:hanging="353"/>
        <w:spacing w:after="0"/>
        <w:tabs>
          <w:tab w:leader="none" w:pos="1380" w:val="left"/>
        </w:tabs>
        <w:numPr>
          <w:ilvl w:val="0"/>
          <w:numId w:val="80"/>
        </w:numPr>
        <w:rPr>
          <w:rFonts w:ascii="Arial" w:cs="Arial" w:eastAsia="Arial" w:hAnsi="Arial"/>
          <w:sz w:val="9"/>
          <w:szCs w:val="9"/>
          <w:color w:val="333333"/>
        </w:rPr>
      </w:pPr>
      <w:r>
        <w:rPr>
          <w:rFonts w:ascii="Arial" w:cs="Arial" w:eastAsia="Arial" w:hAnsi="Arial"/>
          <w:sz w:val="9"/>
          <w:szCs w:val="9"/>
          <w:color w:val="333333"/>
        </w:rPr>
        <w:t>Time-based restricted stock units vest 25% on March 1, 2026 and the remaining 75% in substantially equal quarterly installments over the next 36 months of continuous service thereafter.</w:t>
      </w:r>
    </w:p>
    <w:p>
      <w:pPr>
        <w:spacing w:after="0" w:line="76" w:lineRule="exact"/>
        <w:rPr>
          <w:rFonts w:ascii="Arial" w:cs="Arial" w:eastAsia="Arial" w:hAnsi="Arial"/>
          <w:sz w:val="9"/>
          <w:szCs w:val="9"/>
          <w:color w:val="333333"/>
        </w:rPr>
      </w:pPr>
    </w:p>
    <w:p>
      <w:pPr>
        <w:ind w:left="1380" w:hanging="353"/>
        <w:spacing w:after="0"/>
        <w:tabs>
          <w:tab w:leader="none" w:pos="1380" w:val="left"/>
        </w:tabs>
        <w:numPr>
          <w:ilvl w:val="0"/>
          <w:numId w:val="80"/>
        </w:numPr>
        <w:rPr>
          <w:rFonts w:ascii="Arial" w:cs="Arial" w:eastAsia="Arial" w:hAnsi="Arial"/>
          <w:sz w:val="9"/>
          <w:szCs w:val="9"/>
          <w:color w:val="333333"/>
        </w:rPr>
      </w:pPr>
      <w:r>
        <w:rPr>
          <w:rFonts w:ascii="Arial" w:cs="Arial" w:eastAsia="Arial" w:hAnsi="Arial"/>
          <w:sz w:val="9"/>
          <w:szCs w:val="9"/>
          <w:color w:val="333333"/>
        </w:rPr>
        <w:t>The share subject to this option vest 25% on January 21, 2022 and the remaining 75% in substantially equal monthly installments over the next 36 months of continuous service thereafter.</w:t>
      </w:r>
    </w:p>
    <w:p>
      <w:pPr>
        <w:spacing w:after="0" w:line="76" w:lineRule="exact"/>
        <w:rPr>
          <w:rFonts w:ascii="Arial" w:cs="Arial" w:eastAsia="Arial" w:hAnsi="Arial"/>
          <w:sz w:val="9"/>
          <w:szCs w:val="9"/>
          <w:color w:val="333333"/>
        </w:rPr>
      </w:pPr>
    </w:p>
    <w:p>
      <w:pPr>
        <w:ind w:left="1380" w:right="160" w:hanging="353"/>
        <w:spacing w:after="0" w:line="238" w:lineRule="auto"/>
        <w:tabs>
          <w:tab w:leader="none" w:pos="1380" w:val="left"/>
        </w:tabs>
        <w:numPr>
          <w:ilvl w:val="0"/>
          <w:numId w:val="80"/>
        </w:numPr>
        <w:rPr>
          <w:rFonts w:ascii="Arial" w:cs="Arial" w:eastAsia="Arial" w:hAnsi="Arial"/>
          <w:sz w:val="11"/>
          <w:szCs w:val="11"/>
          <w:color w:val="333333"/>
        </w:rPr>
      </w:pPr>
      <w:r>
        <w:rPr>
          <w:rFonts w:ascii="Arial" w:cs="Arial" w:eastAsia="Arial" w:hAnsi="Arial"/>
          <w:sz w:val="11"/>
          <w:szCs w:val="11"/>
          <w:color w:val="333333"/>
        </w:rPr>
        <w:t>Time-based restricted stock units vest 35% on March 4, 2025, with the balance vesting in quarterly installments over the next 12 months of continuous service such that 28% of the shares vest in the second year, 22% of the shares vest in the third year and the remaining 15% of the shares vest in the fourth year.</w:t>
      </w:r>
    </w:p>
    <w:p>
      <w:pPr>
        <w:spacing w:after="0" w:line="6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FISCAL 2025 OPTION EXERCISES AND STOCK VESTED TABLE</w:t>
      </w:r>
    </w:p>
    <w:p>
      <w:pPr>
        <w:spacing w:after="0" w:line="87" w:lineRule="exact"/>
        <w:rPr>
          <w:sz w:val="20"/>
          <w:szCs w:val="20"/>
          <w:color w:val="auto"/>
        </w:rPr>
      </w:pPr>
    </w:p>
    <w:p>
      <w:pPr>
        <w:ind w:left="1020" w:right="140"/>
        <w:spacing w:after="0" w:line="258" w:lineRule="auto"/>
        <w:rPr>
          <w:sz w:val="20"/>
          <w:szCs w:val="20"/>
          <w:color w:val="auto"/>
        </w:rPr>
      </w:pPr>
      <w:r>
        <w:rPr>
          <w:rFonts w:ascii="Arial" w:cs="Arial" w:eastAsia="Arial" w:hAnsi="Arial"/>
          <w:sz w:val="14"/>
          <w:szCs w:val="14"/>
          <w:color w:val="auto"/>
        </w:rPr>
        <w:t>The following table presents certain information regarding options exercised and common stock received upon vesting of restricted stock unit awards by our NEOs during Fiscal 2025.</w:t>
      </w:r>
    </w:p>
    <w:p>
      <w:pPr>
        <w:spacing w:after="0" w:line="168" w:lineRule="exact"/>
        <w:rPr>
          <w:sz w:val="20"/>
          <w:szCs w:val="20"/>
          <w:color w:val="auto"/>
        </w:rPr>
      </w:pPr>
    </w:p>
    <w:tbl>
      <w:tblPr>
        <w:tblLayout w:type="fixed"/>
        <w:tblInd w:w="1020" w:type="dxa"/>
        <w:tblCellMar>
          <w:top w:w="0" w:type="dxa"/>
          <w:left w:w="0" w:type="dxa"/>
          <w:bottom w:w="0" w:type="dxa"/>
          <w:right w:w="0" w:type="dxa"/>
        </w:tblCellMar>
      </w:tblPr>
      <w:tr>
        <w:trPr>
          <w:trHeight w:val="143"/>
        </w:trPr>
        <w:tc>
          <w:tcPr>
            <w:tcW w:w="236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Arial" w:cs="Arial" w:eastAsia="Arial" w:hAnsi="Arial"/>
                <w:sz w:val="11"/>
                <w:szCs w:val="11"/>
                <w:b w:val="1"/>
                <w:bCs w:val="1"/>
                <w:color w:val="auto"/>
              </w:rPr>
              <w:t>OPTION AWARDS</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gridSpan w:val="2"/>
          </w:tcPr>
          <w:p>
            <w:pPr>
              <w:jc w:val="right"/>
              <w:ind w:right="903"/>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30"/>
        </w:trPr>
        <w:tc>
          <w:tcPr>
            <w:tcW w:w="2360" w:type="dxa"/>
            <w:vAlign w:val="bottom"/>
          </w:tcPr>
          <w:p>
            <w:pPr>
              <w:spacing w:after="0"/>
              <w:rPr>
                <w:sz w:val="2"/>
                <w:szCs w:val="2"/>
                <w:color w:val="auto"/>
              </w:rPr>
            </w:pPr>
          </w:p>
        </w:tc>
        <w:tc>
          <w:tcPr>
            <w:tcW w:w="2240" w:type="dxa"/>
            <w:vAlign w:val="bottom"/>
            <w:tcBorders>
              <w:bottom w:val="single" w:sz="8" w:color="2393FF"/>
            </w:tcBorders>
          </w:tcPr>
          <w:p>
            <w:pPr>
              <w:spacing w:after="0"/>
              <w:rPr>
                <w:sz w:val="2"/>
                <w:szCs w:val="2"/>
                <w:color w:val="auto"/>
              </w:rPr>
            </w:pPr>
          </w:p>
        </w:tc>
        <w:tc>
          <w:tcPr>
            <w:tcW w:w="960" w:type="dxa"/>
            <w:vAlign w:val="bottom"/>
            <w:tcBorders>
              <w:bottom w:val="single" w:sz="8" w:color="2393FF"/>
            </w:tcBorders>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Borders>
              <w:bottom w:val="single" w:sz="8" w:color="2393FF"/>
            </w:tcBorders>
          </w:tcPr>
          <w:p>
            <w:pPr>
              <w:spacing w:after="0"/>
              <w:rPr>
                <w:sz w:val="2"/>
                <w:szCs w:val="2"/>
                <w:color w:val="auto"/>
              </w:rPr>
            </w:pPr>
          </w:p>
        </w:tc>
        <w:tc>
          <w:tcPr>
            <w:tcW w:w="1220" w:type="dxa"/>
            <w:vAlign w:val="bottom"/>
            <w:tcBorders>
              <w:bottom w:val="single" w:sz="8" w:color="2393FF"/>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2240" w:type="dxa"/>
            <w:vAlign w:val="bottom"/>
          </w:tcPr>
          <w:p>
            <w:pPr>
              <w:jc w:val="center"/>
              <w:ind w:right="43"/>
              <w:spacing w:after="0"/>
              <w:rPr>
                <w:sz w:val="20"/>
                <w:szCs w:val="20"/>
                <w:color w:val="auto"/>
              </w:rPr>
            </w:pPr>
            <w:r>
              <w:rPr>
                <w:rFonts w:ascii="Arial" w:cs="Arial" w:eastAsia="Arial" w:hAnsi="Arial"/>
                <w:sz w:val="11"/>
                <w:szCs w:val="11"/>
                <w:b w:val="1"/>
                <w:bCs w:val="1"/>
                <w:color w:val="auto"/>
                <w:w w:val="95"/>
              </w:rPr>
              <w:t>NUMBER OF SHARES</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w w:val="94"/>
              </w:rPr>
              <w:t>VALUE REALIZED</w:t>
            </w:r>
          </w:p>
        </w:tc>
        <w:tc>
          <w:tcPr>
            <w:tcW w:w="560" w:type="dxa"/>
            <w:vAlign w:val="bottom"/>
          </w:tcPr>
          <w:p>
            <w:pPr>
              <w:spacing w:after="0"/>
              <w:rPr>
                <w:sz w:val="10"/>
                <w:szCs w:val="10"/>
                <w:color w:val="auto"/>
              </w:rPr>
            </w:pPr>
          </w:p>
        </w:tc>
        <w:tc>
          <w:tcPr>
            <w:tcW w:w="1860" w:type="dxa"/>
            <w:vAlign w:val="bottom"/>
          </w:tcPr>
          <w:p>
            <w:pPr>
              <w:jc w:val="center"/>
              <w:ind w:left="143"/>
              <w:spacing w:after="0"/>
              <w:rPr>
                <w:sz w:val="20"/>
                <w:szCs w:val="20"/>
                <w:color w:val="auto"/>
              </w:rPr>
            </w:pPr>
            <w:r>
              <w:rPr>
                <w:rFonts w:ascii="Arial" w:cs="Arial" w:eastAsia="Arial" w:hAnsi="Arial"/>
                <w:sz w:val="11"/>
                <w:szCs w:val="11"/>
                <w:b w:val="1"/>
                <w:bCs w:val="1"/>
                <w:color w:val="auto"/>
                <w:w w:val="95"/>
              </w:rPr>
              <w:t>NUMBER OF SHARES</w:t>
            </w:r>
          </w:p>
        </w:tc>
        <w:tc>
          <w:tcPr>
            <w:tcW w:w="1220" w:type="dxa"/>
            <w:vAlign w:val="bottom"/>
          </w:tcPr>
          <w:p>
            <w:pPr>
              <w:jc w:val="right"/>
              <w:ind w:right="63"/>
              <w:spacing w:after="0"/>
              <w:rPr>
                <w:sz w:val="20"/>
                <w:szCs w:val="20"/>
                <w:color w:val="auto"/>
              </w:rPr>
            </w:pPr>
            <w:r>
              <w:rPr>
                <w:rFonts w:ascii="Arial" w:cs="Arial" w:eastAsia="Arial" w:hAnsi="Arial"/>
                <w:sz w:val="11"/>
                <w:szCs w:val="11"/>
                <w:b w:val="1"/>
                <w:bCs w:val="1"/>
                <w:color w:val="auto"/>
              </w:rPr>
              <w:t>VALUE REALIZED</w:t>
            </w:r>
          </w:p>
        </w:tc>
        <w:tc>
          <w:tcPr>
            <w:tcW w:w="0" w:type="dxa"/>
            <w:vAlign w:val="bottom"/>
          </w:tcPr>
          <w:p>
            <w:pPr>
              <w:spacing w:after="0"/>
              <w:rPr>
                <w:sz w:val="1"/>
                <w:szCs w:val="1"/>
                <w:color w:val="auto"/>
              </w:rPr>
            </w:pPr>
          </w:p>
        </w:tc>
      </w:tr>
      <w:tr>
        <w:trPr>
          <w:trHeight w:val="113"/>
        </w:trPr>
        <w:tc>
          <w:tcPr>
            <w:tcW w:w="2360" w:type="dxa"/>
            <w:vAlign w:val="bottom"/>
            <w:vMerge w:val="restart"/>
          </w:tcPr>
          <w:p>
            <w:pPr>
              <w:spacing w:after="0"/>
              <w:rPr>
                <w:sz w:val="20"/>
                <w:szCs w:val="20"/>
                <w:color w:val="auto"/>
              </w:rPr>
            </w:pPr>
            <w:r>
              <w:rPr>
                <w:rFonts w:ascii="Arial" w:cs="Arial" w:eastAsia="Arial" w:hAnsi="Arial"/>
                <w:sz w:val="11"/>
                <w:szCs w:val="11"/>
                <w:b w:val="1"/>
                <w:bCs w:val="1"/>
                <w:color w:val="auto"/>
              </w:rPr>
              <w:t>  NAME</w:t>
            </w:r>
          </w:p>
        </w:tc>
        <w:tc>
          <w:tcPr>
            <w:tcW w:w="2240" w:type="dxa"/>
            <w:vAlign w:val="bottom"/>
          </w:tcPr>
          <w:p>
            <w:pPr>
              <w:jc w:val="center"/>
              <w:ind w:right="23"/>
              <w:spacing w:after="0" w:line="113" w:lineRule="exact"/>
              <w:rPr>
                <w:sz w:val="20"/>
                <w:szCs w:val="20"/>
                <w:color w:val="auto"/>
              </w:rPr>
            </w:pPr>
            <w:r>
              <w:rPr>
                <w:rFonts w:ascii="Arial" w:cs="Arial" w:eastAsia="Arial" w:hAnsi="Arial"/>
                <w:sz w:val="11"/>
                <w:szCs w:val="11"/>
                <w:b w:val="1"/>
                <w:bCs w:val="1"/>
                <w:color w:val="auto"/>
                <w:w w:val="96"/>
              </w:rPr>
              <w:t>ACQUIRED ON EXERCISE</w:t>
            </w:r>
          </w:p>
        </w:tc>
        <w:tc>
          <w:tcPr>
            <w:tcW w:w="96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ON EXERCISE</w:t>
            </w:r>
          </w:p>
        </w:tc>
        <w:tc>
          <w:tcPr>
            <w:tcW w:w="56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 </w:t>
            </w:r>
          </w:p>
        </w:tc>
        <w:tc>
          <w:tcPr>
            <w:tcW w:w="1860" w:type="dxa"/>
            <w:vAlign w:val="bottom"/>
          </w:tcPr>
          <w:p>
            <w:pPr>
              <w:jc w:val="center"/>
              <w:ind w:left="143"/>
              <w:spacing w:after="0" w:line="113" w:lineRule="exact"/>
              <w:rPr>
                <w:sz w:val="20"/>
                <w:szCs w:val="20"/>
                <w:color w:val="auto"/>
              </w:rPr>
            </w:pPr>
            <w:r>
              <w:rPr>
                <w:rFonts w:ascii="Arial" w:cs="Arial" w:eastAsia="Arial" w:hAnsi="Arial"/>
                <w:sz w:val="11"/>
                <w:szCs w:val="11"/>
                <w:b w:val="1"/>
                <w:bCs w:val="1"/>
                <w:color w:val="auto"/>
                <w:w w:val="94"/>
              </w:rPr>
              <w:t>ACQUIRED ON VESTING</w:t>
            </w:r>
          </w:p>
        </w:tc>
        <w:tc>
          <w:tcPr>
            <w:tcW w:w="1220" w:type="dxa"/>
            <w:vAlign w:val="bottom"/>
          </w:tcPr>
          <w:p>
            <w:pPr>
              <w:jc w:val="right"/>
              <w:ind w:right="63"/>
              <w:spacing w:after="0" w:line="113" w:lineRule="exact"/>
              <w:rPr>
                <w:sz w:val="20"/>
                <w:szCs w:val="20"/>
                <w:color w:val="auto"/>
              </w:rPr>
            </w:pPr>
            <w:r>
              <w:rPr>
                <w:rFonts w:ascii="Arial" w:cs="Arial" w:eastAsia="Arial" w:hAnsi="Arial"/>
                <w:sz w:val="11"/>
                <w:szCs w:val="11"/>
                <w:b w:val="1"/>
                <w:bCs w:val="1"/>
                <w:color w:val="auto"/>
              </w:rPr>
              <w:t>ON VESTING</w:t>
            </w:r>
          </w:p>
        </w:tc>
        <w:tc>
          <w:tcPr>
            <w:tcW w:w="0" w:type="dxa"/>
            <w:vAlign w:val="bottom"/>
          </w:tcPr>
          <w:p>
            <w:pPr>
              <w:spacing w:after="0"/>
              <w:rPr>
                <w:sz w:val="1"/>
                <w:szCs w:val="1"/>
                <w:color w:val="auto"/>
              </w:rPr>
            </w:pPr>
          </w:p>
        </w:tc>
      </w:tr>
      <w:tr>
        <w:trPr>
          <w:trHeight w:val="180"/>
        </w:trPr>
        <w:tc>
          <w:tcPr>
            <w:tcW w:w="2360" w:type="dxa"/>
            <w:vAlign w:val="bottom"/>
            <w:vMerge w:val="continue"/>
          </w:tcPr>
          <w:p>
            <w:pPr>
              <w:spacing w:after="0"/>
              <w:rPr>
                <w:sz w:val="15"/>
                <w:szCs w:val="15"/>
                <w:color w:val="auto"/>
              </w:rPr>
            </w:pPr>
          </w:p>
        </w:tc>
        <w:tc>
          <w:tcPr>
            <w:tcW w:w="2240" w:type="dxa"/>
            <w:vAlign w:val="bottom"/>
          </w:tcPr>
          <w:p>
            <w:pPr>
              <w:jc w:val="center"/>
              <w:ind w:right="23"/>
              <w:spacing w:after="0"/>
              <w:rPr>
                <w:sz w:val="20"/>
                <w:szCs w:val="20"/>
                <w:color w:val="auto"/>
              </w:rPr>
            </w:pPr>
            <w:r>
              <w:rPr>
                <w:rFonts w:ascii="Arial" w:cs="Arial" w:eastAsia="Arial" w:hAnsi="Arial"/>
                <w:sz w:val="11"/>
                <w:szCs w:val="11"/>
                <w:b w:val="1"/>
                <w:bCs w:val="1"/>
                <w:color w:val="auto"/>
                <w:w w:val="88"/>
              </w:rPr>
              <w: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3"/>
                <w:szCs w:val="13"/>
                <w:b w:val="1"/>
                <w:bCs w:val="1"/>
                <w:color w:val="auto"/>
                <w:vertAlign w:val="superscript"/>
              </w:rPr>
              <w:t>(1)</w:t>
            </w:r>
          </w:p>
        </w:tc>
        <w:tc>
          <w:tcPr>
            <w:tcW w:w="560" w:type="dxa"/>
            <w:vAlign w:val="bottom"/>
            <w:vMerge w:val="continue"/>
          </w:tcPr>
          <w:p>
            <w:pPr>
              <w:spacing w:after="0"/>
              <w:rPr>
                <w:sz w:val="15"/>
                <w:szCs w:val="15"/>
                <w:color w:val="auto"/>
              </w:rPr>
            </w:pPr>
          </w:p>
        </w:tc>
        <w:tc>
          <w:tcPr>
            <w:tcW w:w="1860" w:type="dxa"/>
            <w:vAlign w:val="bottom"/>
          </w:tcPr>
          <w:p>
            <w:pPr>
              <w:jc w:val="center"/>
              <w:ind w:left="143"/>
              <w:spacing w:after="0"/>
              <w:rPr>
                <w:sz w:val="20"/>
                <w:szCs w:val="20"/>
                <w:color w:val="auto"/>
              </w:rPr>
            </w:pPr>
            <w:r>
              <w:rPr>
                <w:rFonts w:ascii="Arial" w:cs="Arial" w:eastAsia="Arial" w:hAnsi="Arial"/>
                <w:sz w:val="11"/>
                <w:szCs w:val="11"/>
                <w:b w:val="1"/>
                <w:bCs w:val="1"/>
                <w:color w:val="auto"/>
              </w:rPr>
              <w:t>(#)</w:t>
            </w:r>
          </w:p>
        </w:tc>
        <w:tc>
          <w:tcPr>
            <w:tcW w:w="1220" w:type="dxa"/>
            <w:vAlign w:val="bottom"/>
          </w:tcPr>
          <w:p>
            <w:pPr>
              <w:jc w:val="right"/>
              <w:ind w:right="63"/>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3"/>
                <w:szCs w:val="13"/>
                <w:b w:val="1"/>
                <w:bCs w:val="1"/>
                <w:color w:val="auto"/>
                <w:vertAlign w:val="superscript"/>
              </w:rPr>
              <w:t>(1)</w:t>
            </w:r>
          </w:p>
        </w:tc>
        <w:tc>
          <w:tcPr>
            <w:tcW w:w="0" w:type="dxa"/>
            <w:vAlign w:val="bottom"/>
          </w:tcPr>
          <w:p>
            <w:pPr>
              <w:spacing w:after="0"/>
              <w:rPr>
                <w:sz w:val="1"/>
                <w:szCs w:val="1"/>
                <w:color w:val="auto"/>
              </w:rPr>
            </w:pPr>
          </w:p>
        </w:tc>
      </w:tr>
      <w:tr>
        <w:trPr>
          <w:trHeight w:val="202"/>
        </w:trPr>
        <w:tc>
          <w:tcPr>
            <w:tcW w:w="236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2240" w:type="dxa"/>
            <w:vAlign w:val="bottom"/>
            <w:shd w:val="clear" w:color="auto" w:fill="E8F4FF"/>
          </w:tcPr>
          <w:p>
            <w:pPr>
              <w:jc w:val="right"/>
              <w:ind w:right="443"/>
              <w:spacing w:after="0"/>
              <w:rPr>
                <w:sz w:val="20"/>
                <w:szCs w:val="20"/>
                <w:color w:val="auto"/>
              </w:rPr>
            </w:pPr>
            <w:r>
              <w:rPr>
                <w:rFonts w:ascii="Arial" w:cs="Arial" w:eastAsia="Arial" w:hAnsi="Arial"/>
                <w:sz w:val="12"/>
                <w:szCs w:val="12"/>
                <w:color w:val="auto"/>
              </w:rPr>
              <w:t>148,753</w:t>
            </w:r>
          </w:p>
        </w:tc>
        <w:tc>
          <w:tcPr>
            <w:tcW w:w="960" w:type="dxa"/>
            <w:vAlign w:val="bottom"/>
            <w:shd w:val="clear" w:color="auto" w:fill="E8F4FF"/>
          </w:tcPr>
          <w:p>
            <w:pPr>
              <w:jc w:val="right"/>
              <w:spacing w:after="0"/>
              <w:rPr>
                <w:sz w:val="20"/>
                <w:szCs w:val="20"/>
                <w:color w:val="auto"/>
              </w:rPr>
            </w:pPr>
            <w:r>
              <w:rPr>
                <w:rFonts w:ascii="Arial" w:cs="Arial" w:eastAsia="Arial" w:hAnsi="Arial"/>
                <w:sz w:val="12"/>
                <w:szCs w:val="12"/>
                <w:color w:val="auto"/>
              </w:rPr>
              <w:t>1,418,760</w:t>
            </w:r>
          </w:p>
        </w:tc>
        <w:tc>
          <w:tcPr>
            <w:tcW w:w="560" w:type="dxa"/>
            <w:vAlign w:val="bottom"/>
            <w:shd w:val="clear" w:color="auto" w:fill="E8F4FF"/>
          </w:tcPr>
          <w:p>
            <w:pPr>
              <w:spacing w:after="0"/>
              <w:rPr>
                <w:sz w:val="17"/>
                <w:szCs w:val="17"/>
                <w:color w:val="auto"/>
              </w:rPr>
            </w:pPr>
          </w:p>
        </w:tc>
        <w:tc>
          <w:tcPr>
            <w:tcW w:w="1860" w:type="dxa"/>
            <w:vAlign w:val="bottom"/>
            <w:shd w:val="clear" w:color="auto" w:fill="E8F4FF"/>
          </w:tcPr>
          <w:p>
            <w:pPr>
              <w:jc w:val="right"/>
              <w:ind w:right="143"/>
              <w:spacing w:after="0"/>
              <w:rPr>
                <w:sz w:val="20"/>
                <w:szCs w:val="20"/>
                <w:color w:val="auto"/>
              </w:rPr>
            </w:pPr>
            <w:r>
              <w:rPr>
                <w:rFonts w:ascii="Arial" w:cs="Arial" w:eastAsia="Arial" w:hAnsi="Arial"/>
                <w:sz w:val="12"/>
                <w:szCs w:val="12"/>
                <w:color w:val="auto"/>
              </w:rPr>
              <w:t>283,246</w:t>
            </w:r>
          </w:p>
        </w:tc>
        <w:tc>
          <w:tcPr>
            <w:tcW w:w="1220" w:type="dxa"/>
            <w:vAlign w:val="bottom"/>
            <w:shd w:val="clear" w:color="auto" w:fill="E8F4FF"/>
          </w:tcPr>
          <w:p>
            <w:pPr>
              <w:jc w:val="right"/>
              <w:ind w:right="63"/>
              <w:spacing w:after="0"/>
              <w:rPr>
                <w:sz w:val="20"/>
                <w:szCs w:val="20"/>
                <w:color w:val="auto"/>
              </w:rPr>
            </w:pPr>
            <w:r>
              <w:rPr>
                <w:rFonts w:ascii="Arial" w:cs="Arial" w:eastAsia="Arial" w:hAnsi="Arial"/>
                <w:sz w:val="12"/>
                <w:szCs w:val="12"/>
                <w:color w:val="auto"/>
              </w:rPr>
              <w:t>3,344,924</w:t>
            </w:r>
          </w:p>
        </w:tc>
        <w:tc>
          <w:tcPr>
            <w:tcW w:w="0" w:type="dxa"/>
            <w:vAlign w:val="bottom"/>
          </w:tcPr>
          <w:p>
            <w:pPr>
              <w:spacing w:after="0"/>
              <w:rPr>
                <w:sz w:val="1"/>
                <w:szCs w:val="1"/>
                <w:color w:val="auto"/>
              </w:rPr>
            </w:pPr>
          </w:p>
        </w:tc>
      </w:tr>
      <w:tr>
        <w:trPr>
          <w:trHeight w:val="69"/>
        </w:trPr>
        <w:tc>
          <w:tcPr>
            <w:tcW w:w="2360" w:type="dxa"/>
            <w:vAlign w:val="bottom"/>
            <w:shd w:val="clear" w:color="auto" w:fill="E8F4FF"/>
          </w:tcPr>
          <w:p>
            <w:pPr>
              <w:spacing w:after="0"/>
              <w:rPr>
                <w:sz w:val="5"/>
                <w:szCs w:val="5"/>
                <w:color w:val="auto"/>
              </w:rPr>
            </w:pPr>
          </w:p>
        </w:tc>
        <w:tc>
          <w:tcPr>
            <w:tcW w:w="2240" w:type="dxa"/>
            <w:vAlign w:val="bottom"/>
            <w:shd w:val="clear" w:color="auto" w:fill="E8F4FF"/>
          </w:tcPr>
          <w:p>
            <w:pPr>
              <w:spacing w:after="0"/>
              <w:rPr>
                <w:sz w:val="5"/>
                <w:szCs w:val="5"/>
                <w:color w:val="auto"/>
              </w:rPr>
            </w:pPr>
          </w:p>
        </w:tc>
        <w:tc>
          <w:tcPr>
            <w:tcW w:w="960" w:type="dxa"/>
            <w:vAlign w:val="bottom"/>
            <w:shd w:val="clear" w:color="auto" w:fill="E8F4FF"/>
          </w:tcPr>
          <w:p>
            <w:pPr>
              <w:spacing w:after="0"/>
              <w:rPr>
                <w:sz w:val="5"/>
                <w:szCs w:val="5"/>
                <w:color w:val="auto"/>
              </w:rPr>
            </w:pPr>
          </w:p>
        </w:tc>
        <w:tc>
          <w:tcPr>
            <w:tcW w:w="560" w:type="dxa"/>
            <w:vAlign w:val="bottom"/>
            <w:shd w:val="clear" w:color="auto" w:fill="E8F4FF"/>
          </w:tcPr>
          <w:p>
            <w:pPr>
              <w:spacing w:after="0"/>
              <w:rPr>
                <w:sz w:val="5"/>
                <w:szCs w:val="5"/>
                <w:color w:val="auto"/>
              </w:rPr>
            </w:pPr>
          </w:p>
        </w:tc>
        <w:tc>
          <w:tcPr>
            <w:tcW w:w="1860" w:type="dxa"/>
            <w:vAlign w:val="bottom"/>
            <w:shd w:val="clear" w:color="auto" w:fill="E8F4FF"/>
          </w:tcPr>
          <w:p>
            <w:pPr>
              <w:spacing w:after="0"/>
              <w:rPr>
                <w:sz w:val="5"/>
                <w:szCs w:val="5"/>
                <w:color w:val="auto"/>
              </w:rPr>
            </w:pPr>
          </w:p>
        </w:tc>
        <w:tc>
          <w:tcPr>
            <w:tcW w:w="122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36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2240" w:type="dxa"/>
            <w:vAlign w:val="bottom"/>
          </w:tcPr>
          <w:p>
            <w:pPr>
              <w:jc w:val="right"/>
              <w:ind w:right="443"/>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7"/>
                <w:szCs w:val="17"/>
                <w:color w:val="auto"/>
              </w:rPr>
            </w:pPr>
          </w:p>
        </w:tc>
        <w:tc>
          <w:tcPr>
            <w:tcW w:w="1860" w:type="dxa"/>
            <w:vAlign w:val="bottom"/>
          </w:tcPr>
          <w:p>
            <w:pPr>
              <w:jc w:val="right"/>
              <w:ind w:right="143"/>
              <w:spacing w:after="0"/>
              <w:rPr>
                <w:sz w:val="20"/>
                <w:szCs w:val="20"/>
                <w:color w:val="auto"/>
              </w:rPr>
            </w:pPr>
            <w:r>
              <w:rPr>
                <w:rFonts w:ascii="Arial" w:cs="Arial" w:eastAsia="Arial" w:hAnsi="Arial"/>
                <w:sz w:val="12"/>
                <w:szCs w:val="12"/>
                <w:color w:val="auto"/>
              </w:rPr>
              <w:t>155,701</w:t>
            </w:r>
          </w:p>
        </w:tc>
        <w:tc>
          <w:tcPr>
            <w:tcW w:w="1220" w:type="dxa"/>
            <w:vAlign w:val="bottom"/>
          </w:tcPr>
          <w:p>
            <w:pPr>
              <w:jc w:val="right"/>
              <w:ind w:right="63"/>
              <w:spacing w:after="0"/>
              <w:rPr>
                <w:sz w:val="20"/>
                <w:szCs w:val="20"/>
                <w:color w:val="auto"/>
              </w:rPr>
            </w:pPr>
            <w:r>
              <w:rPr>
                <w:rFonts w:ascii="Arial" w:cs="Arial" w:eastAsia="Arial" w:hAnsi="Arial"/>
                <w:sz w:val="12"/>
                <w:szCs w:val="12"/>
                <w:color w:val="auto"/>
              </w:rPr>
              <w:t>1,835,981</w:t>
            </w:r>
          </w:p>
        </w:tc>
        <w:tc>
          <w:tcPr>
            <w:tcW w:w="0" w:type="dxa"/>
            <w:vAlign w:val="bottom"/>
          </w:tcPr>
          <w:p>
            <w:pPr>
              <w:spacing w:after="0"/>
              <w:rPr>
                <w:sz w:val="1"/>
                <w:szCs w:val="1"/>
                <w:color w:val="auto"/>
              </w:rPr>
            </w:pPr>
          </w:p>
        </w:tc>
      </w:tr>
      <w:tr>
        <w:trPr>
          <w:trHeight w:val="69"/>
        </w:trPr>
        <w:tc>
          <w:tcPr>
            <w:tcW w:w="23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2240" w:type="dxa"/>
            <w:vAlign w:val="bottom"/>
            <w:shd w:val="clear" w:color="auto" w:fill="E8F4FF"/>
          </w:tcPr>
          <w:p>
            <w:pPr>
              <w:jc w:val="right"/>
              <w:ind w:right="443"/>
              <w:spacing w:after="0"/>
              <w:rPr>
                <w:sz w:val="20"/>
                <w:szCs w:val="20"/>
                <w:color w:val="auto"/>
              </w:rPr>
            </w:pPr>
            <w:r>
              <w:rPr>
                <w:rFonts w:ascii="Arial" w:cs="Arial" w:eastAsia="Arial" w:hAnsi="Arial"/>
                <w:sz w:val="12"/>
                <w:szCs w:val="12"/>
                <w:color w:val="auto"/>
              </w:rPr>
              <w:t>—</w:t>
            </w:r>
          </w:p>
        </w:tc>
        <w:tc>
          <w:tcPr>
            <w:tcW w:w="96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E8F4FF"/>
          </w:tcPr>
          <w:p>
            <w:pPr>
              <w:spacing w:after="0"/>
              <w:rPr>
                <w:sz w:val="17"/>
                <w:szCs w:val="17"/>
                <w:color w:val="auto"/>
              </w:rPr>
            </w:pPr>
          </w:p>
        </w:tc>
        <w:tc>
          <w:tcPr>
            <w:tcW w:w="1860" w:type="dxa"/>
            <w:vAlign w:val="bottom"/>
            <w:shd w:val="clear" w:color="auto" w:fill="E8F4FF"/>
          </w:tcPr>
          <w:p>
            <w:pPr>
              <w:jc w:val="right"/>
              <w:ind w:right="143"/>
              <w:spacing w:after="0"/>
              <w:rPr>
                <w:sz w:val="20"/>
                <w:szCs w:val="20"/>
                <w:color w:val="auto"/>
              </w:rPr>
            </w:pPr>
            <w:r>
              <w:rPr>
                <w:rFonts w:ascii="Arial" w:cs="Arial" w:eastAsia="Arial" w:hAnsi="Arial"/>
                <w:sz w:val="12"/>
                <w:szCs w:val="12"/>
                <w:color w:val="auto"/>
              </w:rPr>
              <w:t>220,710</w:t>
            </w:r>
          </w:p>
        </w:tc>
        <w:tc>
          <w:tcPr>
            <w:tcW w:w="1220" w:type="dxa"/>
            <w:vAlign w:val="bottom"/>
            <w:shd w:val="clear" w:color="auto" w:fill="E8F4FF"/>
          </w:tcPr>
          <w:p>
            <w:pPr>
              <w:jc w:val="right"/>
              <w:ind w:right="63"/>
              <w:spacing w:after="0"/>
              <w:rPr>
                <w:sz w:val="20"/>
                <w:szCs w:val="20"/>
                <w:color w:val="auto"/>
              </w:rPr>
            </w:pPr>
            <w:r>
              <w:rPr>
                <w:rFonts w:ascii="Arial" w:cs="Arial" w:eastAsia="Arial" w:hAnsi="Arial"/>
                <w:sz w:val="12"/>
                <w:szCs w:val="12"/>
                <w:color w:val="auto"/>
              </w:rPr>
              <w:t>2,524,372</w:t>
            </w:r>
          </w:p>
        </w:tc>
        <w:tc>
          <w:tcPr>
            <w:tcW w:w="0" w:type="dxa"/>
            <w:vAlign w:val="bottom"/>
          </w:tcPr>
          <w:p>
            <w:pPr>
              <w:spacing w:after="0"/>
              <w:rPr>
                <w:sz w:val="1"/>
                <w:szCs w:val="1"/>
                <w:color w:val="auto"/>
              </w:rPr>
            </w:pPr>
          </w:p>
        </w:tc>
      </w:tr>
      <w:tr>
        <w:trPr>
          <w:trHeight w:val="69"/>
        </w:trPr>
        <w:tc>
          <w:tcPr>
            <w:tcW w:w="2360" w:type="dxa"/>
            <w:vAlign w:val="bottom"/>
            <w:shd w:val="clear" w:color="auto" w:fill="E8F4FF"/>
          </w:tcPr>
          <w:p>
            <w:pPr>
              <w:spacing w:after="0"/>
              <w:rPr>
                <w:sz w:val="5"/>
                <w:szCs w:val="5"/>
                <w:color w:val="auto"/>
              </w:rPr>
            </w:pPr>
          </w:p>
        </w:tc>
        <w:tc>
          <w:tcPr>
            <w:tcW w:w="2240" w:type="dxa"/>
            <w:vAlign w:val="bottom"/>
            <w:shd w:val="clear" w:color="auto" w:fill="E8F4FF"/>
          </w:tcPr>
          <w:p>
            <w:pPr>
              <w:spacing w:after="0"/>
              <w:rPr>
                <w:sz w:val="5"/>
                <w:szCs w:val="5"/>
                <w:color w:val="auto"/>
              </w:rPr>
            </w:pPr>
          </w:p>
        </w:tc>
        <w:tc>
          <w:tcPr>
            <w:tcW w:w="960" w:type="dxa"/>
            <w:vAlign w:val="bottom"/>
            <w:shd w:val="clear" w:color="auto" w:fill="E8F4FF"/>
          </w:tcPr>
          <w:p>
            <w:pPr>
              <w:spacing w:after="0"/>
              <w:rPr>
                <w:sz w:val="5"/>
                <w:szCs w:val="5"/>
                <w:color w:val="auto"/>
              </w:rPr>
            </w:pPr>
          </w:p>
        </w:tc>
        <w:tc>
          <w:tcPr>
            <w:tcW w:w="560" w:type="dxa"/>
            <w:vAlign w:val="bottom"/>
            <w:shd w:val="clear" w:color="auto" w:fill="E8F4FF"/>
          </w:tcPr>
          <w:p>
            <w:pPr>
              <w:spacing w:after="0"/>
              <w:rPr>
                <w:sz w:val="5"/>
                <w:szCs w:val="5"/>
                <w:color w:val="auto"/>
              </w:rPr>
            </w:pPr>
          </w:p>
        </w:tc>
        <w:tc>
          <w:tcPr>
            <w:tcW w:w="1860" w:type="dxa"/>
            <w:vAlign w:val="bottom"/>
            <w:shd w:val="clear" w:color="auto" w:fill="E8F4FF"/>
          </w:tcPr>
          <w:p>
            <w:pPr>
              <w:spacing w:after="0"/>
              <w:rPr>
                <w:sz w:val="5"/>
                <w:szCs w:val="5"/>
                <w:color w:val="auto"/>
              </w:rPr>
            </w:pPr>
          </w:p>
        </w:tc>
        <w:tc>
          <w:tcPr>
            <w:tcW w:w="122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36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2240" w:type="dxa"/>
            <w:vAlign w:val="bottom"/>
          </w:tcPr>
          <w:p>
            <w:pPr>
              <w:jc w:val="right"/>
              <w:ind w:right="443"/>
              <w:spacing w:after="0"/>
              <w:rPr>
                <w:sz w:val="20"/>
                <w:szCs w:val="20"/>
                <w:color w:val="auto"/>
              </w:rPr>
            </w:pPr>
            <w:r>
              <w:rPr>
                <w:rFonts w:ascii="Arial" w:cs="Arial" w:eastAsia="Arial" w:hAnsi="Arial"/>
                <w:sz w:val="12"/>
                <w:szCs w:val="12"/>
                <w:color w:val="auto"/>
              </w:rPr>
              <w:t>90</w:t>
            </w:r>
          </w:p>
        </w:tc>
        <w:tc>
          <w:tcPr>
            <w:tcW w:w="960" w:type="dxa"/>
            <w:vAlign w:val="bottom"/>
          </w:tcPr>
          <w:p>
            <w:pPr>
              <w:jc w:val="right"/>
              <w:spacing w:after="0"/>
              <w:rPr>
                <w:sz w:val="20"/>
                <w:szCs w:val="20"/>
                <w:color w:val="auto"/>
              </w:rPr>
            </w:pPr>
            <w:r>
              <w:rPr>
                <w:rFonts w:ascii="Arial" w:cs="Arial" w:eastAsia="Arial" w:hAnsi="Arial"/>
                <w:sz w:val="12"/>
                <w:szCs w:val="12"/>
                <w:color w:val="auto"/>
              </w:rPr>
              <w:t>937</w:t>
            </w:r>
          </w:p>
        </w:tc>
        <w:tc>
          <w:tcPr>
            <w:tcW w:w="560" w:type="dxa"/>
            <w:vAlign w:val="bottom"/>
          </w:tcPr>
          <w:p>
            <w:pPr>
              <w:spacing w:after="0"/>
              <w:rPr>
                <w:sz w:val="17"/>
                <w:szCs w:val="17"/>
                <w:color w:val="auto"/>
              </w:rPr>
            </w:pPr>
          </w:p>
        </w:tc>
        <w:tc>
          <w:tcPr>
            <w:tcW w:w="1860" w:type="dxa"/>
            <w:vAlign w:val="bottom"/>
          </w:tcPr>
          <w:p>
            <w:pPr>
              <w:jc w:val="right"/>
              <w:ind w:right="143"/>
              <w:spacing w:after="0"/>
              <w:rPr>
                <w:sz w:val="20"/>
                <w:szCs w:val="20"/>
                <w:color w:val="auto"/>
              </w:rPr>
            </w:pPr>
            <w:r>
              <w:rPr>
                <w:rFonts w:ascii="Arial" w:cs="Arial" w:eastAsia="Arial" w:hAnsi="Arial"/>
                <w:sz w:val="12"/>
                <w:szCs w:val="12"/>
                <w:color w:val="auto"/>
              </w:rPr>
              <w:t>64,955</w:t>
            </w:r>
          </w:p>
        </w:tc>
        <w:tc>
          <w:tcPr>
            <w:tcW w:w="1220" w:type="dxa"/>
            <w:vAlign w:val="bottom"/>
          </w:tcPr>
          <w:p>
            <w:pPr>
              <w:jc w:val="right"/>
              <w:ind w:right="63"/>
              <w:spacing w:after="0"/>
              <w:rPr>
                <w:sz w:val="20"/>
                <w:szCs w:val="20"/>
                <w:color w:val="auto"/>
              </w:rPr>
            </w:pPr>
            <w:r>
              <w:rPr>
                <w:rFonts w:ascii="Arial" w:cs="Arial" w:eastAsia="Arial" w:hAnsi="Arial"/>
                <w:sz w:val="12"/>
                <w:szCs w:val="12"/>
                <w:color w:val="auto"/>
              </w:rPr>
              <w:t>767,446</w:t>
            </w:r>
          </w:p>
        </w:tc>
        <w:tc>
          <w:tcPr>
            <w:tcW w:w="0" w:type="dxa"/>
            <w:vAlign w:val="bottom"/>
          </w:tcPr>
          <w:p>
            <w:pPr>
              <w:spacing w:after="0"/>
              <w:rPr>
                <w:sz w:val="1"/>
                <w:szCs w:val="1"/>
                <w:color w:val="auto"/>
              </w:rPr>
            </w:pPr>
          </w:p>
        </w:tc>
      </w:tr>
      <w:tr>
        <w:trPr>
          <w:trHeight w:val="69"/>
        </w:trPr>
        <w:tc>
          <w:tcPr>
            <w:tcW w:w="23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2240" w:type="dxa"/>
            <w:vAlign w:val="bottom"/>
            <w:shd w:val="clear" w:color="auto" w:fill="E8F4FF"/>
          </w:tcPr>
          <w:p>
            <w:pPr>
              <w:jc w:val="right"/>
              <w:ind w:right="443"/>
              <w:spacing w:after="0"/>
              <w:rPr>
                <w:sz w:val="20"/>
                <w:szCs w:val="20"/>
                <w:color w:val="auto"/>
              </w:rPr>
            </w:pPr>
            <w:r>
              <w:rPr>
                <w:rFonts w:ascii="Arial" w:cs="Arial" w:eastAsia="Arial" w:hAnsi="Arial"/>
                <w:sz w:val="12"/>
                <w:szCs w:val="12"/>
                <w:color w:val="auto"/>
              </w:rPr>
              <w:t>—</w:t>
            </w:r>
          </w:p>
        </w:tc>
        <w:tc>
          <w:tcPr>
            <w:tcW w:w="96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E8F4FF"/>
          </w:tcPr>
          <w:p>
            <w:pPr>
              <w:spacing w:after="0"/>
              <w:rPr>
                <w:sz w:val="17"/>
                <w:szCs w:val="17"/>
                <w:color w:val="auto"/>
              </w:rPr>
            </w:pPr>
          </w:p>
        </w:tc>
        <w:tc>
          <w:tcPr>
            <w:tcW w:w="1860" w:type="dxa"/>
            <w:vAlign w:val="bottom"/>
            <w:shd w:val="clear" w:color="auto" w:fill="E8F4FF"/>
          </w:tcPr>
          <w:p>
            <w:pPr>
              <w:jc w:val="right"/>
              <w:ind w:right="143"/>
              <w:spacing w:after="0"/>
              <w:rPr>
                <w:sz w:val="20"/>
                <w:szCs w:val="20"/>
                <w:color w:val="auto"/>
              </w:rPr>
            </w:pPr>
            <w:r>
              <w:rPr>
                <w:rFonts w:ascii="Arial" w:cs="Arial" w:eastAsia="Arial" w:hAnsi="Arial"/>
                <w:sz w:val="12"/>
                <w:szCs w:val="12"/>
                <w:color w:val="auto"/>
              </w:rPr>
              <w:t>123,181</w:t>
            </w:r>
          </w:p>
        </w:tc>
        <w:tc>
          <w:tcPr>
            <w:tcW w:w="1220" w:type="dxa"/>
            <w:vAlign w:val="bottom"/>
            <w:shd w:val="clear" w:color="auto" w:fill="E8F4FF"/>
          </w:tcPr>
          <w:p>
            <w:pPr>
              <w:jc w:val="right"/>
              <w:ind w:right="63"/>
              <w:spacing w:after="0"/>
              <w:rPr>
                <w:sz w:val="20"/>
                <w:szCs w:val="20"/>
                <w:color w:val="auto"/>
              </w:rPr>
            </w:pPr>
            <w:r>
              <w:rPr>
                <w:rFonts w:ascii="Arial" w:cs="Arial" w:eastAsia="Arial" w:hAnsi="Arial"/>
                <w:sz w:val="12"/>
                <w:szCs w:val="12"/>
                <w:color w:val="auto"/>
              </w:rPr>
              <w:t>1,456,613</w:t>
            </w:r>
          </w:p>
        </w:tc>
        <w:tc>
          <w:tcPr>
            <w:tcW w:w="0" w:type="dxa"/>
            <w:vAlign w:val="bottom"/>
          </w:tcPr>
          <w:p>
            <w:pPr>
              <w:spacing w:after="0"/>
              <w:rPr>
                <w:sz w:val="1"/>
                <w:szCs w:val="1"/>
                <w:color w:val="auto"/>
              </w:rPr>
            </w:pPr>
          </w:p>
        </w:tc>
      </w:tr>
      <w:tr>
        <w:trPr>
          <w:trHeight w:val="69"/>
        </w:trPr>
        <w:tc>
          <w:tcPr>
            <w:tcW w:w="2360" w:type="dxa"/>
            <w:vAlign w:val="bottom"/>
            <w:tcBorders>
              <w:bottom w:val="single" w:sz="8" w:color="2393FF"/>
            </w:tcBorders>
            <w:shd w:val="clear" w:color="auto" w:fill="E8F4FF"/>
          </w:tcPr>
          <w:p>
            <w:pPr>
              <w:spacing w:after="0"/>
              <w:rPr>
                <w:sz w:val="5"/>
                <w:szCs w:val="5"/>
                <w:color w:val="auto"/>
              </w:rPr>
            </w:pPr>
          </w:p>
        </w:tc>
        <w:tc>
          <w:tcPr>
            <w:tcW w:w="2240" w:type="dxa"/>
            <w:vAlign w:val="bottom"/>
            <w:tcBorders>
              <w:bottom w:val="single" w:sz="8" w:color="2393FF"/>
            </w:tcBorders>
            <w:shd w:val="clear" w:color="auto" w:fill="E8F4FF"/>
          </w:tcPr>
          <w:p>
            <w:pPr>
              <w:spacing w:after="0"/>
              <w:rPr>
                <w:sz w:val="5"/>
                <w:szCs w:val="5"/>
                <w:color w:val="auto"/>
              </w:rPr>
            </w:pPr>
          </w:p>
        </w:tc>
        <w:tc>
          <w:tcPr>
            <w:tcW w:w="960" w:type="dxa"/>
            <w:vAlign w:val="bottom"/>
            <w:tcBorders>
              <w:bottom w:val="single" w:sz="8" w:color="2393FF"/>
            </w:tcBorders>
            <w:shd w:val="clear" w:color="auto" w:fill="E8F4FF"/>
          </w:tcPr>
          <w:p>
            <w:pPr>
              <w:spacing w:after="0"/>
              <w:rPr>
                <w:sz w:val="5"/>
                <w:szCs w:val="5"/>
                <w:color w:val="auto"/>
              </w:rPr>
            </w:pPr>
          </w:p>
        </w:tc>
        <w:tc>
          <w:tcPr>
            <w:tcW w:w="560" w:type="dxa"/>
            <w:vAlign w:val="bottom"/>
            <w:tcBorders>
              <w:bottom w:val="single" w:sz="8" w:color="2393FF"/>
            </w:tcBorders>
            <w:shd w:val="clear" w:color="auto" w:fill="E8F4FF"/>
          </w:tcPr>
          <w:p>
            <w:pPr>
              <w:spacing w:after="0"/>
              <w:rPr>
                <w:sz w:val="5"/>
                <w:szCs w:val="5"/>
                <w:color w:val="auto"/>
              </w:rPr>
            </w:pPr>
          </w:p>
        </w:tc>
        <w:tc>
          <w:tcPr>
            <w:tcW w:w="1860" w:type="dxa"/>
            <w:vAlign w:val="bottom"/>
            <w:tcBorders>
              <w:bottom w:val="single" w:sz="8" w:color="2393FF"/>
            </w:tcBorders>
            <w:shd w:val="clear" w:color="auto" w:fill="E8F4FF"/>
          </w:tcPr>
          <w:p>
            <w:pPr>
              <w:spacing w:after="0"/>
              <w:rPr>
                <w:sz w:val="5"/>
                <w:szCs w:val="5"/>
                <w:color w:val="auto"/>
              </w:rPr>
            </w:pPr>
          </w:p>
        </w:tc>
        <w:tc>
          <w:tcPr>
            <w:tcW w:w="1220" w:type="dxa"/>
            <w:vAlign w:val="bottom"/>
            <w:tcBorders>
              <w:bottom w:val="single" w:sz="8" w:color="2393FF"/>
            </w:tcBorders>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80" w:right="20" w:hanging="353"/>
        <w:spacing w:after="0" w:line="226" w:lineRule="auto"/>
        <w:tabs>
          <w:tab w:leader="none" w:pos="1380" w:val="left"/>
        </w:tabs>
        <w:numPr>
          <w:ilvl w:val="0"/>
          <w:numId w:val="81"/>
        </w:numPr>
        <w:rPr>
          <w:rFonts w:ascii="Arial" w:cs="Arial" w:eastAsia="Arial" w:hAnsi="Arial"/>
          <w:sz w:val="11"/>
          <w:szCs w:val="11"/>
          <w:color w:val="333333"/>
        </w:rPr>
      </w:pPr>
      <w:r>
        <w:rPr>
          <w:rFonts w:ascii="Arial" w:cs="Arial" w:eastAsia="Arial" w:hAnsi="Arial"/>
          <w:sz w:val="11"/>
          <w:szCs w:val="11"/>
          <w:color w:val="333333"/>
        </w:rPr>
        <w:t>For option awards, value realized on exercise is based on the closing price of our common stock on the exercise date less the exercise price. For stock awards, value realized on vesting is based on the closing price of our common stock on the vesting date. In neither case do the amounts set forth above necessarily reflect proceeds actually received by the NEO. Our NEOs will only realize value on these awards when the underlying shares are sold, which value may differ from the value shown in the table above as it is dependent on the price at which such shares of common stock are actually sold.</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PENSION BENEFITS</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do not maintain any defined benefit pension plans.</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NONQUALIFIED DEFERRED COMPENSATION</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We do not maintain any nonqualified deferred compensation plans.</w:t>
      </w:r>
    </w:p>
    <w:p>
      <w:pPr>
        <w:spacing w:after="0" w:line="116"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41 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FISCAL 2025 POTENTIAL PAYMENTS UPON TERMINATION OR CHANGE IN CONTROL</w:t>
      </w:r>
    </w:p>
    <w:p>
      <w:pPr>
        <w:spacing w:after="0" w:line="143" w:lineRule="exact"/>
        <w:rPr>
          <w:sz w:val="20"/>
          <w:szCs w:val="20"/>
          <w:color w:val="auto"/>
        </w:rPr>
      </w:pPr>
    </w:p>
    <w:p>
      <w:pPr>
        <w:ind w:left="1020" w:right="40"/>
        <w:spacing w:after="0" w:line="238" w:lineRule="auto"/>
        <w:rPr>
          <w:sz w:val="20"/>
          <w:szCs w:val="20"/>
          <w:color w:val="auto"/>
        </w:rPr>
      </w:pPr>
      <w:r>
        <w:rPr>
          <w:rFonts w:ascii="Arial" w:cs="Arial" w:eastAsia="Arial" w:hAnsi="Arial"/>
          <w:sz w:val="14"/>
          <w:szCs w:val="14"/>
          <w:color w:val="auto"/>
        </w:rPr>
        <w:t>The following table, footnotes and narrative set forth our payment and benefit obligations pursuant to the amended and restated employment agreements with each of our NEOs if the NEO’s employment is terminated by us or our acquirer or successor without Cause (as defined below) or if such executive Resigns for Good Reason (as defined below) within or outside the three months prior to a change in control, upon a change in control, or within 12 months following a change in control (such period being the Change in Control Window), in each case assuming termination on December 31, 2025. Because our executive compensation program is heavily weighted towards equity-based compensation, a significant percentage of the compensation to be received by our NEOs upon a termination of employment or Resignation for Good Reason (as defined below) under the circumstances described below relates to the settlement of outstanding equity awards. Please see the Outstanding Equity Awards at Fiscal 2025 Year-End above for further information regarding outstanding equity awards granted to the NEOs in Fiscal 2025 and in prior years.</w:t>
      </w:r>
    </w:p>
    <w:p>
      <w:pPr>
        <w:spacing w:after="0" w:line="16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260" w:type="dxa"/>
            <w:vAlign w:val="bottom"/>
          </w:tcPr>
          <w:p>
            <w:pPr>
              <w:spacing w:after="0"/>
              <w:rPr>
                <w:sz w:val="10"/>
                <w:szCs w:val="10"/>
                <w:color w:val="auto"/>
              </w:rPr>
            </w:pPr>
          </w:p>
        </w:tc>
        <w:tc>
          <w:tcPr>
            <w:tcW w:w="3360" w:type="dxa"/>
            <w:vAlign w:val="bottom"/>
          </w:tcPr>
          <w:p>
            <w:pPr>
              <w:jc w:val="right"/>
              <w:ind w:right="601"/>
              <w:spacing w:after="0"/>
              <w:rPr>
                <w:sz w:val="20"/>
                <w:szCs w:val="20"/>
                <w:color w:val="auto"/>
              </w:rPr>
            </w:pPr>
            <w:r>
              <w:rPr>
                <w:rFonts w:ascii="Arial" w:cs="Arial" w:eastAsia="Arial" w:hAnsi="Arial"/>
                <w:sz w:val="11"/>
                <w:szCs w:val="11"/>
                <w:b w:val="1"/>
                <w:bCs w:val="1"/>
                <w:color w:val="auto"/>
              </w:rPr>
              <w:t>TERMINATION WITHOUT</w:t>
            </w:r>
          </w:p>
        </w:tc>
        <w:tc>
          <w:tcPr>
            <w:tcW w:w="2580" w:type="dxa"/>
            <w:vAlign w:val="bottom"/>
          </w:tcPr>
          <w:p>
            <w:pPr>
              <w:jc w:val="right"/>
              <w:ind w:right="81"/>
              <w:spacing w:after="0"/>
              <w:rPr>
                <w:sz w:val="20"/>
                <w:szCs w:val="20"/>
                <w:color w:val="auto"/>
              </w:rPr>
            </w:pPr>
            <w:r>
              <w:rPr>
                <w:rFonts w:ascii="Arial" w:cs="Arial" w:eastAsia="Arial" w:hAnsi="Arial"/>
                <w:sz w:val="11"/>
                <w:szCs w:val="11"/>
                <w:b w:val="1"/>
                <w:bCs w:val="1"/>
                <w:color w:val="auto"/>
              </w:rPr>
              <w:t>TERMINATION WITHOUT</w:t>
            </w:r>
          </w:p>
        </w:tc>
      </w:tr>
      <w:tr>
        <w:trPr>
          <w:trHeight w:val="113"/>
        </w:trPr>
        <w:tc>
          <w:tcPr>
            <w:tcW w:w="3260" w:type="dxa"/>
            <w:vAlign w:val="bottom"/>
          </w:tcPr>
          <w:p>
            <w:pPr>
              <w:spacing w:after="0"/>
              <w:rPr>
                <w:sz w:val="9"/>
                <w:szCs w:val="9"/>
                <w:color w:val="auto"/>
              </w:rPr>
            </w:pPr>
          </w:p>
        </w:tc>
        <w:tc>
          <w:tcPr>
            <w:tcW w:w="3360" w:type="dxa"/>
            <w:vAlign w:val="bottom"/>
          </w:tcPr>
          <w:p>
            <w:pPr>
              <w:jc w:val="right"/>
              <w:ind w:right="601"/>
              <w:spacing w:after="0" w:line="113" w:lineRule="exact"/>
              <w:rPr>
                <w:sz w:val="20"/>
                <w:szCs w:val="20"/>
                <w:color w:val="auto"/>
              </w:rPr>
            </w:pPr>
            <w:r>
              <w:rPr>
                <w:rFonts w:ascii="Arial" w:cs="Arial" w:eastAsia="Arial" w:hAnsi="Arial"/>
                <w:sz w:val="11"/>
                <w:szCs w:val="11"/>
                <w:b w:val="1"/>
                <w:bCs w:val="1"/>
                <w:color w:val="auto"/>
              </w:rPr>
              <w:t>CAUSE OR FOR</w:t>
            </w:r>
          </w:p>
        </w:tc>
        <w:tc>
          <w:tcPr>
            <w:tcW w:w="2580" w:type="dxa"/>
            <w:vAlign w:val="bottom"/>
          </w:tcPr>
          <w:p>
            <w:pPr>
              <w:jc w:val="right"/>
              <w:ind w:right="81"/>
              <w:spacing w:after="0" w:line="113" w:lineRule="exact"/>
              <w:rPr>
                <w:sz w:val="20"/>
                <w:szCs w:val="20"/>
                <w:color w:val="auto"/>
              </w:rPr>
            </w:pPr>
            <w:r>
              <w:rPr>
                <w:rFonts w:ascii="Arial" w:cs="Arial" w:eastAsia="Arial" w:hAnsi="Arial"/>
                <w:sz w:val="11"/>
                <w:szCs w:val="11"/>
                <w:b w:val="1"/>
                <w:bCs w:val="1"/>
                <w:color w:val="auto"/>
              </w:rPr>
              <w:t>CAUSE OR FOR</w:t>
            </w:r>
          </w:p>
        </w:tc>
      </w:tr>
      <w:tr>
        <w:trPr>
          <w:trHeight w:val="113"/>
        </w:trPr>
        <w:tc>
          <w:tcPr>
            <w:tcW w:w="3260" w:type="dxa"/>
            <w:vAlign w:val="bottom"/>
          </w:tcPr>
          <w:p>
            <w:pPr>
              <w:spacing w:after="0"/>
              <w:rPr>
                <w:sz w:val="9"/>
                <w:szCs w:val="9"/>
                <w:color w:val="auto"/>
              </w:rPr>
            </w:pPr>
          </w:p>
        </w:tc>
        <w:tc>
          <w:tcPr>
            <w:tcW w:w="3360" w:type="dxa"/>
            <w:vAlign w:val="bottom"/>
          </w:tcPr>
          <w:p>
            <w:pPr>
              <w:jc w:val="right"/>
              <w:ind w:right="601"/>
              <w:spacing w:after="0" w:line="113" w:lineRule="exact"/>
              <w:rPr>
                <w:sz w:val="20"/>
                <w:szCs w:val="20"/>
                <w:color w:val="auto"/>
              </w:rPr>
            </w:pPr>
            <w:r>
              <w:rPr>
                <w:rFonts w:ascii="Arial" w:cs="Arial" w:eastAsia="Arial" w:hAnsi="Arial"/>
                <w:sz w:val="11"/>
                <w:szCs w:val="11"/>
                <w:b w:val="1"/>
                <w:bCs w:val="1"/>
                <w:color w:val="auto"/>
              </w:rPr>
              <w:t>GOOD REASON WITHIN CHANGE</w:t>
            </w:r>
          </w:p>
        </w:tc>
        <w:tc>
          <w:tcPr>
            <w:tcW w:w="2580" w:type="dxa"/>
            <w:vAlign w:val="bottom"/>
          </w:tcPr>
          <w:p>
            <w:pPr>
              <w:jc w:val="right"/>
              <w:ind w:right="81"/>
              <w:spacing w:after="0" w:line="113" w:lineRule="exact"/>
              <w:rPr>
                <w:sz w:val="20"/>
                <w:szCs w:val="20"/>
                <w:color w:val="auto"/>
              </w:rPr>
            </w:pPr>
            <w:r>
              <w:rPr>
                <w:rFonts w:ascii="Arial" w:cs="Arial" w:eastAsia="Arial" w:hAnsi="Arial"/>
                <w:sz w:val="11"/>
                <w:szCs w:val="11"/>
                <w:b w:val="1"/>
                <w:bCs w:val="1"/>
                <w:color w:val="auto"/>
              </w:rPr>
              <w:t>GOOD REASON OUTSIDE CHANGE</w:t>
            </w:r>
          </w:p>
        </w:tc>
      </w:tr>
      <w:tr>
        <w:trPr>
          <w:trHeight w:val="184"/>
        </w:trPr>
        <w:tc>
          <w:tcPr>
            <w:tcW w:w="3260" w:type="dxa"/>
            <w:vAlign w:val="bottom"/>
          </w:tcPr>
          <w:p>
            <w:pPr>
              <w:spacing w:after="0"/>
              <w:rPr>
                <w:sz w:val="20"/>
                <w:szCs w:val="20"/>
                <w:color w:val="auto"/>
              </w:rPr>
            </w:pPr>
            <w:r>
              <w:rPr>
                <w:rFonts w:ascii="Arial" w:cs="Arial" w:eastAsia="Arial" w:hAnsi="Arial"/>
                <w:sz w:val="11"/>
                <w:szCs w:val="11"/>
                <w:b w:val="1"/>
                <w:bCs w:val="1"/>
                <w:color w:val="auto"/>
              </w:rPr>
              <w:t>  NAME</w:t>
            </w:r>
          </w:p>
        </w:tc>
        <w:tc>
          <w:tcPr>
            <w:tcW w:w="3360" w:type="dxa"/>
            <w:vAlign w:val="bottom"/>
          </w:tcPr>
          <w:p>
            <w:pPr>
              <w:jc w:val="right"/>
              <w:ind w:right="601"/>
              <w:spacing w:after="0"/>
              <w:rPr>
                <w:sz w:val="20"/>
                <w:szCs w:val="20"/>
                <w:color w:val="auto"/>
              </w:rPr>
            </w:pPr>
            <w:r>
              <w:rPr>
                <w:rFonts w:ascii="Arial" w:cs="Arial" w:eastAsia="Arial" w:hAnsi="Arial"/>
                <w:sz w:val="11"/>
                <w:szCs w:val="11"/>
                <w:b w:val="1"/>
                <w:bCs w:val="1"/>
                <w:color w:val="auto"/>
              </w:rPr>
              <w:t>IN CONTROL WINDOW ($)</w:t>
            </w:r>
            <w:r>
              <w:rPr>
                <w:rFonts w:ascii="Arial" w:cs="Arial" w:eastAsia="Arial" w:hAnsi="Arial"/>
                <w:sz w:val="13"/>
                <w:szCs w:val="13"/>
                <w:b w:val="1"/>
                <w:bCs w:val="1"/>
                <w:color w:val="auto"/>
                <w:vertAlign w:val="superscript"/>
              </w:rPr>
              <w:t>(1)</w:t>
            </w:r>
          </w:p>
        </w:tc>
        <w:tc>
          <w:tcPr>
            <w:tcW w:w="2580" w:type="dxa"/>
            <w:vAlign w:val="bottom"/>
          </w:tcPr>
          <w:p>
            <w:pPr>
              <w:jc w:val="right"/>
              <w:ind w:right="81"/>
              <w:spacing w:after="0"/>
              <w:rPr>
                <w:sz w:val="20"/>
                <w:szCs w:val="20"/>
                <w:color w:val="auto"/>
              </w:rPr>
            </w:pPr>
            <w:r>
              <w:rPr>
                <w:rFonts w:ascii="Arial" w:cs="Arial" w:eastAsia="Arial" w:hAnsi="Arial"/>
                <w:sz w:val="11"/>
                <w:szCs w:val="11"/>
                <w:b w:val="1"/>
                <w:bCs w:val="1"/>
                <w:color w:val="auto"/>
              </w:rPr>
              <w:t>IN CONTROL WINDOW ($)</w:t>
            </w:r>
            <w:r>
              <w:rPr>
                <w:rFonts w:ascii="Arial" w:cs="Arial" w:eastAsia="Arial" w:hAnsi="Arial"/>
                <w:sz w:val="13"/>
                <w:szCs w:val="13"/>
                <w:b w:val="1"/>
                <w:bCs w:val="1"/>
                <w:color w:val="auto"/>
                <w:vertAlign w:val="superscript"/>
              </w:rPr>
              <w:t>(2)</w:t>
            </w:r>
          </w:p>
        </w:tc>
      </w:tr>
      <w:tr>
        <w:trPr>
          <w:trHeight w:val="213"/>
        </w:trPr>
        <w:tc>
          <w:tcPr>
            <w:tcW w:w="326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Michael Massaro</w:t>
            </w:r>
          </w:p>
        </w:tc>
        <w:tc>
          <w:tcPr>
            <w:tcW w:w="3360" w:type="dxa"/>
            <w:vAlign w:val="bottom"/>
            <w:shd w:val="clear" w:color="auto" w:fill="E8F4FF"/>
          </w:tcPr>
          <w:p>
            <w:pPr>
              <w:spacing w:after="0"/>
              <w:rPr>
                <w:sz w:val="18"/>
                <w:szCs w:val="18"/>
                <w:color w:val="auto"/>
              </w:rPr>
            </w:pPr>
          </w:p>
        </w:tc>
        <w:tc>
          <w:tcPr>
            <w:tcW w:w="2580" w:type="dxa"/>
            <w:vAlign w:val="bottom"/>
            <w:shd w:val="clear" w:color="auto" w:fill="E8F4FF"/>
          </w:tcPr>
          <w:p>
            <w:pPr>
              <w:spacing w:after="0"/>
              <w:rPr>
                <w:sz w:val="18"/>
                <w:szCs w:val="18"/>
                <w:color w:val="auto"/>
              </w:rPr>
            </w:pPr>
          </w:p>
        </w:tc>
      </w:tr>
      <w:tr>
        <w:trPr>
          <w:trHeight w:val="226"/>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Cash Severance</w:t>
            </w:r>
            <w:r>
              <w:rPr>
                <w:rFonts w:ascii="Arial" w:cs="Arial" w:eastAsia="Arial" w:hAnsi="Arial"/>
                <w:sz w:val="14"/>
                <w:szCs w:val="14"/>
                <w:i w:val="1"/>
                <w:iCs w:val="1"/>
                <w:color w:val="2393FF"/>
                <w:vertAlign w:val="superscript"/>
              </w:rPr>
              <w:t>(3)</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1,800,000</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1,350,000</w:t>
            </w:r>
          </w:p>
        </w:tc>
      </w:tr>
      <w:tr>
        <w:trPr>
          <w:trHeight w:val="192"/>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Option Acceleration</w:t>
            </w:r>
            <w:r>
              <w:rPr>
                <w:rFonts w:ascii="Arial" w:cs="Arial" w:eastAsia="Arial" w:hAnsi="Arial"/>
                <w:sz w:val="14"/>
                <w:szCs w:val="14"/>
                <w:i w:val="1"/>
                <w:iCs w:val="1"/>
                <w:color w:val="2393FF"/>
                <w:vertAlign w:val="superscript"/>
              </w:rPr>
              <w:t>(4)</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51,050</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51,050</w:t>
            </w:r>
          </w:p>
        </w:tc>
      </w:tr>
      <w:tr>
        <w:trPr>
          <w:trHeight w:val="192"/>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Restricted Stock Unit Acceleration</w:t>
            </w:r>
            <w:r>
              <w:rPr>
                <w:rFonts w:ascii="Arial" w:cs="Arial" w:eastAsia="Arial" w:hAnsi="Arial"/>
                <w:sz w:val="14"/>
                <w:szCs w:val="14"/>
                <w:i w:val="1"/>
                <w:iCs w:val="1"/>
                <w:color w:val="2393FF"/>
                <w:vertAlign w:val="superscript"/>
              </w:rPr>
              <w:t>(5)</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15,036,929</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7,129,305</w:t>
            </w:r>
          </w:p>
        </w:tc>
      </w:tr>
      <w:tr>
        <w:trPr>
          <w:trHeight w:val="159"/>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Benefit Continuation</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49,866</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49,866</w:t>
            </w:r>
          </w:p>
        </w:tc>
      </w:tr>
      <w:tr>
        <w:trPr>
          <w:trHeight w:val="204"/>
        </w:trPr>
        <w:tc>
          <w:tcPr>
            <w:tcW w:w="3260" w:type="dxa"/>
            <w:vAlign w:val="bottom"/>
            <w:tcBorders>
              <w:bottom w:val="single" w:sz="8" w:color="E8F4FF"/>
            </w:tcBorders>
            <w:shd w:val="clear" w:color="auto" w:fill="E8F4FF"/>
          </w:tcPr>
          <w:p>
            <w:pPr>
              <w:ind w:left="180"/>
              <w:spacing w:after="0"/>
              <w:rPr>
                <w:sz w:val="20"/>
                <w:szCs w:val="20"/>
                <w:color w:val="auto"/>
              </w:rPr>
            </w:pPr>
            <w:r>
              <w:rPr>
                <w:rFonts w:ascii="Arial" w:cs="Arial" w:eastAsia="Arial" w:hAnsi="Arial"/>
                <w:sz w:val="12"/>
                <w:szCs w:val="12"/>
                <w:i w:val="1"/>
                <w:iCs w:val="1"/>
                <w:color w:val="2393FF"/>
              </w:rPr>
              <w:t>Total Value</w:t>
            </w:r>
          </w:p>
        </w:tc>
        <w:tc>
          <w:tcPr>
            <w:tcW w:w="3360" w:type="dxa"/>
            <w:vAlign w:val="bottom"/>
            <w:tcBorders>
              <w:bottom w:val="single" w:sz="8" w:color="E8F4FF"/>
            </w:tcBorders>
            <w:shd w:val="clear" w:color="auto" w:fill="E8F4FF"/>
          </w:tcPr>
          <w:p>
            <w:pPr>
              <w:jc w:val="right"/>
              <w:ind w:right="601"/>
              <w:spacing w:after="0"/>
              <w:rPr>
                <w:sz w:val="20"/>
                <w:szCs w:val="20"/>
                <w:color w:val="auto"/>
              </w:rPr>
            </w:pPr>
            <w:r>
              <w:rPr>
                <w:rFonts w:ascii="Arial" w:cs="Arial" w:eastAsia="Arial" w:hAnsi="Arial"/>
                <w:sz w:val="12"/>
                <w:szCs w:val="12"/>
                <w:color w:val="auto"/>
              </w:rPr>
              <w:t>16,937,845</w:t>
            </w:r>
          </w:p>
        </w:tc>
        <w:tc>
          <w:tcPr>
            <w:tcW w:w="2580" w:type="dxa"/>
            <w:vAlign w:val="bottom"/>
            <w:tcBorders>
              <w:bottom w:val="single" w:sz="8" w:color="E8F4FF"/>
            </w:tcBorders>
            <w:shd w:val="clear" w:color="auto" w:fill="E8F4FF"/>
          </w:tcPr>
          <w:p>
            <w:pPr>
              <w:jc w:val="right"/>
              <w:ind w:right="81"/>
              <w:spacing w:after="0"/>
              <w:rPr>
                <w:sz w:val="20"/>
                <w:szCs w:val="20"/>
                <w:color w:val="auto"/>
              </w:rPr>
            </w:pPr>
            <w:r>
              <w:rPr>
                <w:rFonts w:ascii="Arial" w:cs="Arial" w:eastAsia="Arial" w:hAnsi="Arial"/>
                <w:sz w:val="12"/>
                <w:szCs w:val="12"/>
                <w:color w:val="auto"/>
              </w:rPr>
              <w:t>8,580,221</w:t>
            </w:r>
          </w:p>
        </w:tc>
      </w:tr>
      <w:tr>
        <w:trPr>
          <w:trHeight w:val="165"/>
        </w:trPr>
        <w:tc>
          <w:tcPr>
            <w:tcW w:w="3260" w:type="dxa"/>
            <w:vAlign w:val="bottom"/>
          </w:tcPr>
          <w:p>
            <w:pPr>
              <w:ind w:left="60"/>
              <w:spacing w:after="0"/>
              <w:rPr>
                <w:sz w:val="20"/>
                <w:szCs w:val="20"/>
                <w:color w:val="auto"/>
              </w:rPr>
            </w:pPr>
            <w:r>
              <w:rPr>
                <w:rFonts w:ascii="Arial" w:cs="Arial" w:eastAsia="Arial" w:hAnsi="Arial"/>
                <w:sz w:val="12"/>
                <w:szCs w:val="12"/>
                <w:b w:val="1"/>
                <w:bCs w:val="1"/>
                <w:color w:val="2393FF"/>
              </w:rPr>
              <w:t>Robert Orgel</w:t>
            </w:r>
          </w:p>
        </w:tc>
        <w:tc>
          <w:tcPr>
            <w:tcW w:w="336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210"/>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Cash Severance</w:t>
            </w:r>
            <w:r>
              <w:rPr>
                <w:rFonts w:ascii="Arial" w:cs="Arial" w:eastAsia="Arial" w:hAnsi="Arial"/>
                <w:sz w:val="14"/>
                <w:szCs w:val="14"/>
                <w:i w:val="1"/>
                <w:iCs w:val="1"/>
                <w:color w:val="2393FF"/>
                <w:vertAlign w:val="superscript"/>
              </w:rPr>
              <w:t>(3)</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975,000</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650,000</w:t>
            </w:r>
          </w:p>
        </w:tc>
      </w:tr>
      <w:tr>
        <w:trPr>
          <w:trHeight w:val="192"/>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Restricted Stock Unit Acceleration</w:t>
            </w:r>
            <w:r>
              <w:rPr>
                <w:rFonts w:ascii="Arial" w:cs="Arial" w:eastAsia="Arial" w:hAnsi="Arial"/>
                <w:sz w:val="14"/>
                <w:szCs w:val="14"/>
                <w:i w:val="1"/>
                <w:iCs w:val="1"/>
                <w:color w:val="2393FF"/>
                <w:vertAlign w:val="superscript"/>
              </w:rPr>
              <w:t>(5)</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8,654,535</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4,100,764</w:t>
            </w:r>
          </w:p>
        </w:tc>
      </w:tr>
      <w:tr>
        <w:trPr>
          <w:trHeight w:val="159"/>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Benefit Continuation</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33,244</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33,244</w:t>
            </w:r>
          </w:p>
        </w:tc>
      </w:tr>
      <w:tr>
        <w:trPr>
          <w:trHeight w:val="192"/>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Total Value</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9,662,779</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4,784,008</w:t>
            </w:r>
          </w:p>
        </w:tc>
      </w:tr>
      <w:tr>
        <w:trPr>
          <w:trHeight w:val="41"/>
        </w:trPr>
        <w:tc>
          <w:tcPr>
            <w:tcW w:w="32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580" w:type="dxa"/>
            <w:vAlign w:val="bottom"/>
          </w:tcPr>
          <w:p>
            <w:pPr>
              <w:spacing w:after="0"/>
              <w:rPr>
                <w:sz w:val="3"/>
                <w:szCs w:val="3"/>
                <w:color w:val="auto"/>
              </w:rPr>
            </w:pPr>
          </w:p>
        </w:tc>
      </w:tr>
      <w:tr>
        <w:trPr>
          <w:trHeight w:val="165"/>
        </w:trPr>
        <w:tc>
          <w:tcPr>
            <w:tcW w:w="326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Cosmin Pitigoi</w:t>
            </w:r>
          </w:p>
        </w:tc>
        <w:tc>
          <w:tcPr>
            <w:tcW w:w="3360" w:type="dxa"/>
            <w:vAlign w:val="bottom"/>
            <w:shd w:val="clear" w:color="auto" w:fill="E8F4FF"/>
          </w:tcPr>
          <w:p>
            <w:pPr>
              <w:spacing w:after="0"/>
              <w:rPr>
                <w:sz w:val="14"/>
                <w:szCs w:val="14"/>
                <w:color w:val="auto"/>
              </w:rPr>
            </w:pPr>
          </w:p>
        </w:tc>
        <w:tc>
          <w:tcPr>
            <w:tcW w:w="2580" w:type="dxa"/>
            <w:vAlign w:val="bottom"/>
            <w:shd w:val="clear" w:color="auto" w:fill="E8F4FF"/>
          </w:tcPr>
          <w:p>
            <w:pPr>
              <w:spacing w:after="0"/>
              <w:rPr>
                <w:sz w:val="14"/>
                <w:szCs w:val="14"/>
                <w:color w:val="auto"/>
              </w:rPr>
            </w:pPr>
          </w:p>
        </w:tc>
      </w:tr>
      <w:tr>
        <w:trPr>
          <w:trHeight w:val="218"/>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Cash Severance</w:t>
            </w:r>
            <w:r>
              <w:rPr>
                <w:rFonts w:ascii="Arial" w:cs="Arial" w:eastAsia="Arial" w:hAnsi="Arial"/>
                <w:sz w:val="14"/>
                <w:szCs w:val="14"/>
                <w:i w:val="1"/>
                <w:iCs w:val="1"/>
                <w:color w:val="2393FF"/>
                <w:vertAlign w:val="superscript"/>
              </w:rPr>
              <w:t>(3)</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1,065,000</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710,000</w:t>
            </w:r>
          </w:p>
        </w:tc>
      </w:tr>
      <w:tr>
        <w:trPr>
          <w:trHeight w:val="192"/>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Restricted Stock Unit Acceleration</w:t>
            </w:r>
            <w:r>
              <w:rPr>
                <w:rFonts w:ascii="Arial" w:cs="Arial" w:eastAsia="Arial" w:hAnsi="Arial"/>
                <w:sz w:val="14"/>
                <w:szCs w:val="14"/>
                <w:i w:val="1"/>
                <w:iCs w:val="1"/>
                <w:color w:val="2393FF"/>
                <w:vertAlign w:val="superscript"/>
              </w:rPr>
              <w:t>(5)</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7,198,179</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3,386,378</w:t>
            </w:r>
          </w:p>
        </w:tc>
      </w:tr>
      <w:tr>
        <w:trPr>
          <w:trHeight w:val="159"/>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Benefit Continuation</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33,244</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33,244</w:t>
            </w:r>
          </w:p>
        </w:tc>
      </w:tr>
      <w:tr>
        <w:trPr>
          <w:trHeight w:val="204"/>
        </w:trPr>
        <w:tc>
          <w:tcPr>
            <w:tcW w:w="3260" w:type="dxa"/>
            <w:vAlign w:val="bottom"/>
            <w:tcBorders>
              <w:bottom w:val="single" w:sz="8" w:color="E8F4FF"/>
            </w:tcBorders>
            <w:shd w:val="clear" w:color="auto" w:fill="E8F4FF"/>
          </w:tcPr>
          <w:p>
            <w:pPr>
              <w:ind w:left="180"/>
              <w:spacing w:after="0"/>
              <w:rPr>
                <w:sz w:val="20"/>
                <w:szCs w:val="20"/>
                <w:color w:val="auto"/>
              </w:rPr>
            </w:pPr>
            <w:r>
              <w:rPr>
                <w:rFonts w:ascii="Arial" w:cs="Arial" w:eastAsia="Arial" w:hAnsi="Arial"/>
                <w:sz w:val="12"/>
                <w:szCs w:val="12"/>
                <w:i w:val="1"/>
                <w:iCs w:val="1"/>
                <w:color w:val="2393FF"/>
              </w:rPr>
              <w:t>Total Value</w:t>
            </w:r>
          </w:p>
        </w:tc>
        <w:tc>
          <w:tcPr>
            <w:tcW w:w="3360" w:type="dxa"/>
            <w:vAlign w:val="bottom"/>
            <w:tcBorders>
              <w:bottom w:val="single" w:sz="8" w:color="E8F4FF"/>
            </w:tcBorders>
            <w:shd w:val="clear" w:color="auto" w:fill="E8F4FF"/>
          </w:tcPr>
          <w:p>
            <w:pPr>
              <w:jc w:val="right"/>
              <w:ind w:right="601"/>
              <w:spacing w:after="0"/>
              <w:rPr>
                <w:sz w:val="20"/>
                <w:szCs w:val="20"/>
                <w:color w:val="auto"/>
              </w:rPr>
            </w:pPr>
            <w:r>
              <w:rPr>
                <w:rFonts w:ascii="Arial" w:cs="Arial" w:eastAsia="Arial" w:hAnsi="Arial"/>
                <w:sz w:val="12"/>
                <w:szCs w:val="12"/>
                <w:color w:val="auto"/>
              </w:rPr>
              <w:t>8,296,423</w:t>
            </w:r>
          </w:p>
        </w:tc>
        <w:tc>
          <w:tcPr>
            <w:tcW w:w="2580" w:type="dxa"/>
            <w:vAlign w:val="bottom"/>
            <w:tcBorders>
              <w:bottom w:val="single" w:sz="8" w:color="E8F4FF"/>
            </w:tcBorders>
            <w:shd w:val="clear" w:color="auto" w:fill="E8F4FF"/>
          </w:tcPr>
          <w:p>
            <w:pPr>
              <w:jc w:val="right"/>
              <w:ind w:right="81"/>
              <w:spacing w:after="0"/>
              <w:rPr>
                <w:sz w:val="20"/>
                <w:szCs w:val="20"/>
                <w:color w:val="auto"/>
              </w:rPr>
            </w:pPr>
            <w:r>
              <w:rPr>
                <w:rFonts w:ascii="Arial" w:cs="Arial" w:eastAsia="Arial" w:hAnsi="Arial"/>
                <w:sz w:val="12"/>
                <w:szCs w:val="12"/>
                <w:color w:val="auto"/>
              </w:rPr>
              <w:t>4,129,622</w:t>
            </w:r>
          </w:p>
        </w:tc>
      </w:tr>
      <w:tr>
        <w:trPr>
          <w:trHeight w:val="165"/>
        </w:trPr>
        <w:tc>
          <w:tcPr>
            <w:tcW w:w="3260" w:type="dxa"/>
            <w:vAlign w:val="bottom"/>
          </w:tcPr>
          <w:p>
            <w:pPr>
              <w:ind w:left="60"/>
              <w:spacing w:after="0"/>
              <w:rPr>
                <w:sz w:val="20"/>
                <w:szCs w:val="20"/>
                <w:color w:val="auto"/>
              </w:rPr>
            </w:pPr>
            <w:r>
              <w:rPr>
                <w:rFonts w:ascii="Arial" w:cs="Arial" w:eastAsia="Arial" w:hAnsi="Arial"/>
                <w:sz w:val="12"/>
                <w:szCs w:val="12"/>
                <w:b w:val="1"/>
                <w:bCs w:val="1"/>
                <w:color w:val="2393FF"/>
              </w:rPr>
              <w:t>Peter Butterfield</w:t>
            </w:r>
          </w:p>
        </w:tc>
        <w:tc>
          <w:tcPr>
            <w:tcW w:w="336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210"/>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Cash Severance</w:t>
            </w:r>
            <w:r>
              <w:rPr>
                <w:rFonts w:ascii="Arial" w:cs="Arial" w:eastAsia="Arial" w:hAnsi="Arial"/>
                <w:sz w:val="14"/>
                <w:szCs w:val="14"/>
                <w:i w:val="1"/>
                <w:iCs w:val="1"/>
                <w:color w:val="2393FF"/>
                <w:vertAlign w:val="superscript"/>
              </w:rPr>
              <w:t>(3)</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510,000</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382,500</w:t>
            </w:r>
          </w:p>
        </w:tc>
      </w:tr>
      <w:tr>
        <w:trPr>
          <w:trHeight w:val="192"/>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Restricted Stock Unit Acceleration</w:t>
            </w:r>
            <w:r>
              <w:rPr>
                <w:rFonts w:ascii="Arial" w:cs="Arial" w:eastAsia="Arial" w:hAnsi="Arial"/>
                <w:sz w:val="14"/>
                <w:szCs w:val="14"/>
                <w:i w:val="1"/>
                <w:iCs w:val="1"/>
                <w:color w:val="2393FF"/>
                <w:vertAlign w:val="superscript"/>
              </w:rPr>
              <w:t>(5)</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3,414,571</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1,356,160</w:t>
            </w:r>
          </w:p>
        </w:tc>
      </w:tr>
      <w:tr>
        <w:trPr>
          <w:trHeight w:val="159"/>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Benefit Continuation</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32,922</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24,692</w:t>
            </w:r>
          </w:p>
        </w:tc>
      </w:tr>
      <w:tr>
        <w:trPr>
          <w:trHeight w:val="192"/>
        </w:trPr>
        <w:tc>
          <w:tcPr>
            <w:tcW w:w="3260" w:type="dxa"/>
            <w:vAlign w:val="bottom"/>
          </w:tcPr>
          <w:p>
            <w:pPr>
              <w:ind w:left="180"/>
              <w:spacing w:after="0"/>
              <w:rPr>
                <w:sz w:val="20"/>
                <w:szCs w:val="20"/>
                <w:color w:val="auto"/>
              </w:rPr>
            </w:pPr>
            <w:r>
              <w:rPr>
                <w:rFonts w:ascii="Arial" w:cs="Arial" w:eastAsia="Arial" w:hAnsi="Arial"/>
                <w:sz w:val="12"/>
                <w:szCs w:val="12"/>
                <w:i w:val="1"/>
                <w:iCs w:val="1"/>
                <w:color w:val="2393FF"/>
              </w:rPr>
              <w:t>Total Value</w:t>
            </w:r>
          </w:p>
        </w:tc>
        <w:tc>
          <w:tcPr>
            <w:tcW w:w="3360" w:type="dxa"/>
            <w:vAlign w:val="bottom"/>
          </w:tcPr>
          <w:p>
            <w:pPr>
              <w:jc w:val="right"/>
              <w:ind w:right="601"/>
              <w:spacing w:after="0"/>
              <w:rPr>
                <w:sz w:val="20"/>
                <w:szCs w:val="20"/>
                <w:color w:val="auto"/>
              </w:rPr>
            </w:pPr>
            <w:r>
              <w:rPr>
                <w:rFonts w:ascii="Arial" w:cs="Arial" w:eastAsia="Arial" w:hAnsi="Arial"/>
                <w:sz w:val="12"/>
                <w:szCs w:val="12"/>
                <w:color w:val="auto"/>
              </w:rPr>
              <w:t>3,957,493</w:t>
            </w:r>
          </w:p>
        </w:tc>
        <w:tc>
          <w:tcPr>
            <w:tcW w:w="2580" w:type="dxa"/>
            <w:vAlign w:val="bottom"/>
          </w:tcPr>
          <w:p>
            <w:pPr>
              <w:jc w:val="right"/>
              <w:ind w:right="81"/>
              <w:spacing w:after="0"/>
              <w:rPr>
                <w:sz w:val="20"/>
                <w:szCs w:val="20"/>
                <w:color w:val="auto"/>
              </w:rPr>
            </w:pPr>
            <w:r>
              <w:rPr>
                <w:rFonts w:ascii="Arial" w:cs="Arial" w:eastAsia="Arial" w:hAnsi="Arial"/>
                <w:sz w:val="12"/>
                <w:szCs w:val="12"/>
                <w:color w:val="auto"/>
              </w:rPr>
              <w:t>1,763,352</w:t>
            </w:r>
          </w:p>
        </w:tc>
      </w:tr>
      <w:tr>
        <w:trPr>
          <w:trHeight w:val="41"/>
        </w:trPr>
        <w:tc>
          <w:tcPr>
            <w:tcW w:w="326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580" w:type="dxa"/>
            <w:vAlign w:val="bottom"/>
          </w:tcPr>
          <w:p>
            <w:pPr>
              <w:spacing w:after="0"/>
              <w:rPr>
                <w:sz w:val="3"/>
                <w:szCs w:val="3"/>
                <w:color w:val="auto"/>
              </w:rPr>
            </w:pPr>
          </w:p>
        </w:tc>
      </w:tr>
      <w:tr>
        <w:trPr>
          <w:trHeight w:val="165"/>
        </w:trPr>
        <w:tc>
          <w:tcPr>
            <w:tcW w:w="326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David King</w:t>
            </w:r>
          </w:p>
        </w:tc>
        <w:tc>
          <w:tcPr>
            <w:tcW w:w="3360" w:type="dxa"/>
            <w:vAlign w:val="bottom"/>
            <w:shd w:val="clear" w:color="auto" w:fill="E8F4FF"/>
          </w:tcPr>
          <w:p>
            <w:pPr>
              <w:spacing w:after="0"/>
              <w:rPr>
                <w:sz w:val="14"/>
                <w:szCs w:val="14"/>
                <w:color w:val="auto"/>
              </w:rPr>
            </w:pPr>
          </w:p>
        </w:tc>
        <w:tc>
          <w:tcPr>
            <w:tcW w:w="2580" w:type="dxa"/>
            <w:vAlign w:val="bottom"/>
            <w:shd w:val="clear" w:color="auto" w:fill="E8F4FF"/>
          </w:tcPr>
          <w:p>
            <w:pPr>
              <w:spacing w:after="0"/>
              <w:rPr>
                <w:sz w:val="14"/>
                <w:szCs w:val="14"/>
                <w:color w:val="auto"/>
              </w:rPr>
            </w:pPr>
          </w:p>
        </w:tc>
      </w:tr>
      <w:tr>
        <w:trPr>
          <w:trHeight w:val="218"/>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Cash Severance</w:t>
            </w:r>
            <w:r>
              <w:rPr>
                <w:rFonts w:ascii="Arial" w:cs="Arial" w:eastAsia="Arial" w:hAnsi="Arial"/>
                <w:sz w:val="14"/>
                <w:szCs w:val="14"/>
                <w:i w:val="1"/>
                <w:iCs w:val="1"/>
                <w:color w:val="2393FF"/>
                <w:vertAlign w:val="superscript"/>
              </w:rPr>
              <w:t>(3)</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510,000</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382,500</w:t>
            </w:r>
          </w:p>
        </w:tc>
      </w:tr>
      <w:tr>
        <w:trPr>
          <w:trHeight w:val="192"/>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Restricted Stock Unit Acceleration</w:t>
            </w:r>
            <w:r>
              <w:rPr>
                <w:rFonts w:ascii="Arial" w:cs="Arial" w:eastAsia="Arial" w:hAnsi="Arial"/>
                <w:sz w:val="14"/>
                <w:szCs w:val="14"/>
                <w:i w:val="1"/>
                <w:iCs w:val="1"/>
                <w:color w:val="2393FF"/>
                <w:vertAlign w:val="superscript"/>
              </w:rPr>
              <w:t>(5)</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6,236,899</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2,481,993</w:t>
            </w:r>
          </w:p>
        </w:tc>
      </w:tr>
      <w:tr>
        <w:trPr>
          <w:trHeight w:val="159"/>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Benefit Continuation</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33,244</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24,933</w:t>
            </w:r>
          </w:p>
        </w:tc>
      </w:tr>
      <w:tr>
        <w:trPr>
          <w:trHeight w:val="184"/>
        </w:trPr>
        <w:tc>
          <w:tcPr>
            <w:tcW w:w="3260" w:type="dxa"/>
            <w:vAlign w:val="bottom"/>
            <w:shd w:val="clear" w:color="auto" w:fill="E8F4FF"/>
          </w:tcPr>
          <w:p>
            <w:pPr>
              <w:ind w:left="180"/>
              <w:spacing w:after="0"/>
              <w:rPr>
                <w:sz w:val="20"/>
                <w:szCs w:val="20"/>
                <w:color w:val="auto"/>
              </w:rPr>
            </w:pPr>
            <w:r>
              <w:rPr>
                <w:rFonts w:ascii="Arial" w:cs="Arial" w:eastAsia="Arial" w:hAnsi="Arial"/>
                <w:sz w:val="12"/>
                <w:szCs w:val="12"/>
                <w:i w:val="1"/>
                <w:iCs w:val="1"/>
                <w:color w:val="2393FF"/>
              </w:rPr>
              <w:t>Total Value</w:t>
            </w:r>
          </w:p>
        </w:tc>
        <w:tc>
          <w:tcPr>
            <w:tcW w:w="3360" w:type="dxa"/>
            <w:vAlign w:val="bottom"/>
            <w:shd w:val="clear" w:color="auto" w:fill="E8F4FF"/>
          </w:tcPr>
          <w:p>
            <w:pPr>
              <w:jc w:val="right"/>
              <w:ind w:right="601"/>
              <w:spacing w:after="0"/>
              <w:rPr>
                <w:sz w:val="20"/>
                <w:szCs w:val="20"/>
                <w:color w:val="auto"/>
              </w:rPr>
            </w:pPr>
            <w:r>
              <w:rPr>
                <w:rFonts w:ascii="Arial" w:cs="Arial" w:eastAsia="Arial" w:hAnsi="Arial"/>
                <w:sz w:val="12"/>
                <w:szCs w:val="12"/>
                <w:color w:val="auto"/>
              </w:rPr>
              <w:t>6,780,143</w:t>
            </w:r>
          </w:p>
        </w:tc>
        <w:tc>
          <w:tcPr>
            <w:tcW w:w="2580" w:type="dxa"/>
            <w:vAlign w:val="bottom"/>
            <w:shd w:val="clear" w:color="auto" w:fill="E8F4FF"/>
          </w:tcPr>
          <w:p>
            <w:pPr>
              <w:jc w:val="right"/>
              <w:ind w:right="81"/>
              <w:spacing w:after="0"/>
              <w:rPr>
                <w:sz w:val="20"/>
                <w:szCs w:val="20"/>
                <w:color w:val="auto"/>
              </w:rPr>
            </w:pPr>
            <w:r>
              <w:rPr>
                <w:rFonts w:ascii="Arial" w:cs="Arial" w:eastAsia="Arial" w:hAnsi="Arial"/>
                <w:sz w:val="12"/>
                <w:szCs w:val="12"/>
                <w:color w:val="auto"/>
              </w:rPr>
              <w:t>2,889,426</w:t>
            </w:r>
          </w:p>
        </w:tc>
      </w:tr>
      <w:tr>
        <w:trPr>
          <w:trHeight w:val="75"/>
        </w:trPr>
        <w:tc>
          <w:tcPr>
            <w:tcW w:w="3260" w:type="dxa"/>
            <w:vAlign w:val="bottom"/>
            <w:tcBorders>
              <w:bottom w:val="single" w:sz="8" w:color="2393FF"/>
            </w:tcBorders>
            <w:shd w:val="clear" w:color="auto" w:fill="E8F4FF"/>
          </w:tcPr>
          <w:p>
            <w:pPr>
              <w:spacing w:after="0"/>
              <w:rPr>
                <w:sz w:val="6"/>
                <w:szCs w:val="6"/>
                <w:color w:val="auto"/>
              </w:rPr>
            </w:pPr>
          </w:p>
        </w:tc>
        <w:tc>
          <w:tcPr>
            <w:tcW w:w="3360" w:type="dxa"/>
            <w:vAlign w:val="bottom"/>
            <w:tcBorders>
              <w:bottom w:val="single" w:sz="8" w:color="2393FF"/>
            </w:tcBorders>
            <w:shd w:val="clear" w:color="auto" w:fill="E8F4FF"/>
          </w:tcPr>
          <w:p>
            <w:pPr>
              <w:spacing w:after="0"/>
              <w:rPr>
                <w:sz w:val="6"/>
                <w:szCs w:val="6"/>
                <w:color w:val="auto"/>
              </w:rPr>
            </w:pPr>
          </w:p>
        </w:tc>
        <w:tc>
          <w:tcPr>
            <w:tcW w:w="2580" w:type="dxa"/>
            <w:vAlign w:val="bottom"/>
            <w:tcBorders>
              <w:bottom w:val="single" w:sz="8" w:color="2393FF"/>
            </w:tcBorders>
            <w:shd w:val="clear" w:color="auto" w:fill="E8F4FF"/>
          </w:tcPr>
          <w:p>
            <w:pPr>
              <w:spacing w:after="0"/>
              <w:rPr>
                <w:sz w:val="6"/>
                <w:szCs w:val="6"/>
                <w:color w:val="auto"/>
              </w:rPr>
            </w:pPr>
          </w:p>
        </w:tc>
      </w:tr>
    </w:tbl>
    <w:p>
      <w:pPr>
        <w:spacing w:after="0" w:line="86" w:lineRule="exact"/>
        <w:rPr>
          <w:sz w:val="20"/>
          <w:szCs w:val="20"/>
          <w:color w:val="auto"/>
        </w:rPr>
      </w:pPr>
    </w:p>
    <w:p>
      <w:pPr>
        <w:ind w:left="1380" w:right="180" w:hanging="353"/>
        <w:spacing w:after="0" w:line="230" w:lineRule="auto"/>
        <w:tabs>
          <w:tab w:leader="none" w:pos="1380" w:val="left"/>
        </w:tabs>
        <w:numPr>
          <w:ilvl w:val="0"/>
          <w:numId w:val="82"/>
        </w:numPr>
        <w:rPr>
          <w:rFonts w:ascii="Arial" w:cs="Arial" w:eastAsia="Arial" w:hAnsi="Arial"/>
          <w:sz w:val="11"/>
          <w:szCs w:val="11"/>
          <w:color w:val="333333"/>
        </w:rPr>
      </w:pPr>
      <w:r>
        <w:rPr>
          <w:rFonts w:ascii="Arial" w:cs="Arial" w:eastAsia="Arial" w:hAnsi="Arial"/>
          <w:sz w:val="11"/>
          <w:szCs w:val="11"/>
          <w:color w:val="333333"/>
        </w:rPr>
        <w:t>Pursuant to their amended and restated employment agreements, if we terminate the employment of any of our NEOs without Cause (as defined below) or if such executive Resigns for Good Reason (as defined below) in a Change of Control Window, then, subject to them executing and not revoking a release of claims against us, such named executive will be eligible to receive:</w:t>
      </w:r>
    </w:p>
    <w:p>
      <w:pPr>
        <w:spacing w:after="0" w:line="75" w:lineRule="exact"/>
        <w:rPr>
          <w:rFonts w:ascii="Arial" w:cs="Arial" w:eastAsia="Arial" w:hAnsi="Arial"/>
          <w:sz w:val="11"/>
          <w:szCs w:val="11"/>
          <w:color w:val="333333"/>
        </w:rPr>
      </w:pPr>
    </w:p>
    <w:p>
      <w:pPr>
        <w:ind w:left="1740" w:right="120" w:hanging="353"/>
        <w:spacing w:after="0" w:line="238" w:lineRule="auto"/>
        <w:tabs>
          <w:tab w:leader="none" w:pos="1740" w:val="left"/>
        </w:tabs>
        <w:numPr>
          <w:ilvl w:val="1"/>
          <w:numId w:val="82"/>
        </w:numPr>
        <w:rPr>
          <w:rFonts w:ascii="Arial" w:cs="Arial" w:eastAsia="Arial" w:hAnsi="Arial"/>
          <w:sz w:val="11"/>
          <w:szCs w:val="11"/>
          <w:color w:val="333333"/>
        </w:rPr>
      </w:pPr>
      <w:r>
        <w:rPr>
          <w:rFonts w:ascii="Arial" w:cs="Arial" w:eastAsia="Arial" w:hAnsi="Arial"/>
          <w:sz w:val="11"/>
          <w:szCs w:val="11"/>
          <w:color w:val="333333"/>
        </w:rPr>
        <w:t>a lump sum cash payment equal to (i) two (2) times in the case of Mr. Massaro, (ii) one and one-half (1.5) times in the case of Messrs. Orgel and Pitigoi, and (iii) one (1) times in the case of Messrs. Butterfield and King, in each case, multiplied by the sum of (1) his then current base salary and (2) his annual target bonus;</w:t>
      </w:r>
    </w:p>
    <w:p>
      <w:pPr>
        <w:spacing w:after="0" w:line="75" w:lineRule="exact"/>
        <w:rPr>
          <w:rFonts w:ascii="Arial" w:cs="Arial" w:eastAsia="Arial" w:hAnsi="Arial"/>
          <w:sz w:val="11"/>
          <w:szCs w:val="11"/>
          <w:color w:val="333333"/>
        </w:rPr>
      </w:pPr>
    </w:p>
    <w:p>
      <w:pPr>
        <w:ind w:left="1740" w:hanging="353"/>
        <w:spacing w:after="0"/>
        <w:tabs>
          <w:tab w:leader="none" w:pos="1740" w:val="left"/>
        </w:tabs>
        <w:numPr>
          <w:ilvl w:val="1"/>
          <w:numId w:val="82"/>
        </w:numPr>
        <w:rPr>
          <w:rFonts w:ascii="Arial" w:cs="Arial" w:eastAsia="Arial" w:hAnsi="Arial"/>
          <w:sz w:val="11"/>
          <w:szCs w:val="11"/>
          <w:color w:val="333333"/>
        </w:rPr>
      </w:pPr>
      <w:r>
        <w:rPr>
          <w:rFonts w:ascii="Arial" w:cs="Arial" w:eastAsia="Arial" w:hAnsi="Arial"/>
          <w:sz w:val="11"/>
          <w:szCs w:val="11"/>
          <w:color w:val="333333"/>
        </w:rPr>
        <w:t>a lump sum payment equal to his accrued and unpaid annual bonus if he or she is terminated after the end of a fiscal year, but prior to payment of such bonus;</w:t>
      </w:r>
    </w:p>
    <w:p>
      <w:pPr>
        <w:spacing w:after="0" w:line="87" w:lineRule="exact"/>
        <w:rPr>
          <w:rFonts w:ascii="Arial" w:cs="Arial" w:eastAsia="Arial" w:hAnsi="Arial"/>
          <w:sz w:val="11"/>
          <w:szCs w:val="11"/>
          <w:color w:val="333333"/>
        </w:rPr>
      </w:pPr>
    </w:p>
    <w:p>
      <w:pPr>
        <w:ind w:left="1740" w:hanging="353"/>
        <w:spacing w:after="0"/>
        <w:tabs>
          <w:tab w:leader="none" w:pos="1740" w:val="left"/>
        </w:tabs>
        <w:numPr>
          <w:ilvl w:val="1"/>
          <w:numId w:val="82"/>
        </w:numPr>
        <w:rPr>
          <w:rFonts w:ascii="Arial" w:cs="Arial" w:eastAsia="Arial" w:hAnsi="Arial"/>
          <w:sz w:val="11"/>
          <w:szCs w:val="11"/>
          <w:color w:val="333333"/>
        </w:rPr>
      </w:pPr>
      <w:r>
        <w:rPr>
          <w:rFonts w:ascii="Arial" w:cs="Arial" w:eastAsia="Arial" w:hAnsi="Arial"/>
          <w:sz w:val="11"/>
          <w:szCs w:val="11"/>
          <w:color w:val="333333"/>
        </w:rPr>
        <w:t>the payment of COBRA continuation premiums for up to 12 months (18 months in the case of Mr. Massaro); and</w:t>
      </w:r>
    </w:p>
    <w:p>
      <w:pPr>
        <w:spacing w:after="0" w:line="87" w:lineRule="exact"/>
        <w:rPr>
          <w:rFonts w:ascii="Arial" w:cs="Arial" w:eastAsia="Arial" w:hAnsi="Arial"/>
          <w:sz w:val="11"/>
          <w:szCs w:val="11"/>
          <w:color w:val="333333"/>
        </w:rPr>
      </w:pPr>
    </w:p>
    <w:p>
      <w:pPr>
        <w:ind w:left="1740" w:right="220" w:hanging="353"/>
        <w:spacing w:after="0" w:line="238" w:lineRule="auto"/>
        <w:tabs>
          <w:tab w:leader="none" w:pos="1740" w:val="left"/>
        </w:tabs>
        <w:numPr>
          <w:ilvl w:val="1"/>
          <w:numId w:val="82"/>
        </w:numPr>
        <w:rPr>
          <w:rFonts w:ascii="Arial" w:cs="Arial" w:eastAsia="Arial" w:hAnsi="Arial"/>
          <w:sz w:val="11"/>
          <w:szCs w:val="11"/>
          <w:color w:val="333333"/>
        </w:rPr>
      </w:pPr>
      <w:r>
        <w:rPr>
          <w:rFonts w:ascii="Arial" w:cs="Arial" w:eastAsia="Arial" w:hAnsi="Arial"/>
          <w:sz w:val="11"/>
          <w:szCs w:val="11"/>
          <w:color w:val="333333"/>
        </w:rPr>
        <w:t>any unvested option shares and equity awards that are subject to time-based vesting shall be vested in full and non-forfeitable. Any equity awards that are subject to performance conditions will be treated as described in the applicable award agreement.</w:t>
      </w:r>
    </w:p>
    <w:p>
      <w:pPr>
        <w:spacing w:after="0" w:line="98"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42 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1" w:lineRule="exact"/>
        <w:rPr>
          <w:sz w:val="20"/>
          <w:szCs w:val="20"/>
          <w:color w:val="auto"/>
        </w:rPr>
      </w:pPr>
    </w:p>
    <w:p>
      <w:pPr>
        <w:ind w:left="1380" w:hanging="353"/>
        <w:spacing w:after="0" w:line="238" w:lineRule="auto"/>
        <w:tabs>
          <w:tab w:leader="none" w:pos="1380" w:val="left"/>
        </w:tabs>
        <w:numPr>
          <w:ilvl w:val="0"/>
          <w:numId w:val="83"/>
        </w:numPr>
        <w:rPr>
          <w:rFonts w:ascii="Arial" w:cs="Arial" w:eastAsia="Arial" w:hAnsi="Arial"/>
          <w:sz w:val="11"/>
          <w:szCs w:val="11"/>
          <w:color w:val="333333"/>
        </w:rPr>
      </w:pPr>
      <w:r>
        <w:rPr>
          <w:rFonts w:ascii="Arial" w:cs="Arial" w:eastAsia="Arial" w:hAnsi="Arial"/>
          <w:sz w:val="11"/>
          <w:szCs w:val="11"/>
          <w:color w:val="333333"/>
        </w:rPr>
        <w:t>Pursuant to their amended and restated employment agreements, if we terminate the employment of any of our NEOs without Cause or if such executive Resigns for Good Reason outside of a Change in Control Window, then, subject to them executing and not revoking a release of claims against us, such named executive will be eligible to receive:</w:t>
      </w:r>
    </w:p>
    <w:p>
      <w:pPr>
        <w:spacing w:after="0" w:line="75" w:lineRule="exact"/>
        <w:rPr>
          <w:rFonts w:ascii="Arial" w:cs="Arial" w:eastAsia="Arial" w:hAnsi="Arial"/>
          <w:sz w:val="11"/>
          <w:szCs w:val="11"/>
          <w:color w:val="333333"/>
        </w:rPr>
      </w:pPr>
    </w:p>
    <w:p>
      <w:pPr>
        <w:ind w:left="1740" w:right="240" w:hanging="353"/>
        <w:spacing w:after="0" w:line="238" w:lineRule="auto"/>
        <w:tabs>
          <w:tab w:leader="none" w:pos="1740" w:val="left"/>
        </w:tabs>
        <w:numPr>
          <w:ilvl w:val="1"/>
          <w:numId w:val="83"/>
        </w:numPr>
        <w:rPr>
          <w:rFonts w:ascii="Arial" w:cs="Arial" w:eastAsia="Arial" w:hAnsi="Arial"/>
          <w:sz w:val="11"/>
          <w:szCs w:val="11"/>
          <w:color w:val="333333"/>
        </w:rPr>
      </w:pPr>
      <w:r>
        <w:rPr>
          <w:rFonts w:ascii="Arial" w:cs="Arial" w:eastAsia="Arial" w:hAnsi="Arial"/>
          <w:sz w:val="11"/>
          <w:szCs w:val="11"/>
          <w:color w:val="333333"/>
        </w:rPr>
        <w:t>a lump sum cash payment equal to (i) one and one-half (1.5) times in the case of Mr. Massaro, (ii) one (1) times in the case of Messrs. Orgel and Pitigoi, and (iii) 0.75 times in the case of Messrs. Butterfield and King, in each case, multiplied by the sum of (1) his then current base salary and (2) his annual target bonus;</w:t>
      </w:r>
    </w:p>
    <w:p>
      <w:pPr>
        <w:spacing w:after="0" w:line="75" w:lineRule="exact"/>
        <w:rPr>
          <w:rFonts w:ascii="Arial" w:cs="Arial" w:eastAsia="Arial" w:hAnsi="Arial"/>
          <w:sz w:val="11"/>
          <w:szCs w:val="11"/>
          <w:color w:val="333333"/>
        </w:rPr>
      </w:pPr>
    </w:p>
    <w:p>
      <w:pPr>
        <w:ind w:left="1740" w:hanging="353"/>
        <w:spacing w:after="0"/>
        <w:tabs>
          <w:tab w:leader="none" w:pos="1740" w:val="left"/>
        </w:tabs>
        <w:numPr>
          <w:ilvl w:val="1"/>
          <w:numId w:val="83"/>
        </w:numPr>
        <w:rPr>
          <w:rFonts w:ascii="Arial" w:cs="Arial" w:eastAsia="Arial" w:hAnsi="Arial"/>
          <w:sz w:val="11"/>
          <w:szCs w:val="11"/>
          <w:color w:val="333333"/>
        </w:rPr>
      </w:pPr>
      <w:r>
        <w:rPr>
          <w:rFonts w:ascii="Arial" w:cs="Arial" w:eastAsia="Arial" w:hAnsi="Arial"/>
          <w:sz w:val="11"/>
          <w:szCs w:val="11"/>
          <w:color w:val="333333"/>
        </w:rPr>
        <w:t>a lump sum payment equal to his accrued and unpaid annual bonus if he or she is terminated after the end of a fiscal year, but prior to payment of such bonus;</w:t>
      </w:r>
    </w:p>
    <w:p>
      <w:pPr>
        <w:spacing w:after="0" w:line="87" w:lineRule="exact"/>
        <w:rPr>
          <w:rFonts w:ascii="Arial" w:cs="Arial" w:eastAsia="Arial" w:hAnsi="Arial"/>
          <w:sz w:val="11"/>
          <w:szCs w:val="11"/>
          <w:color w:val="333333"/>
        </w:rPr>
      </w:pPr>
    </w:p>
    <w:p>
      <w:pPr>
        <w:ind w:left="1740" w:right="20" w:hanging="353"/>
        <w:spacing w:after="0" w:line="238" w:lineRule="auto"/>
        <w:tabs>
          <w:tab w:leader="none" w:pos="1740" w:val="left"/>
        </w:tabs>
        <w:numPr>
          <w:ilvl w:val="1"/>
          <w:numId w:val="83"/>
        </w:numPr>
        <w:rPr>
          <w:rFonts w:ascii="Arial" w:cs="Arial" w:eastAsia="Arial" w:hAnsi="Arial"/>
          <w:sz w:val="11"/>
          <w:szCs w:val="11"/>
          <w:color w:val="333333"/>
        </w:rPr>
      </w:pPr>
      <w:r>
        <w:rPr>
          <w:rFonts w:ascii="Arial" w:cs="Arial" w:eastAsia="Arial" w:hAnsi="Arial"/>
          <w:sz w:val="11"/>
          <w:szCs w:val="11"/>
          <w:color w:val="333333"/>
        </w:rPr>
        <w:t>additional vesting with respect to any outstanding equity awards that are subject to time-based vesting for 18 months in the case of Mr. Massaro, twelve (12) months for Messrs. Orgel and Pitigoi and nine (9) months in the case of Messrs. Butterfield and King; and</w:t>
      </w:r>
    </w:p>
    <w:p>
      <w:pPr>
        <w:spacing w:after="0" w:line="75" w:lineRule="exact"/>
        <w:rPr>
          <w:rFonts w:ascii="Arial" w:cs="Arial" w:eastAsia="Arial" w:hAnsi="Arial"/>
          <w:sz w:val="11"/>
          <w:szCs w:val="11"/>
          <w:color w:val="333333"/>
        </w:rPr>
      </w:pPr>
    </w:p>
    <w:p>
      <w:pPr>
        <w:ind w:left="1740" w:right="40" w:hanging="353"/>
        <w:spacing w:after="0" w:line="238" w:lineRule="auto"/>
        <w:tabs>
          <w:tab w:leader="none" w:pos="1740" w:val="left"/>
        </w:tabs>
        <w:numPr>
          <w:ilvl w:val="1"/>
          <w:numId w:val="83"/>
        </w:numPr>
        <w:rPr>
          <w:rFonts w:ascii="Arial" w:cs="Arial" w:eastAsia="Arial" w:hAnsi="Arial"/>
          <w:sz w:val="11"/>
          <w:szCs w:val="11"/>
          <w:color w:val="333333"/>
        </w:rPr>
      </w:pPr>
      <w:r>
        <w:rPr>
          <w:rFonts w:ascii="Arial" w:cs="Arial" w:eastAsia="Arial" w:hAnsi="Arial"/>
          <w:sz w:val="11"/>
          <w:szCs w:val="11"/>
          <w:color w:val="333333"/>
        </w:rPr>
        <w:t>the payment of COBRA continuation premiums for up to eighteen (18) months in the case of Mr. Massaro, twelve (12) months for Messrs. Orgel and Pitigoi and nine (9) months in the case of Messrs. Butterfield and King.</w:t>
      </w:r>
    </w:p>
    <w:p>
      <w:pPr>
        <w:spacing w:after="0" w:line="87" w:lineRule="exact"/>
        <w:rPr>
          <w:sz w:val="20"/>
          <w:szCs w:val="20"/>
          <w:color w:val="auto"/>
        </w:rPr>
      </w:pPr>
    </w:p>
    <w:p>
      <w:pPr>
        <w:ind w:left="1400"/>
        <w:spacing w:after="0" w:line="219" w:lineRule="auto"/>
        <w:rPr>
          <w:sz w:val="20"/>
          <w:szCs w:val="20"/>
          <w:color w:val="auto"/>
        </w:rPr>
      </w:pPr>
      <w:r>
        <w:rPr>
          <w:rFonts w:ascii="Arial" w:cs="Arial" w:eastAsia="Arial" w:hAnsi="Arial"/>
          <w:sz w:val="11"/>
          <w:szCs w:val="11"/>
          <w:color w:val="333333"/>
        </w:rPr>
        <w:t>Cause is defined in the employment agreements as (i) a material failure by the executive to comply with our written policies or rules after being provided written notice and failing to remedy such failure within 30 days after such notice; (ii) the executive’s conviction of, or plea of guilty or no contest to, a crime involving moral turpitude, deceit, dishonesty or fraud that has caused harm to us or any affiliate of ours; (iii) the executive’s willful and continued failure to substantially perform (other than by reason of disability) his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the financial or business interests of Flywire by the executive, or his use or possession of illegal drugs in the workplace; (v) the material breach by the executive of any of his obligations under any agreement between him and us after being provided written notice and failing to remedy such failure within 30 days after such notice; or (vi) the executive’s failure to cooperate in good faith with a governmental or internal investigation of Flywire or its directors, officers or employees, if we have requested his cooperation. Notwithstanding the foregoing, no act, or failure to act, will be deemed willful or intentional if done or omitted to be done by the executive in good faith with a reasonable belief that his act, or failure to act, was in the best interest of Flywire.</w:t>
      </w:r>
    </w:p>
    <w:p>
      <w:pPr>
        <w:spacing w:after="0" w:line="99" w:lineRule="exact"/>
        <w:rPr>
          <w:sz w:val="20"/>
          <w:szCs w:val="20"/>
          <w:color w:val="auto"/>
        </w:rPr>
      </w:pPr>
    </w:p>
    <w:p>
      <w:pPr>
        <w:ind w:left="1400" w:right="20"/>
        <w:spacing w:after="0" w:line="220" w:lineRule="auto"/>
        <w:rPr>
          <w:sz w:val="20"/>
          <w:szCs w:val="20"/>
          <w:color w:val="auto"/>
        </w:rPr>
      </w:pPr>
      <w:r>
        <w:rPr>
          <w:rFonts w:ascii="Arial" w:cs="Arial" w:eastAsia="Arial" w:hAnsi="Arial"/>
          <w:sz w:val="11"/>
          <w:szCs w:val="11"/>
          <w:color w:val="333333"/>
        </w:rPr>
        <w:t>Resign for Good Reason is defined in the employment agreement as a separation as a result of the executive resigning within 12 months after one of the following conditions has come into existence without his written consent: (i) a material diminution in the executive’s compensation (consisting of base salary, target bonus opportunity and target annual equity value and excluding any special, one-time, new hire, promotion or other exceptional equity awards) (except for across-the-board reductions, outside of a Change in Control Window, affecting our similarly situated employees generally); (ii) a material diminution in the executive’s title, duties, authority and responsibilities within Flywire; (iii) the relocation of the executive’s principal workplace by more than 50 miles away from the location which he was working immediately prior to the required relocation without his prior consent; or (iv) a material breach of our obligation under any agreement between us and the executive. A Resignation for Good Reason shall not be deemed to have occurred unless the executive gives our written notice of the condition within 60 days after the condition comes into existence and we fail to remedy the condition within 30 days after receiving his written notice.</w:t>
      </w:r>
    </w:p>
    <w:p>
      <w:pPr>
        <w:spacing w:after="0" w:line="79" w:lineRule="exact"/>
        <w:rPr>
          <w:sz w:val="20"/>
          <w:szCs w:val="20"/>
          <w:color w:val="auto"/>
        </w:rPr>
      </w:pPr>
    </w:p>
    <w:p>
      <w:pPr>
        <w:ind w:left="1380" w:hanging="353"/>
        <w:spacing w:after="0"/>
        <w:tabs>
          <w:tab w:leader="none" w:pos="1380" w:val="left"/>
        </w:tabs>
        <w:numPr>
          <w:ilvl w:val="0"/>
          <w:numId w:val="84"/>
        </w:numPr>
        <w:rPr>
          <w:rFonts w:ascii="Arial" w:cs="Arial" w:eastAsia="Arial" w:hAnsi="Arial"/>
          <w:sz w:val="11"/>
          <w:szCs w:val="11"/>
          <w:color w:val="333333"/>
        </w:rPr>
      </w:pPr>
      <w:r>
        <w:rPr>
          <w:rFonts w:ascii="Arial" w:cs="Arial" w:eastAsia="Arial" w:hAnsi="Arial"/>
          <w:sz w:val="11"/>
          <w:szCs w:val="11"/>
          <w:color w:val="333333"/>
        </w:rPr>
        <w:t>For purposes of valuing cash severance payments in the table above, we used each NEO’s base salary and target bonus as of December 31, 2025.</w:t>
      </w:r>
    </w:p>
    <w:p>
      <w:pPr>
        <w:spacing w:after="0" w:line="87" w:lineRule="exact"/>
        <w:rPr>
          <w:rFonts w:ascii="Arial" w:cs="Arial" w:eastAsia="Arial" w:hAnsi="Arial"/>
          <w:sz w:val="11"/>
          <w:szCs w:val="11"/>
          <w:color w:val="333333"/>
        </w:rPr>
      </w:pPr>
    </w:p>
    <w:p>
      <w:pPr>
        <w:ind w:left="1380" w:right="20" w:hanging="353"/>
        <w:spacing w:after="0" w:line="238" w:lineRule="auto"/>
        <w:tabs>
          <w:tab w:leader="none" w:pos="1380" w:val="left"/>
        </w:tabs>
        <w:numPr>
          <w:ilvl w:val="0"/>
          <w:numId w:val="84"/>
        </w:numPr>
        <w:rPr>
          <w:rFonts w:ascii="Arial" w:cs="Arial" w:eastAsia="Arial" w:hAnsi="Arial"/>
          <w:sz w:val="11"/>
          <w:szCs w:val="11"/>
          <w:color w:val="333333"/>
        </w:rPr>
      </w:pPr>
      <w:r>
        <w:rPr>
          <w:rFonts w:ascii="Arial" w:cs="Arial" w:eastAsia="Arial" w:hAnsi="Arial"/>
          <w:sz w:val="11"/>
          <w:szCs w:val="11"/>
          <w:color w:val="333333"/>
        </w:rPr>
        <w:t>The value realized on the acceleration of options is based on the difference between the closing market price per share of our common stock on December 31, 2025 and the exercise price of the related stock option, multiplied by the number of shares for which the options were exercised.</w:t>
      </w:r>
    </w:p>
    <w:p>
      <w:pPr>
        <w:spacing w:after="0" w:line="75" w:lineRule="exact"/>
        <w:rPr>
          <w:rFonts w:ascii="Arial" w:cs="Arial" w:eastAsia="Arial" w:hAnsi="Arial"/>
          <w:sz w:val="11"/>
          <w:szCs w:val="11"/>
          <w:color w:val="333333"/>
        </w:rPr>
      </w:pPr>
    </w:p>
    <w:p>
      <w:pPr>
        <w:ind w:left="1380" w:hanging="353"/>
        <w:spacing w:after="0"/>
        <w:tabs>
          <w:tab w:leader="none" w:pos="1380" w:val="left"/>
        </w:tabs>
        <w:numPr>
          <w:ilvl w:val="0"/>
          <w:numId w:val="84"/>
        </w:numPr>
        <w:rPr>
          <w:rFonts w:ascii="Arial" w:cs="Arial" w:eastAsia="Arial" w:hAnsi="Arial"/>
          <w:sz w:val="11"/>
          <w:szCs w:val="11"/>
          <w:color w:val="333333"/>
        </w:rPr>
      </w:pPr>
      <w:r>
        <w:rPr>
          <w:rFonts w:ascii="Arial" w:cs="Arial" w:eastAsia="Arial" w:hAnsi="Arial"/>
          <w:sz w:val="11"/>
          <w:szCs w:val="11"/>
          <w:color w:val="333333"/>
        </w:rPr>
        <w:t>The value realized on the acceleration of restricted stock units is based on the closing market price per share of our common stock on December 31, 2025.</w:t>
      </w:r>
    </w:p>
    <w:p>
      <w:pPr>
        <w:spacing w:after="0" w:line="13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PAY RATIO DISCLOSURE</w:t>
      </w:r>
    </w:p>
    <w:p>
      <w:pPr>
        <w:spacing w:after="0" w:line="155" w:lineRule="exact"/>
        <w:rPr>
          <w:sz w:val="20"/>
          <w:szCs w:val="20"/>
          <w:color w:val="auto"/>
        </w:rPr>
      </w:pPr>
    </w:p>
    <w:p>
      <w:pPr>
        <w:ind w:left="1020" w:right="560"/>
        <w:spacing w:after="0" w:line="258" w:lineRule="auto"/>
        <w:rPr>
          <w:sz w:val="20"/>
          <w:szCs w:val="20"/>
          <w:color w:val="auto"/>
        </w:rPr>
      </w:pPr>
      <w:r>
        <w:rPr>
          <w:rFonts w:ascii="Arial" w:cs="Arial" w:eastAsia="Arial" w:hAnsi="Arial"/>
          <w:sz w:val="14"/>
          <w:szCs w:val="14"/>
          <w:color w:val="auto"/>
        </w:rPr>
        <w:t>As required by the Dodd-Frank Act and applicable SEC rules, we are providing the following information about the relationship of the annual total compensation of our employees and the annual total compensation of Michael Massaro, our Chief Executive Officer.</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For our Fiscal 2025:</w:t>
      </w:r>
    </w:p>
    <w:p>
      <w:pPr>
        <w:spacing w:after="0" w:line="177" w:lineRule="exact"/>
        <w:rPr>
          <w:sz w:val="20"/>
          <w:szCs w:val="20"/>
          <w:color w:val="auto"/>
        </w:rPr>
      </w:pPr>
    </w:p>
    <w:p>
      <w:pPr>
        <w:ind w:left="1740" w:hanging="353"/>
        <w:spacing w:after="0"/>
        <w:tabs>
          <w:tab w:leader="none" w:pos="17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median of the annual total compensation of all employees (other than our Chief Executive Officer) was $130,407; and</w:t>
      </w:r>
    </w:p>
    <w:p>
      <w:pPr>
        <w:spacing w:after="0" w:line="177" w:lineRule="exact"/>
        <w:rPr>
          <w:rFonts w:ascii="Arial" w:cs="Arial" w:eastAsia="Arial" w:hAnsi="Arial"/>
          <w:sz w:val="14"/>
          <w:szCs w:val="14"/>
          <w:color w:val="auto"/>
        </w:rPr>
      </w:pPr>
    </w:p>
    <w:p>
      <w:pPr>
        <w:ind w:left="1740" w:right="140" w:hanging="353"/>
        <w:spacing w:after="0" w:line="258" w:lineRule="auto"/>
        <w:tabs>
          <w:tab w:leader="none" w:pos="17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annual total compensation of our Chief Executive Officer, as reported in the 2025 Summary Compensation Table included elsewhere in this Proxy Statement, was $8,803,495.</w:t>
      </w:r>
    </w:p>
    <w:p>
      <w:pPr>
        <w:spacing w:after="0" w:line="116" w:lineRule="exact"/>
        <w:rPr>
          <w:sz w:val="20"/>
          <w:szCs w:val="20"/>
          <w:color w:val="auto"/>
        </w:rPr>
      </w:pPr>
    </w:p>
    <w:p>
      <w:pPr>
        <w:ind w:left="1020" w:right="120"/>
        <w:spacing w:after="0" w:line="258" w:lineRule="auto"/>
        <w:rPr>
          <w:sz w:val="20"/>
          <w:szCs w:val="20"/>
          <w:color w:val="auto"/>
        </w:rPr>
      </w:pPr>
      <w:r>
        <w:rPr>
          <w:rFonts w:ascii="Arial" w:cs="Arial" w:eastAsia="Arial" w:hAnsi="Arial"/>
          <w:sz w:val="14"/>
          <w:szCs w:val="14"/>
          <w:color w:val="auto"/>
        </w:rPr>
        <w:t>Based on this information the ratio of the annual total compensation of our Chief Executive Officer to the median of the annual total compensation of our employees was 68 to 1.</w:t>
      </w:r>
    </w:p>
    <w:p>
      <w:pPr>
        <w:spacing w:after="0" w:line="116" w:lineRule="exact"/>
        <w:rPr>
          <w:sz w:val="20"/>
          <w:szCs w:val="20"/>
          <w:color w:val="auto"/>
        </w:rPr>
      </w:pPr>
    </w:p>
    <w:p>
      <w:pPr>
        <w:ind w:left="1020" w:right="60"/>
        <w:spacing w:after="0" w:line="242" w:lineRule="auto"/>
        <w:rPr>
          <w:sz w:val="20"/>
          <w:szCs w:val="20"/>
          <w:color w:val="auto"/>
        </w:rPr>
      </w:pPr>
      <w:r>
        <w:rPr>
          <w:rFonts w:ascii="Arial" w:cs="Arial" w:eastAsia="Arial" w:hAnsi="Arial"/>
          <w:sz w:val="14"/>
          <w:szCs w:val="14"/>
          <w:color w:val="auto"/>
        </w:rPr>
        <w:t>The above ratio is appropriately viewed as an estimate. For Fiscal 2025, we used the same median employee identified for Fiscal 2024, as we concluded there have been no significant changes in our employee population or employee compensation arrangements as compared to Fiscal 2024 that would result in significant change to our pay ratio disclosure. The median employee remains actively employed with Flywire in the same role with no material change in compensation circumstances.</w:t>
      </w:r>
    </w:p>
    <w:p>
      <w:pPr>
        <w:spacing w:after="0" w:line="139" w:lineRule="exact"/>
        <w:rPr>
          <w:sz w:val="20"/>
          <w:szCs w:val="20"/>
          <w:color w:val="auto"/>
        </w:rPr>
      </w:pPr>
    </w:p>
    <w:p>
      <w:pPr>
        <w:ind w:left="1020" w:right="20"/>
        <w:spacing w:after="0" w:line="242" w:lineRule="auto"/>
        <w:rPr>
          <w:sz w:val="20"/>
          <w:szCs w:val="20"/>
          <w:color w:val="auto"/>
        </w:rPr>
      </w:pPr>
      <w:r>
        <w:rPr>
          <w:rFonts w:ascii="Arial" w:cs="Arial" w:eastAsia="Arial" w:hAnsi="Arial"/>
          <w:sz w:val="14"/>
          <w:szCs w:val="14"/>
          <w:color w:val="auto"/>
        </w:rPr>
        <w:t>To identify our median employee in Fiscal 2024, we reviewed the Total Cash Compensation (Annual Base Salary + Target Annual Bonus or Target Annual Variable) on an annualized basis for all employees globally as of December 31, 2024, excluding our Chief Executive Officer. For employees paid other than in U.S. dollars, we converted their compensation to U.S. dollars using a constant foreign exchange rate for the fiscal year. Out of approximately 1,199 employees, approximately 761 of our employees</w:t>
      </w:r>
    </w:p>
    <w:p>
      <w:pPr>
        <w:spacing w:after="0" w:line="101"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43 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right="40"/>
        <w:spacing w:after="0" w:line="341" w:lineRule="auto"/>
        <w:rPr>
          <w:sz w:val="20"/>
          <w:szCs w:val="20"/>
          <w:color w:val="auto"/>
        </w:rPr>
      </w:pPr>
      <w:r>
        <w:rPr>
          <w:rFonts w:ascii="Arial" w:cs="Arial" w:eastAsia="Arial" w:hAnsi="Arial"/>
          <w:sz w:val="12"/>
          <w:szCs w:val="12"/>
          <w:color w:val="auto"/>
        </w:rPr>
        <w:t>are located outside of the U.S. Once we identified our median employee, using the methodology described above, we determined that employee’s annual total compensation in accordance with the requirements of Item 402(c)(2)(x) of Regulation S-K for the purpose of calculating the required pay ratio.</w:t>
      </w:r>
    </w:p>
    <w:p>
      <w:pPr>
        <w:spacing w:after="0" w:line="70" w:lineRule="exact"/>
        <w:rPr>
          <w:sz w:val="20"/>
          <w:szCs w:val="20"/>
          <w:color w:val="auto"/>
        </w:rPr>
      </w:pPr>
    </w:p>
    <w:p>
      <w:pPr>
        <w:ind w:left="1020" w:right="560"/>
        <w:spacing w:after="0" w:line="258" w:lineRule="auto"/>
        <w:rPr>
          <w:sz w:val="20"/>
          <w:szCs w:val="20"/>
          <w:color w:val="auto"/>
        </w:rPr>
      </w:pPr>
      <w:r>
        <w:rPr>
          <w:rFonts w:ascii="Arial" w:cs="Arial" w:eastAsia="Arial" w:hAnsi="Arial"/>
          <w:sz w:val="14"/>
          <w:szCs w:val="14"/>
          <w:color w:val="auto"/>
        </w:rPr>
        <w:t>As required by the Dodd-Frank Act and applicable SEC rules, we are providing the following information about the relationship of the annual total compensation of our employees and the annual total compensation of Michael Massaro, our Chief Executive Officer.</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DETERMINATION REGARDING ABSENCE OF ERRONEOUSLY AWARDED COMPENSATION</w:t>
      </w:r>
    </w:p>
    <w:p>
      <w:pPr>
        <w:spacing w:after="0" w:line="155" w:lineRule="exact"/>
        <w:rPr>
          <w:sz w:val="20"/>
          <w:szCs w:val="20"/>
          <w:color w:val="auto"/>
        </w:rPr>
      </w:pPr>
    </w:p>
    <w:p>
      <w:pPr>
        <w:ind w:left="1020" w:right="100"/>
        <w:spacing w:after="0" w:line="242" w:lineRule="auto"/>
        <w:rPr>
          <w:sz w:val="20"/>
          <w:szCs w:val="20"/>
          <w:color w:val="auto"/>
        </w:rPr>
      </w:pPr>
      <w:r>
        <w:rPr>
          <w:rFonts w:ascii="Arial" w:cs="Arial" w:eastAsia="Arial" w:hAnsi="Arial"/>
          <w:sz w:val="14"/>
          <w:szCs w:val="14"/>
          <w:color w:val="auto"/>
        </w:rPr>
        <w:t>Under Flywire Corporation’s Policy for Recovery of Erroneously Awarded Compensation (the Clawback Policy), if the Company is required to prepare an accounting restatement that constitutes a “Restatement” (as defined in the Clawback Policy), the Company must promptly recover any incentive-based compensation received by current or former executive officers that exceeds the amount that would have been received had such compensation been determined based on the restated financial reporting measure.</w:t>
      </w:r>
    </w:p>
    <w:p>
      <w:pPr>
        <w:spacing w:after="0" w:line="128" w:lineRule="exact"/>
        <w:rPr>
          <w:sz w:val="20"/>
          <w:szCs w:val="20"/>
          <w:color w:val="auto"/>
        </w:rPr>
      </w:pPr>
    </w:p>
    <w:p>
      <w:pPr>
        <w:ind w:left="1020"/>
        <w:spacing w:after="0" w:line="238" w:lineRule="auto"/>
        <w:rPr>
          <w:sz w:val="20"/>
          <w:szCs w:val="20"/>
          <w:color w:val="auto"/>
        </w:rPr>
      </w:pPr>
      <w:r>
        <w:rPr>
          <w:rFonts w:ascii="Arial" w:cs="Arial" w:eastAsia="Arial" w:hAnsi="Arial"/>
          <w:sz w:val="14"/>
          <w:szCs w:val="14"/>
          <w:color w:val="auto"/>
        </w:rPr>
        <w:t>As disclosed in the Company’s Quarterly Report on Form 10-Q for the quarterly period ended September 30, 2025 (the Third Quarter 2025 Form 10-Q) and its 2025 Annual Report, the Company identified classification errors in its consolidated statements of cash flows for the years ended December 31, 2024 and 2023. Specifically, the Company’s historical classification of the effects of exchange rate changes on the Company’s foreign denominated cash and cash equivalent balances was misclassified between the effects of exchange rate changes on cash and cash equivalents and cash flows from operating activities in its consolidated statements of cash flows for the years ended December 31, 2024 and 2023. In connection with this Restatement, the People &amp; Compensation Committee, with the assistance of management, evaluated the forms of incentive-based compensation received by executive officers during the applicable recovery period and assessed whether the affected financial reporting measures had any impact on the amount of such compensation that was earned, vested or paid.</w:t>
      </w:r>
    </w:p>
    <w:p>
      <w:pPr>
        <w:spacing w:after="0" w:line="131" w:lineRule="exact"/>
        <w:rPr>
          <w:sz w:val="20"/>
          <w:szCs w:val="20"/>
          <w:color w:val="auto"/>
        </w:rPr>
      </w:pPr>
    </w:p>
    <w:p>
      <w:pPr>
        <w:ind w:left="1020" w:right="60"/>
        <w:spacing w:after="0" w:line="296" w:lineRule="auto"/>
        <w:rPr>
          <w:sz w:val="20"/>
          <w:szCs w:val="20"/>
          <w:color w:val="auto"/>
        </w:rPr>
      </w:pPr>
      <w:r>
        <w:rPr>
          <w:rFonts w:ascii="Arial" w:cs="Arial" w:eastAsia="Arial" w:hAnsi="Arial"/>
          <w:sz w:val="12"/>
          <w:szCs w:val="12"/>
          <w:color w:val="auto"/>
        </w:rPr>
        <w:t>Based on this review, the People &amp; Compensation Committee determined that the Restatement did not result in any executive officer receiving incentive-based compensation in excess of the amount that would have been received if the applicable financial reporting measures had been correctly classified in the first instance. Accordingly, the People &amp; Compensation Committee concluded that there was no “erroneously awarded compensation” for purposes of Rule 10D-1 under the Exchange Act and the Clawback Policy, and no recovery from any current or former executive officer was required.</w:t>
      </w:r>
    </w:p>
    <w:p>
      <w:pPr>
        <w:spacing w:after="0" w:line="7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44 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2393FF"/>
        </w:rPr>
        <w:t>PAY VERSUS PERFORMANCE</w:t>
      </w:r>
    </w:p>
    <w:p>
      <w:pPr>
        <w:spacing w:after="0" w:line="145" w:lineRule="exact"/>
        <w:rPr>
          <w:sz w:val="20"/>
          <w:szCs w:val="20"/>
          <w:color w:val="auto"/>
        </w:rPr>
      </w:pPr>
    </w:p>
    <w:p>
      <w:pPr>
        <w:ind w:left="1020" w:right="180"/>
        <w:spacing w:after="0" w:line="307" w:lineRule="auto"/>
        <w:rPr>
          <w:sz w:val="20"/>
          <w:szCs w:val="20"/>
          <w:color w:val="auto"/>
        </w:rPr>
      </w:pPr>
      <w:r>
        <w:rPr>
          <w:rFonts w:ascii="Arial" w:cs="Arial" w:eastAsia="Arial" w:hAnsi="Arial"/>
          <w:sz w:val="12"/>
          <w:szCs w:val="12"/>
          <w:color w:val="auto"/>
        </w:rPr>
        <w:t>As required by applicable SEC rules, we are providing the following information about the relationship of compensation actually paid to our principal executive officer (PEO) and other NEOs and certain of our peers’ performance. For further information concerning our pay for performance philosophy and how our executive compensation aligns with our performance, refer to “Executive Compensation – Compensation Discussion and Analysis” above.</w:t>
      </w:r>
    </w:p>
    <w:p>
      <w:pPr>
        <w:spacing w:after="0" w:line="9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PAY VERSUS PERFORMANCE TABLE</w:t>
      </w:r>
    </w:p>
    <w:p>
      <w:pPr>
        <w:spacing w:after="0" w:line="15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80" w:type="dxa"/>
            <w:vAlign w:val="bottom"/>
            <w:gridSpan w:val="2"/>
          </w:tcPr>
          <w:p>
            <w:pPr>
              <w:jc w:val="right"/>
              <w:ind w:right="244"/>
              <w:spacing w:after="0"/>
              <w:rPr>
                <w:sz w:val="20"/>
                <w:szCs w:val="20"/>
                <w:color w:val="auto"/>
              </w:rPr>
            </w:pPr>
            <w:r>
              <w:rPr>
                <w:rFonts w:ascii="Arial" w:cs="Arial" w:eastAsia="Arial" w:hAnsi="Arial"/>
                <w:sz w:val="11"/>
                <w:szCs w:val="11"/>
                <w:b w:val="1"/>
                <w:bCs w:val="1"/>
                <w:color w:val="auto"/>
              </w:rPr>
              <w:t>VALUE OF INITIAL FIXED $100</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vMerge w:val="restart"/>
          </w:tcPr>
          <w:p>
            <w:pPr>
              <w:jc w:val="right"/>
              <w:ind w:right="65"/>
              <w:spacing w:after="0"/>
              <w:rPr>
                <w:sz w:val="20"/>
                <w:szCs w:val="20"/>
                <w:color w:val="auto"/>
              </w:rPr>
            </w:pPr>
            <w:r>
              <w:rPr>
                <w:rFonts w:ascii="Arial" w:cs="Arial" w:eastAsia="Arial" w:hAnsi="Arial"/>
                <w:sz w:val="11"/>
                <w:szCs w:val="11"/>
                <w:b w:val="1"/>
                <w:bCs w:val="1"/>
                <w:color w:val="auto"/>
              </w:rPr>
              <w:t>AVERAGE</w:t>
            </w:r>
          </w:p>
        </w:tc>
        <w:tc>
          <w:tcPr>
            <w:tcW w:w="1100" w:type="dxa"/>
            <w:vAlign w:val="bottom"/>
          </w:tcPr>
          <w:p>
            <w:pPr>
              <w:spacing w:after="0"/>
              <w:rPr>
                <w:sz w:val="12"/>
                <w:szCs w:val="12"/>
                <w:color w:val="auto"/>
              </w:rPr>
            </w:pPr>
          </w:p>
        </w:tc>
        <w:tc>
          <w:tcPr>
            <w:tcW w:w="2080" w:type="dxa"/>
            <w:vAlign w:val="bottom"/>
            <w:gridSpan w:val="2"/>
          </w:tcPr>
          <w:p>
            <w:pPr>
              <w:jc w:val="right"/>
              <w:ind w:right="364"/>
              <w:spacing w:after="0"/>
              <w:rPr>
                <w:sz w:val="20"/>
                <w:szCs w:val="20"/>
                <w:color w:val="auto"/>
              </w:rPr>
            </w:pPr>
            <w:r>
              <w:rPr>
                <w:rFonts w:ascii="Arial" w:cs="Arial" w:eastAsia="Arial" w:hAnsi="Arial"/>
                <w:sz w:val="11"/>
                <w:szCs w:val="11"/>
                <w:b w:val="1"/>
                <w:bCs w:val="1"/>
                <w:color w:val="auto"/>
              </w:rPr>
              <w:t>INVESTMENT BASED ON:</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Borders>
              <w:bottom w:val="single" w:sz="8" w:color="2393FF"/>
            </w:tcBorders>
          </w:tcPr>
          <w:p>
            <w:pPr>
              <w:spacing w:after="0"/>
              <w:rPr>
                <w:sz w:val="6"/>
                <w:szCs w:val="6"/>
                <w:color w:val="auto"/>
              </w:rPr>
            </w:pPr>
          </w:p>
        </w:tc>
        <w:tc>
          <w:tcPr>
            <w:tcW w:w="1060" w:type="dxa"/>
            <w:vAlign w:val="bottom"/>
            <w:tcBorders>
              <w:bottom w:val="single" w:sz="8" w:color="2393FF"/>
            </w:tcBorders>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jc w:val="right"/>
              <w:ind w:right="65"/>
              <w:spacing w:after="0" w:line="87" w:lineRule="exact"/>
              <w:rPr>
                <w:sz w:val="20"/>
                <w:szCs w:val="20"/>
                <w:color w:val="auto"/>
              </w:rPr>
            </w:pPr>
            <w:r>
              <w:rPr>
                <w:rFonts w:ascii="Arial" w:cs="Arial" w:eastAsia="Arial" w:hAnsi="Arial"/>
                <w:sz w:val="9"/>
                <w:szCs w:val="9"/>
                <w:b w:val="1"/>
                <w:bCs w:val="1"/>
                <w:color w:val="auto"/>
              </w:rPr>
              <w:t>SUMMARY</w:t>
            </w:r>
          </w:p>
        </w:tc>
        <w:tc>
          <w:tcPr>
            <w:tcW w:w="1100" w:type="dxa"/>
            <w:vAlign w:val="bottom"/>
          </w:tcPr>
          <w:p>
            <w:pPr>
              <w:jc w:val="right"/>
              <w:ind w:right="85"/>
              <w:spacing w:after="0" w:line="87" w:lineRule="exact"/>
              <w:rPr>
                <w:sz w:val="20"/>
                <w:szCs w:val="20"/>
                <w:color w:val="auto"/>
              </w:rPr>
            </w:pPr>
            <w:r>
              <w:rPr>
                <w:rFonts w:ascii="Arial" w:cs="Arial" w:eastAsia="Arial" w:hAnsi="Arial"/>
                <w:sz w:val="9"/>
                <w:szCs w:val="9"/>
                <w:b w:val="1"/>
                <w:bCs w:val="1"/>
                <w:color w:val="auto"/>
              </w:rPr>
              <w:t>AVERAGE</w:t>
            </w:r>
          </w:p>
        </w:tc>
        <w:tc>
          <w:tcPr>
            <w:tcW w:w="1020" w:type="dxa"/>
            <w:vAlign w:val="bottom"/>
          </w:tcPr>
          <w:p>
            <w:pPr>
              <w:spacing w:after="0"/>
              <w:rPr>
                <w:sz w:val="7"/>
                <w:szCs w:val="7"/>
                <w:color w:val="auto"/>
              </w:rPr>
            </w:pPr>
          </w:p>
        </w:tc>
        <w:tc>
          <w:tcPr>
            <w:tcW w:w="1060" w:type="dxa"/>
            <w:vAlign w:val="bottom"/>
            <w:vMerge w:val="restart"/>
          </w:tcPr>
          <w:p>
            <w:pPr>
              <w:jc w:val="right"/>
              <w:ind w:right="84"/>
              <w:spacing w:after="0"/>
              <w:rPr>
                <w:sz w:val="20"/>
                <w:szCs w:val="20"/>
                <w:color w:val="auto"/>
              </w:rPr>
            </w:pPr>
            <w:r>
              <w:rPr>
                <w:rFonts w:ascii="Arial" w:cs="Arial" w:eastAsia="Arial" w:hAnsi="Arial"/>
                <w:sz w:val="11"/>
                <w:szCs w:val="11"/>
                <w:b w:val="1"/>
                <w:bCs w:val="1"/>
                <w:color w:val="auto"/>
              </w:rPr>
              <w:t>PEER</w:t>
            </w:r>
          </w:p>
        </w:tc>
        <w:tc>
          <w:tcPr>
            <w:tcW w:w="860" w:type="dxa"/>
            <w:vAlign w:val="bottom"/>
          </w:tcPr>
          <w:p>
            <w:pPr>
              <w:spacing w:after="0"/>
              <w:rPr>
                <w:sz w:val="7"/>
                <w:szCs w:val="7"/>
                <w:color w:val="auto"/>
              </w:rPr>
            </w:pPr>
          </w:p>
        </w:tc>
        <w:tc>
          <w:tcPr>
            <w:tcW w:w="840" w:type="dxa"/>
            <w:vAlign w:val="bottom"/>
          </w:tcPr>
          <w:p>
            <w:pPr>
              <w:jc w:val="right"/>
              <w:ind w:right="85"/>
              <w:spacing w:after="0" w:line="87" w:lineRule="exact"/>
              <w:rPr>
                <w:sz w:val="20"/>
                <w:szCs w:val="20"/>
                <w:color w:val="auto"/>
              </w:rPr>
            </w:pPr>
            <w:r>
              <w:rPr>
                <w:rFonts w:ascii="Arial" w:cs="Arial" w:eastAsia="Arial" w:hAnsi="Arial"/>
                <w:sz w:val="9"/>
                <w:szCs w:val="9"/>
                <w:b w:val="1"/>
                <w:bCs w:val="1"/>
                <w:color w:val="auto"/>
              </w:rPr>
              <w:t>REVENUE</w:t>
            </w:r>
          </w:p>
        </w:tc>
        <w:tc>
          <w:tcPr>
            <w:tcW w:w="0" w:type="dxa"/>
            <w:vAlign w:val="bottom"/>
          </w:tcPr>
          <w:p>
            <w:pPr>
              <w:spacing w:after="0"/>
              <w:rPr>
                <w:sz w:val="1"/>
                <w:szCs w:val="1"/>
                <w:color w:val="auto"/>
              </w:rPr>
            </w:pPr>
          </w:p>
        </w:tc>
      </w:tr>
      <w:tr>
        <w:trPr>
          <w:trHeight w:val="113"/>
        </w:trPr>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jc w:val="right"/>
              <w:ind w:right="65"/>
              <w:spacing w:after="0" w:line="113" w:lineRule="exact"/>
              <w:rPr>
                <w:sz w:val="20"/>
                <w:szCs w:val="20"/>
                <w:color w:val="auto"/>
              </w:rPr>
            </w:pPr>
            <w:r>
              <w:rPr>
                <w:rFonts w:ascii="Arial" w:cs="Arial" w:eastAsia="Arial" w:hAnsi="Arial"/>
                <w:sz w:val="11"/>
                <w:szCs w:val="11"/>
                <w:b w:val="1"/>
                <w:bCs w:val="1"/>
                <w:color w:val="auto"/>
              </w:rPr>
              <w:t>COMPENSATION</w:t>
            </w:r>
          </w:p>
        </w:tc>
        <w:tc>
          <w:tcPr>
            <w:tcW w:w="110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COMPENSATION</w:t>
            </w:r>
          </w:p>
        </w:tc>
        <w:tc>
          <w:tcPr>
            <w:tcW w:w="10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LESS</w:t>
            </w:r>
          </w:p>
        </w:tc>
        <w:tc>
          <w:tcPr>
            <w:tcW w:w="0" w:type="dxa"/>
            <w:vAlign w:val="bottom"/>
          </w:tcPr>
          <w:p>
            <w:pPr>
              <w:spacing w:after="0"/>
              <w:rPr>
                <w:sz w:val="1"/>
                <w:szCs w:val="1"/>
                <w:color w:val="auto"/>
              </w:rPr>
            </w:pPr>
          </w:p>
        </w:tc>
      </w:tr>
      <w:tr>
        <w:trPr>
          <w:trHeight w:val="116"/>
        </w:trPr>
        <w:tc>
          <w:tcPr>
            <w:tcW w:w="1140" w:type="dxa"/>
            <w:vAlign w:val="bottom"/>
          </w:tcPr>
          <w:p>
            <w:pPr>
              <w:spacing w:after="0"/>
              <w:rPr>
                <w:sz w:val="10"/>
                <w:szCs w:val="10"/>
                <w:color w:val="auto"/>
              </w:rPr>
            </w:pPr>
          </w:p>
        </w:tc>
        <w:tc>
          <w:tcPr>
            <w:tcW w:w="1040" w:type="dxa"/>
            <w:vAlign w:val="bottom"/>
          </w:tcPr>
          <w:p>
            <w:pPr>
              <w:jc w:val="right"/>
              <w:ind w:right="64"/>
              <w:spacing w:after="0" w:line="116" w:lineRule="exact"/>
              <w:rPr>
                <w:sz w:val="20"/>
                <w:szCs w:val="20"/>
                <w:color w:val="auto"/>
              </w:rPr>
            </w:pPr>
            <w:r>
              <w:rPr>
                <w:rFonts w:ascii="Arial" w:cs="Arial" w:eastAsia="Arial" w:hAnsi="Arial"/>
                <w:sz w:val="11"/>
                <w:szCs w:val="11"/>
                <w:b w:val="1"/>
                <w:bCs w:val="1"/>
                <w:color w:val="auto"/>
              </w:rPr>
              <w:t>SUMMARY</w:t>
            </w:r>
          </w:p>
        </w:tc>
        <w:tc>
          <w:tcPr>
            <w:tcW w:w="108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COMPENSATION</w:t>
            </w:r>
          </w:p>
        </w:tc>
        <w:tc>
          <w:tcPr>
            <w:tcW w:w="1060" w:type="dxa"/>
            <w:vAlign w:val="bottom"/>
          </w:tcPr>
          <w:p>
            <w:pPr>
              <w:jc w:val="right"/>
              <w:ind w:right="65"/>
              <w:spacing w:after="0" w:line="116" w:lineRule="exact"/>
              <w:rPr>
                <w:sz w:val="20"/>
                <w:szCs w:val="20"/>
                <w:color w:val="auto"/>
              </w:rPr>
            </w:pPr>
            <w:r>
              <w:rPr>
                <w:rFonts w:ascii="Arial" w:cs="Arial" w:eastAsia="Arial" w:hAnsi="Arial"/>
                <w:sz w:val="11"/>
                <w:szCs w:val="11"/>
                <w:b w:val="1"/>
                <w:bCs w:val="1"/>
                <w:color w:val="auto"/>
              </w:rPr>
              <w:t>TABLE</w:t>
            </w:r>
          </w:p>
        </w:tc>
        <w:tc>
          <w:tcPr>
            <w:tcW w:w="1100" w:type="dxa"/>
            <w:vAlign w:val="bottom"/>
          </w:tcPr>
          <w:p>
            <w:pPr>
              <w:jc w:val="right"/>
              <w:ind w:right="85"/>
              <w:spacing w:after="0" w:line="116" w:lineRule="exact"/>
              <w:rPr>
                <w:sz w:val="20"/>
                <w:szCs w:val="20"/>
                <w:color w:val="auto"/>
              </w:rPr>
            </w:pPr>
            <w:r>
              <w:rPr>
                <w:rFonts w:ascii="Arial" w:cs="Arial" w:eastAsia="Arial" w:hAnsi="Arial"/>
                <w:sz w:val="11"/>
                <w:szCs w:val="11"/>
                <w:b w:val="1"/>
                <w:bCs w:val="1"/>
                <w:color w:val="auto"/>
              </w:rPr>
              <w:t>ACTUALLY</w:t>
            </w:r>
          </w:p>
        </w:tc>
        <w:tc>
          <w:tcPr>
            <w:tcW w:w="1020" w:type="dxa"/>
            <w:vAlign w:val="bottom"/>
            <w:vMerge w:val="restart"/>
          </w:tcPr>
          <w:p>
            <w:pPr>
              <w:jc w:val="right"/>
              <w:ind w:right="64"/>
              <w:spacing w:after="0"/>
              <w:rPr>
                <w:sz w:val="20"/>
                <w:szCs w:val="20"/>
                <w:color w:val="auto"/>
              </w:rPr>
            </w:pPr>
            <w:r>
              <w:rPr>
                <w:rFonts w:ascii="Arial" w:cs="Arial" w:eastAsia="Arial" w:hAnsi="Arial"/>
                <w:sz w:val="11"/>
                <w:szCs w:val="11"/>
                <w:b w:val="1"/>
                <w:bCs w:val="1"/>
                <w:color w:val="auto"/>
              </w:rPr>
              <w:t>TOTAL</w:t>
            </w:r>
          </w:p>
        </w:tc>
        <w:tc>
          <w:tcPr>
            <w:tcW w:w="1060" w:type="dxa"/>
            <w:vAlign w:val="bottom"/>
          </w:tcPr>
          <w:p>
            <w:pPr>
              <w:jc w:val="right"/>
              <w:ind w:right="84"/>
              <w:spacing w:after="0" w:line="116" w:lineRule="exact"/>
              <w:rPr>
                <w:sz w:val="20"/>
                <w:szCs w:val="20"/>
                <w:color w:val="auto"/>
              </w:rPr>
            </w:pPr>
            <w:r>
              <w:rPr>
                <w:rFonts w:ascii="Arial" w:cs="Arial" w:eastAsia="Arial" w:hAnsi="Arial"/>
                <w:sz w:val="11"/>
                <w:szCs w:val="11"/>
                <w:b w:val="1"/>
                <w:bCs w:val="1"/>
                <w:color w:val="auto"/>
              </w:rPr>
              <w:t>GROUP</w:t>
            </w:r>
          </w:p>
        </w:tc>
        <w:tc>
          <w:tcPr>
            <w:tcW w:w="860" w:type="dxa"/>
            <w:vAlign w:val="bottom"/>
          </w:tcPr>
          <w:p>
            <w:pPr>
              <w:jc w:val="right"/>
              <w:ind w:right="64"/>
              <w:spacing w:after="0" w:line="116" w:lineRule="exact"/>
              <w:rPr>
                <w:sz w:val="20"/>
                <w:szCs w:val="20"/>
                <w:color w:val="auto"/>
              </w:rPr>
            </w:pPr>
            <w:r>
              <w:rPr>
                <w:rFonts w:ascii="Arial" w:cs="Arial" w:eastAsia="Arial" w:hAnsi="Arial"/>
                <w:sz w:val="11"/>
                <w:szCs w:val="11"/>
                <w:b w:val="1"/>
                <w:bCs w:val="1"/>
                <w:color w:val="auto"/>
              </w:rPr>
              <w:t>NET</w:t>
            </w:r>
          </w:p>
        </w:tc>
        <w:tc>
          <w:tcPr>
            <w:tcW w:w="840" w:type="dxa"/>
            <w:vAlign w:val="bottom"/>
          </w:tcPr>
          <w:p>
            <w:pPr>
              <w:jc w:val="right"/>
              <w:ind w:right="85"/>
              <w:spacing w:after="0" w:line="116" w:lineRule="exact"/>
              <w:rPr>
                <w:sz w:val="20"/>
                <w:szCs w:val="20"/>
                <w:color w:val="auto"/>
              </w:rPr>
            </w:pPr>
            <w:r>
              <w:rPr>
                <w:rFonts w:ascii="Arial" w:cs="Arial" w:eastAsia="Arial" w:hAnsi="Arial"/>
                <w:sz w:val="11"/>
                <w:szCs w:val="11"/>
                <w:b w:val="1"/>
                <w:bCs w:val="1"/>
                <w:color w:val="auto"/>
              </w:rPr>
              <w:t>ANCILLARY</w:t>
            </w:r>
          </w:p>
        </w:tc>
        <w:tc>
          <w:tcPr>
            <w:tcW w:w="0" w:type="dxa"/>
            <w:vAlign w:val="bottom"/>
          </w:tcPr>
          <w:p>
            <w:pPr>
              <w:spacing w:after="0"/>
              <w:rPr>
                <w:sz w:val="1"/>
                <w:szCs w:val="1"/>
                <w:color w:val="auto"/>
              </w:rPr>
            </w:pPr>
          </w:p>
        </w:tc>
      </w:tr>
      <w:tr>
        <w:trPr>
          <w:trHeight w:val="113"/>
        </w:trPr>
        <w:tc>
          <w:tcPr>
            <w:tcW w:w="1140" w:type="dxa"/>
            <w:vAlign w:val="bottom"/>
          </w:tcPr>
          <w:p>
            <w:pPr>
              <w:spacing w:after="0"/>
              <w:rPr>
                <w:sz w:val="9"/>
                <w:szCs w:val="9"/>
                <w:color w:val="auto"/>
              </w:rPr>
            </w:pPr>
          </w:p>
        </w:tc>
        <w:tc>
          <w:tcPr>
            <w:tcW w:w="104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COMPENSATION</w:t>
            </w:r>
          </w:p>
        </w:tc>
        <w:tc>
          <w:tcPr>
            <w:tcW w:w="1080" w:type="dxa"/>
            <w:vAlign w:val="bottom"/>
            <w:vMerge w:val="continue"/>
          </w:tcPr>
          <w:p>
            <w:pPr>
              <w:spacing w:after="0"/>
              <w:rPr>
                <w:sz w:val="9"/>
                <w:szCs w:val="9"/>
                <w:color w:val="auto"/>
              </w:rPr>
            </w:pPr>
          </w:p>
        </w:tc>
        <w:tc>
          <w:tcPr>
            <w:tcW w:w="1060" w:type="dxa"/>
            <w:vAlign w:val="bottom"/>
          </w:tcPr>
          <w:p>
            <w:pPr>
              <w:jc w:val="right"/>
              <w:ind w:right="65"/>
              <w:spacing w:after="0" w:line="113" w:lineRule="exact"/>
              <w:rPr>
                <w:sz w:val="20"/>
                <w:szCs w:val="20"/>
                <w:color w:val="auto"/>
              </w:rPr>
            </w:pPr>
            <w:r>
              <w:rPr>
                <w:rFonts w:ascii="Arial" w:cs="Arial" w:eastAsia="Arial" w:hAnsi="Arial"/>
                <w:sz w:val="11"/>
                <w:szCs w:val="11"/>
                <w:b w:val="1"/>
                <w:bCs w:val="1"/>
                <w:color w:val="auto"/>
              </w:rPr>
              <w:t>TOTAL FOR</w:t>
            </w:r>
          </w:p>
        </w:tc>
        <w:tc>
          <w:tcPr>
            <w:tcW w:w="110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PAID</w:t>
            </w:r>
          </w:p>
        </w:tc>
        <w:tc>
          <w:tcPr>
            <w:tcW w:w="1020" w:type="dxa"/>
            <w:vAlign w:val="bottom"/>
            <w:vMerge w:val="continue"/>
          </w:tcPr>
          <w:p>
            <w:pPr>
              <w:spacing w:after="0"/>
              <w:rPr>
                <w:sz w:val="9"/>
                <w:szCs w:val="9"/>
                <w:color w:val="auto"/>
              </w:rPr>
            </w:pPr>
          </w:p>
        </w:tc>
        <w:tc>
          <w:tcPr>
            <w:tcW w:w="1060" w:type="dxa"/>
            <w:vAlign w:val="bottom"/>
          </w:tcPr>
          <w:p>
            <w:pPr>
              <w:jc w:val="right"/>
              <w:ind w:right="84"/>
              <w:spacing w:after="0" w:line="113" w:lineRule="exact"/>
              <w:rPr>
                <w:sz w:val="20"/>
                <w:szCs w:val="20"/>
                <w:color w:val="auto"/>
              </w:rPr>
            </w:pPr>
            <w:r>
              <w:rPr>
                <w:rFonts w:ascii="Arial" w:cs="Arial" w:eastAsia="Arial" w:hAnsi="Arial"/>
                <w:sz w:val="11"/>
                <w:szCs w:val="11"/>
                <w:b w:val="1"/>
                <w:bCs w:val="1"/>
                <w:color w:val="auto"/>
              </w:rPr>
              <w:t>TOTAL</w:t>
            </w:r>
          </w:p>
        </w:tc>
        <w:tc>
          <w:tcPr>
            <w:tcW w:w="86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INCOME</w:t>
            </w:r>
          </w:p>
        </w:tc>
        <w:tc>
          <w:tcPr>
            <w:tcW w:w="84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SERVICES</w:t>
            </w:r>
          </w:p>
        </w:tc>
        <w:tc>
          <w:tcPr>
            <w:tcW w:w="0" w:type="dxa"/>
            <w:vAlign w:val="bottom"/>
          </w:tcPr>
          <w:p>
            <w:pPr>
              <w:spacing w:after="0"/>
              <w:rPr>
                <w:sz w:val="1"/>
                <w:szCs w:val="1"/>
                <w:color w:val="auto"/>
              </w:rPr>
            </w:pPr>
          </w:p>
        </w:tc>
      </w:tr>
      <w:tr>
        <w:trPr>
          <w:trHeight w:val="113"/>
        </w:trPr>
        <w:tc>
          <w:tcPr>
            <w:tcW w:w="1140" w:type="dxa"/>
            <w:vAlign w:val="bottom"/>
            <w:vMerge w:val="restart"/>
          </w:tcPr>
          <w:p>
            <w:pPr>
              <w:spacing w:after="0"/>
              <w:rPr>
                <w:sz w:val="20"/>
                <w:szCs w:val="20"/>
                <w:color w:val="auto"/>
              </w:rPr>
            </w:pPr>
            <w:r>
              <w:rPr>
                <w:rFonts w:ascii="Arial" w:cs="Arial" w:eastAsia="Arial" w:hAnsi="Arial"/>
                <w:sz w:val="11"/>
                <w:szCs w:val="11"/>
                <w:b w:val="1"/>
                <w:bCs w:val="1"/>
                <w:color w:val="auto"/>
              </w:rPr>
              <w:t>  YEAR</w:t>
            </w:r>
          </w:p>
        </w:tc>
        <w:tc>
          <w:tcPr>
            <w:tcW w:w="104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TABLE TOTAL</w:t>
            </w:r>
          </w:p>
        </w:tc>
        <w:tc>
          <w:tcPr>
            <w:tcW w:w="1080" w:type="dxa"/>
            <w:vAlign w:val="bottom"/>
          </w:tcPr>
          <w:p>
            <w:pPr>
              <w:jc w:val="right"/>
              <w:ind w:right="83"/>
              <w:spacing w:after="0" w:line="113" w:lineRule="exact"/>
              <w:rPr>
                <w:sz w:val="20"/>
                <w:szCs w:val="20"/>
                <w:color w:val="auto"/>
              </w:rPr>
            </w:pPr>
            <w:r>
              <w:rPr>
                <w:rFonts w:ascii="Arial" w:cs="Arial" w:eastAsia="Arial" w:hAnsi="Arial"/>
                <w:sz w:val="11"/>
                <w:szCs w:val="11"/>
                <w:b w:val="1"/>
                <w:bCs w:val="1"/>
                <w:color w:val="auto"/>
              </w:rPr>
              <w:t>ACTUALLY PAID</w:t>
            </w:r>
          </w:p>
        </w:tc>
        <w:tc>
          <w:tcPr>
            <w:tcW w:w="1060" w:type="dxa"/>
            <w:vAlign w:val="bottom"/>
          </w:tcPr>
          <w:p>
            <w:pPr>
              <w:jc w:val="right"/>
              <w:ind w:right="65"/>
              <w:spacing w:after="0" w:line="113" w:lineRule="exact"/>
              <w:rPr>
                <w:sz w:val="20"/>
                <w:szCs w:val="20"/>
                <w:color w:val="auto"/>
              </w:rPr>
            </w:pPr>
            <w:r>
              <w:rPr>
                <w:rFonts w:ascii="Arial" w:cs="Arial" w:eastAsia="Arial" w:hAnsi="Arial"/>
                <w:sz w:val="11"/>
                <w:szCs w:val="11"/>
                <w:b w:val="1"/>
                <w:bCs w:val="1"/>
                <w:color w:val="auto"/>
              </w:rPr>
              <w:t>NON-PEO</w:t>
            </w:r>
          </w:p>
        </w:tc>
        <w:tc>
          <w:tcPr>
            <w:tcW w:w="110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TO NON-PEO</w:t>
            </w:r>
          </w:p>
        </w:tc>
        <w:tc>
          <w:tcPr>
            <w:tcW w:w="102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SHAREHOLDER</w:t>
            </w:r>
          </w:p>
        </w:tc>
        <w:tc>
          <w:tcPr>
            <w:tcW w:w="1060" w:type="dxa"/>
            <w:vAlign w:val="bottom"/>
          </w:tcPr>
          <w:p>
            <w:pPr>
              <w:jc w:val="right"/>
              <w:ind w:right="84"/>
              <w:spacing w:after="0" w:line="113" w:lineRule="exact"/>
              <w:rPr>
                <w:sz w:val="20"/>
                <w:szCs w:val="20"/>
                <w:color w:val="auto"/>
              </w:rPr>
            </w:pPr>
            <w:r>
              <w:rPr>
                <w:rFonts w:ascii="Arial" w:cs="Arial" w:eastAsia="Arial" w:hAnsi="Arial"/>
                <w:sz w:val="11"/>
                <w:szCs w:val="11"/>
                <w:b w:val="1"/>
                <w:bCs w:val="1"/>
                <w:color w:val="auto"/>
              </w:rPr>
              <w:t>SHAREHOLDER</w:t>
            </w:r>
          </w:p>
        </w:tc>
        <w:tc>
          <w:tcPr>
            <w:tcW w:w="86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(LOSS)</w:t>
            </w:r>
          </w:p>
        </w:tc>
        <w:tc>
          <w:tcPr>
            <w:tcW w:w="84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GROWTH</w:t>
            </w:r>
          </w:p>
        </w:tc>
        <w:tc>
          <w:tcPr>
            <w:tcW w:w="0" w:type="dxa"/>
            <w:vAlign w:val="bottom"/>
          </w:tcPr>
          <w:p>
            <w:pPr>
              <w:spacing w:after="0"/>
              <w:rPr>
                <w:sz w:val="1"/>
                <w:szCs w:val="1"/>
                <w:color w:val="auto"/>
              </w:rPr>
            </w:pPr>
          </w:p>
        </w:tc>
      </w:tr>
      <w:tr>
        <w:trPr>
          <w:trHeight w:val="113"/>
        </w:trPr>
        <w:tc>
          <w:tcPr>
            <w:tcW w:w="1140" w:type="dxa"/>
            <w:vAlign w:val="bottom"/>
            <w:vMerge w:val="continue"/>
          </w:tcPr>
          <w:p>
            <w:pPr>
              <w:spacing w:after="0"/>
              <w:rPr>
                <w:sz w:val="9"/>
                <w:szCs w:val="9"/>
                <w:color w:val="auto"/>
              </w:rPr>
            </w:pPr>
          </w:p>
        </w:tc>
        <w:tc>
          <w:tcPr>
            <w:tcW w:w="104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FOR PEO</w:t>
            </w:r>
            <w:r>
              <w:rPr>
                <w:rFonts w:ascii="Arial" w:cs="Arial" w:eastAsia="Arial" w:hAnsi="Arial"/>
                <w:sz w:val="13"/>
                <w:szCs w:val="13"/>
                <w:b w:val="1"/>
                <w:bCs w:val="1"/>
                <w:color w:val="auto"/>
                <w:vertAlign w:val="superscript"/>
              </w:rPr>
              <w:t>(1)</w:t>
            </w:r>
          </w:p>
        </w:tc>
        <w:tc>
          <w:tcPr>
            <w:tcW w:w="1080" w:type="dxa"/>
            <w:vAlign w:val="bottom"/>
          </w:tcPr>
          <w:p>
            <w:pPr>
              <w:jc w:val="right"/>
              <w:ind w:right="83"/>
              <w:spacing w:after="0" w:line="113" w:lineRule="exact"/>
              <w:rPr>
                <w:sz w:val="20"/>
                <w:szCs w:val="20"/>
                <w:color w:val="auto"/>
              </w:rPr>
            </w:pPr>
            <w:r>
              <w:rPr>
                <w:rFonts w:ascii="Arial" w:cs="Arial" w:eastAsia="Arial" w:hAnsi="Arial"/>
                <w:sz w:val="11"/>
                <w:szCs w:val="11"/>
                <w:b w:val="1"/>
                <w:bCs w:val="1"/>
                <w:color w:val="auto"/>
              </w:rPr>
              <w:t>TO PEO</w:t>
            </w:r>
            <w:r>
              <w:rPr>
                <w:rFonts w:ascii="Arial" w:cs="Arial" w:eastAsia="Arial" w:hAnsi="Arial"/>
                <w:sz w:val="13"/>
                <w:szCs w:val="13"/>
                <w:b w:val="1"/>
                <w:bCs w:val="1"/>
                <w:color w:val="auto"/>
                <w:vertAlign w:val="superscript"/>
              </w:rPr>
              <w:t>(2)</w:t>
            </w:r>
          </w:p>
        </w:tc>
        <w:tc>
          <w:tcPr>
            <w:tcW w:w="1060" w:type="dxa"/>
            <w:vAlign w:val="bottom"/>
          </w:tcPr>
          <w:p>
            <w:pPr>
              <w:jc w:val="right"/>
              <w:ind w:right="65"/>
              <w:spacing w:after="0" w:line="113" w:lineRule="exact"/>
              <w:rPr>
                <w:sz w:val="20"/>
                <w:szCs w:val="20"/>
                <w:color w:val="auto"/>
              </w:rPr>
            </w:pPr>
            <w:r>
              <w:rPr>
                <w:rFonts w:ascii="Arial" w:cs="Arial" w:eastAsia="Arial" w:hAnsi="Arial"/>
                <w:sz w:val="11"/>
                <w:szCs w:val="11"/>
                <w:b w:val="1"/>
                <w:bCs w:val="1"/>
                <w:color w:val="auto"/>
              </w:rPr>
              <w:t>NEOS</w:t>
            </w:r>
            <w:r>
              <w:rPr>
                <w:rFonts w:ascii="Arial" w:cs="Arial" w:eastAsia="Arial" w:hAnsi="Arial"/>
                <w:sz w:val="13"/>
                <w:szCs w:val="13"/>
                <w:b w:val="1"/>
                <w:bCs w:val="1"/>
                <w:color w:val="auto"/>
                <w:vertAlign w:val="superscript"/>
              </w:rPr>
              <w:t>(3)</w:t>
            </w:r>
          </w:p>
        </w:tc>
        <w:tc>
          <w:tcPr>
            <w:tcW w:w="110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NEOS</w:t>
            </w:r>
            <w:r>
              <w:rPr>
                <w:rFonts w:ascii="Arial" w:cs="Arial" w:eastAsia="Arial" w:hAnsi="Arial"/>
                <w:sz w:val="13"/>
                <w:szCs w:val="13"/>
                <w:b w:val="1"/>
                <w:bCs w:val="1"/>
                <w:color w:val="auto"/>
                <w:vertAlign w:val="superscript"/>
              </w:rPr>
              <w:t>(4)</w:t>
            </w:r>
          </w:p>
        </w:tc>
        <w:tc>
          <w:tcPr>
            <w:tcW w:w="102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13"/>
                <w:szCs w:val="13"/>
                <w:b w:val="1"/>
                <w:bCs w:val="1"/>
                <w:color w:val="auto"/>
                <w:vertAlign w:val="superscript"/>
              </w:rPr>
              <w:t>(5)</w:t>
            </w:r>
          </w:p>
        </w:tc>
        <w:tc>
          <w:tcPr>
            <w:tcW w:w="1060" w:type="dxa"/>
            <w:vAlign w:val="bottom"/>
          </w:tcPr>
          <w:p>
            <w:pPr>
              <w:jc w:val="right"/>
              <w:ind w:right="84"/>
              <w:spacing w:after="0" w:line="113" w:lineRule="exact"/>
              <w:rPr>
                <w:sz w:val="20"/>
                <w:szCs w:val="20"/>
                <w:color w:val="auto"/>
              </w:rPr>
            </w:pPr>
            <w:r>
              <w:rPr>
                <w:rFonts w:ascii="Arial" w:cs="Arial" w:eastAsia="Arial" w:hAnsi="Arial"/>
                <w:sz w:val="11"/>
                <w:szCs w:val="11"/>
                <w:b w:val="1"/>
                <w:bCs w:val="1"/>
                <w:color w:val="auto"/>
              </w:rPr>
              <w:t>RETURN</w:t>
            </w:r>
            <w:r>
              <w:rPr>
                <w:rFonts w:ascii="Arial" w:cs="Arial" w:eastAsia="Arial" w:hAnsi="Arial"/>
                <w:sz w:val="13"/>
                <w:szCs w:val="13"/>
                <w:b w:val="1"/>
                <w:bCs w:val="1"/>
                <w:color w:val="auto"/>
                <w:vertAlign w:val="superscript"/>
              </w:rPr>
              <w:t>(6)</w:t>
            </w:r>
          </w:p>
        </w:tc>
        <w:tc>
          <w:tcPr>
            <w:tcW w:w="860" w:type="dxa"/>
            <w:vAlign w:val="bottom"/>
          </w:tcPr>
          <w:p>
            <w:pPr>
              <w:jc w:val="right"/>
              <w:ind w:right="64"/>
              <w:spacing w:after="0" w:line="113" w:lineRule="exact"/>
              <w:rPr>
                <w:sz w:val="20"/>
                <w:szCs w:val="20"/>
                <w:color w:val="auto"/>
              </w:rPr>
            </w:pPr>
            <w:r>
              <w:rPr>
                <w:rFonts w:ascii="Arial" w:cs="Arial" w:eastAsia="Arial" w:hAnsi="Arial"/>
                <w:sz w:val="11"/>
                <w:szCs w:val="11"/>
                <w:b w:val="1"/>
                <w:bCs w:val="1"/>
                <w:color w:val="auto"/>
              </w:rPr>
              <w:t>(MILLIONS)</w:t>
            </w:r>
            <w:r>
              <w:rPr>
                <w:rFonts w:ascii="Arial" w:cs="Arial" w:eastAsia="Arial" w:hAnsi="Arial"/>
                <w:sz w:val="13"/>
                <w:szCs w:val="13"/>
                <w:b w:val="1"/>
                <w:bCs w:val="1"/>
                <w:color w:val="auto"/>
                <w:vertAlign w:val="superscript"/>
              </w:rPr>
              <w:t>(7)</w:t>
            </w:r>
          </w:p>
        </w:tc>
        <w:tc>
          <w:tcPr>
            <w:tcW w:w="840" w:type="dxa"/>
            <w:vAlign w:val="bottom"/>
          </w:tcPr>
          <w:p>
            <w:pPr>
              <w:jc w:val="right"/>
              <w:ind w:right="85"/>
              <w:spacing w:after="0" w:line="113" w:lineRule="exact"/>
              <w:rPr>
                <w:sz w:val="20"/>
                <w:szCs w:val="20"/>
                <w:color w:val="auto"/>
              </w:rPr>
            </w:pPr>
            <w:r>
              <w:rPr>
                <w:rFonts w:ascii="Arial" w:cs="Arial" w:eastAsia="Arial" w:hAnsi="Arial"/>
                <w:sz w:val="11"/>
                <w:szCs w:val="11"/>
                <w:b w:val="1"/>
                <w:bCs w:val="1"/>
                <w:color w:val="auto"/>
              </w:rPr>
              <w:t xml:space="preserve">RATE </w:t>
            </w:r>
            <w:r>
              <w:rPr>
                <w:rFonts w:ascii="Arial" w:cs="Arial" w:eastAsia="Arial" w:hAnsi="Arial"/>
                <w:sz w:val="13"/>
                <w:szCs w:val="13"/>
                <w:b w:val="1"/>
                <w:bCs w:val="1"/>
                <w:color w:val="auto"/>
                <w:vertAlign w:val="superscript"/>
              </w:rPr>
              <w:t>(8)</w:t>
            </w:r>
          </w:p>
        </w:tc>
        <w:tc>
          <w:tcPr>
            <w:tcW w:w="0" w:type="dxa"/>
            <w:vAlign w:val="bottom"/>
          </w:tcPr>
          <w:p>
            <w:pPr>
              <w:spacing w:after="0"/>
              <w:rPr>
                <w:sz w:val="1"/>
                <w:szCs w:val="1"/>
                <w:color w:val="auto"/>
              </w:rPr>
            </w:pPr>
          </w:p>
        </w:tc>
      </w:tr>
      <w:tr>
        <w:trPr>
          <w:trHeight w:val="151"/>
        </w:trPr>
        <w:tc>
          <w:tcPr>
            <w:tcW w:w="1140" w:type="dxa"/>
            <w:vAlign w:val="bottom"/>
          </w:tcPr>
          <w:p>
            <w:pPr>
              <w:spacing w:after="0"/>
              <w:rPr>
                <w:sz w:val="20"/>
                <w:szCs w:val="20"/>
                <w:color w:val="auto"/>
              </w:rPr>
            </w:pPr>
            <w:r>
              <w:rPr>
                <w:rFonts w:ascii="Arial" w:cs="Arial" w:eastAsia="Arial" w:hAnsi="Arial"/>
                <w:sz w:val="11"/>
                <w:szCs w:val="11"/>
                <w:b w:val="1"/>
                <w:bCs w:val="1"/>
                <w:color w:val="auto"/>
              </w:rPr>
              <w:t>  (a)</w:t>
            </w:r>
          </w:p>
        </w:tc>
        <w:tc>
          <w:tcPr>
            <w:tcW w:w="1040" w:type="dxa"/>
            <w:vAlign w:val="bottom"/>
          </w:tcPr>
          <w:p>
            <w:pPr>
              <w:jc w:val="right"/>
              <w:ind w:right="64"/>
              <w:spacing w:after="0"/>
              <w:rPr>
                <w:sz w:val="20"/>
                <w:szCs w:val="20"/>
                <w:color w:val="auto"/>
              </w:rPr>
            </w:pPr>
            <w:r>
              <w:rPr>
                <w:rFonts w:ascii="Arial" w:cs="Arial" w:eastAsia="Arial" w:hAnsi="Arial"/>
                <w:sz w:val="11"/>
                <w:szCs w:val="11"/>
                <w:b w:val="1"/>
                <w:bCs w:val="1"/>
                <w:color w:val="auto"/>
              </w:rPr>
              <w:t>(b)</w:t>
            </w:r>
          </w:p>
        </w:tc>
        <w:tc>
          <w:tcPr>
            <w:tcW w:w="1080" w:type="dxa"/>
            <w:vAlign w:val="bottom"/>
          </w:tcPr>
          <w:p>
            <w:pPr>
              <w:jc w:val="right"/>
              <w:ind w:right="83"/>
              <w:spacing w:after="0"/>
              <w:rPr>
                <w:sz w:val="20"/>
                <w:szCs w:val="20"/>
                <w:color w:val="auto"/>
              </w:rPr>
            </w:pPr>
            <w:r>
              <w:rPr>
                <w:rFonts w:ascii="Arial" w:cs="Arial" w:eastAsia="Arial" w:hAnsi="Arial"/>
                <w:sz w:val="11"/>
                <w:szCs w:val="11"/>
                <w:b w:val="1"/>
                <w:bCs w:val="1"/>
                <w:color w:val="auto"/>
              </w:rPr>
              <w:t>(c)</w:t>
            </w:r>
          </w:p>
        </w:tc>
        <w:tc>
          <w:tcPr>
            <w:tcW w:w="1060" w:type="dxa"/>
            <w:vAlign w:val="bottom"/>
          </w:tcPr>
          <w:p>
            <w:pPr>
              <w:jc w:val="right"/>
              <w:ind w:right="65"/>
              <w:spacing w:after="0"/>
              <w:rPr>
                <w:sz w:val="20"/>
                <w:szCs w:val="20"/>
                <w:color w:val="auto"/>
              </w:rPr>
            </w:pPr>
            <w:r>
              <w:rPr>
                <w:rFonts w:ascii="Arial" w:cs="Arial" w:eastAsia="Arial" w:hAnsi="Arial"/>
                <w:sz w:val="11"/>
                <w:szCs w:val="11"/>
                <w:b w:val="1"/>
                <w:bCs w:val="1"/>
                <w:color w:val="auto"/>
              </w:rPr>
              <w:t>(d)</w:t>
            </w:r>
          </w:p>
        </w:tc>
        <w:tc>
          <w:tcPr>
            <w:tcW w:w="1100" w:type="dxa"/>
            <w:vAlign w:val="bottom"/>
          </w:tcPr>
          <w:p>
            <w:pPr>
              <w:jc w:val="right"/>
              <w:ind w:right="85"/>
              <w:spacing w:after="0"/>
              <w:rPr>
                <w:sz w:val="20"/>
                <w:szCs w:val="20"/>
                <w:color w:val="auto"/>
              </w:rPr>
            </w:pPr>
            <w:r>
              <w:rPr>
                <w:rFonts w:ascii="Arial" w:cs="Arial" w:eastAsia="Arial" w:hAnsi="Arial"/>
                <w:sz w:val="11"/>
                <w:szCs w:val="11"/>
                <w:b w:val="1"/>
                <w:bCs w:val="1"/>
                <w:color w:val="auto"/>
              </w:rPr>
              <w:t>(e)</w:t>
            </w:r>
          </w:p>
        </w:tc>
        <w:tc>
          <w:tcPr>
            <w:tcW w:w="1020" w:type="dxa"/>
            <w:vAlign w:val="bottom"/>
          </w:tcPr>
          <w:p>
            <w:pPr>
              <w:jc w:val="right"/>
              <w:ind w:right="64"/>
              <w:spacing w:after="0"/>
              <w:rPr>
                <w:sz w:val="20"/>
                <w:szCs w:val="20"/>
                <w:color w:val="auto"/>
              </w:rPr>
            </w:pPr>
            <w:r>
              <w:rPr>
                <w:rFonts w:ascii="Arial" w:cs="Arial" w:eastAsia="Arial" w:hAnsi="Arial"/>
                <w:sz w:val="11"/>
                <w:szCs w:val="11"/>
                <w:b w:val="1"/>
                <w:bCs w:val="1"/>
                <w:color w:val="auto"/>
              </w:rPr>
              <w:t>(f)</w:t>
            </w:r>
          </w:p>
        </w:tc>
        <w:tc>
          <w:tcPr>
            <w:tcW w:w="1060" w:type="dxa"/>
            <w:vAlign w:val="bottom"/>
          </w:tcPr>
          <w:p>
            <w:pPr>
              <w:jc w:val="right"/>
              <w:ind w:right="84"/>
              <w:spacing w:after="0"/>
              <w:rPr>
                <w:sz w:val="20"/>
                <w:szCs w:val="20"/>
                <w:color w:val="auto"/>
              </w:rPr>
            </w:pPr>
            <w:r>
              <w:rPr>
                <w:rFonts w:ascii="Arial" w:cs="Arial" w:eastAsia="Arial" w:hAnsi="Arial"/>
                <w:sz w:val="11"/>
                <w:szCs w:val="11"/>
                <w:b w:val="1"/>
                <w:bCs w:val="1"/>
                <w:color w:val="auto"/>
              </w:rPr>
              <w:t>(g)</w:t>
            </w:r>
          </w:p>
        </w:tc>
        <w:tc>
          <w:tcPr>
            <w:tcW w:w="860" w:type="dxa"/>
            <w:vAlign w:val="bottom"/>
          </w:tcPr>
          <w:p>
            <w:pPr>
              <w:jc w:val="right"/>
              <w:ind w:right="64"/>
              <w:spacing w:after="0"/>
              <w:rPr>
                <w:sz w:val="20"/>
                <w:szCs w:val="20"/>
                <w:color w:val="auto"/>
              </w:rPr>
            </w:pPr>
            <w:r>
              <w:rPr>
                <w:rFonts w:ascii="Arial" w:cs="Arial" w:eastAsia="Arial" w:hAnsi="Arial"/>
                <w:sz w:val="11"/>
                <w:szCs w:val="11"/>
                <w:b w:val="1"/>
                <w:bCs w:val="1"/>
                <w:color w:val="auto"/>
              </w:rPr>
              <w:t>(h)</w:t>
            </w:r>
          </w:p>
        </w:tc>
        <w:tc>
          <w:tcPr>
            <w:tcW w:w="840" w:type="dxa"/>
            <w:vAlign w:val="bottom"/>
          </w:tcPr>
          <w:p>
            <w:pPr>
              <w:jc w:val="right"/>
              <w:ind w:right="85"/>
              <w:spacing w:after="0"/>
              <w:rPr>
                <w:sz w:val="20"/>
                <w:szCs w:val="20"/>
                <w:color w:val="auto"/>
              </w:rPr>
            </w:pPr>
            <w:r>
              <w:rPr>
                <w:rFonts w:ascii="Arial" w:cs="Arial" w:eastAsia="Arial" w:hAnsi="Arial"/>
                <w:sz w:val="11"/>
                <w:szCs w:val="11"/>
                <w:b w:val="1"/>
                <w:bCs w:val="1"/>
                <w:color w:val="auto"/>
              </w:rPr>
              <w:t>(i)</w:t>
            </w:r>
          </w:p>
        </w:tc>
        <w:tc>
          <w:tcPr>
            <w:tcW w:w="0" w:type="dxa"/>
            <w:vAlign w:val="bottom"/>
          </w:tcPr>
          <w:p>
            <w:pPr>
              <w:spacing w:after="0"/>
              <w:rPr>
                <w:sz w:val="1"/>
                <w:szCs w:val="1"/>
                <w:color w:val="auto"/>
              </w:rPr>
            </w:pPr>
          </w:p>
        </w:tc>
      </w:tr>
      <w:tr>
        <w:trPr>
          <w:trHeight w:val="75"/>
        </w:trPr>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E8F4FF"/>
          </w:tcPr>
          <w:p>
            <w:pPr>
              <w:jc w:val="right"/>
              <w:ind w:right="742"/>
              <w:spacing w:after="0"/>
              <w:rPr>
                <w:sz w:val="20"/>
                <w:szCs w:val="20"/>
                <w:color w:val="auto"/>
              </w:rPr>
            </w:pPr>
            <w:r>
              <w:rPr>
                <w:rFonts w:ascii="Arial" w:cs="Arial" w:eastAsia="Arial" w:hAnsi="Arial"/>
                <w:sz w:val="12"/>
                <w:szCs w:val="12"/>
                <w:b w:val="1"/>
                <w:bCs w:val="1"/>
                <w:color w:val="2393FF"/>
              </w:rPr>
              <w:t>2025</w:t>
            </w:r>
          </w:p>
        </w:tc>
        <w:tc>
          <w:tcPr>
            <w:tcW w:w="1040" w:type="dxa"/>
            <w:vAlign w:val="bottom"/>
            <w:shd w:val="clear" w:color="auto" w:fill="E8F4FF"/>
          </w:tcPr>
          <w:p>
            <w:pPr>
              <w:jc w:val="right"/>
              <w:ind w:right="64"/>
              <w:spacing w:after="0"/>
              <w:rPr>
                <w:sz w:val="20"/>
                <w:szCs w:val="20"/>
                <w:color w:val="auto"/>
              </w:rPr>
            </w:pPr>
            <w:r>
              <w:rPr>
                <w:rFonts w:ascii="Arial" w:cs="Arial" w:eastAsia="Arial" w:hAnsi="Arial"/>
                <w:sz w:val="12"/>
                <w:szCs w:val="12"/>
                <w:color w:val="auto"/>
              </w:rPr>
              <w:t>$8,803,495</w:t>
            </w:r>
          </w:p>
        </w:tc>
        <w:tc>
          <w:tcPr>
            <w:tcW w:w="1080" w:type="dxa"/>
            <w:vAlign w:val="bottom"/>
            <w:shd w:val="clear" w:color="auto" w:fill="E8F4FF"/>
          </w:tcPr>
          <w:p>
            <w:pPr>
              <w:jc w:val="right"/>
              <w:ind w:right="83"/>
              <w:spacing w:after="0"/>
              <w:rPr>
                <w:sz w:val="20"/>
                <w:szCs w:val="20"/>
                <w:color w:val="auto"/>
              </w:rPr>
            </w:pPr>
            <w:r>
              <w:rPr>
                <w:rFonts w:ascii="Arial" w:cs="Arial" w:eastAsia="Arial" w:hAnsi="Arial"/>
                <w:sz w:val="12"/>
                <w:szCs w:val="12"/>
                <w:color w:val="auto"/>
              </w:rPr>
              <w:t>$  7,079,293</w:t>
            </w:r>
          </w:p>
        </w:tc>
        <w:tc>
          <w:tcPr>
            <w:tcW w:w="1060" w:type="dxa"/>
            <w:vAlign w:val="bottom"/>
            <w:shd w:val="clear" w:color="auto" w:fill="E8F4FF"/>
          </w:tcPr>
          <w:p>
            <w:pPr>
              <w:jc w:val="right"/>
              <w:ind w:right="65"/>
              <w:spacing w:after="0"/>
              <w:rPr>
                <w:sz w:val="20"/>
                <w:szCs w:val="20"/>
                <w:color w:val="auto"/>
              </w:rPr>
            </w:pPr>
            <w:r>
              <w:rPr>
                <w:rFonts w:ascii="Arial" w:cs="Arial" w:eastAsia="Arial" w:hAnsi="Arial"/>
                <w:sz w:val="12"/>
                <w:szCs w:val="12"/>
                <w:color w:val="auto"/>
              </w:rPr>
              <w:t>$3,857,829</w:t>
            </w:r>
          </w:p>
        </w:tc>
        <w:tc>
          <w:tcPr>
            <w:tcW w:w="110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  3,059,934</w:t>
            </w:r>
          </w:p>
        </w:tc>
        <w:tc>
          <w:tcPr>
            <w:tcW w:w="1020" w:type="dxa"/>
            <w:vAlign w:val="bottom"/>
            <w:shd w:val="clear" w:color="auto" w:fill="E8F4FF"/>
          </w:tcPr>
          <w:p>
            <w:pPr>
              <w:jc w:val="right"/>
              <w:ind w:right="64"/>
              <w:spacing w:after="0"/>
              <w:rPr>
                <w:sz w:val="20"/>
                <w:szCs w:val="20"/>
                <w:color w:val="auto"/>
              </w:rPr>
            </w:pPr>
            <w:r>
              <w:rPr>
                <w:rFonts w:ascii="Arial" w:cs="Arial" w:eastAsia="Arial" w:hAnsi="Arial"/>
                <w:sz w:val="12"/>
                <w:szCs w:val="12"/>
                <w:color w:val="auto"/>
              </w:rPr>
              <w:t>$  59</w:t>
            </w:r>
          </w:p>
        </w:tc>
        <w:tc>
          <w:tcPr>
            <w:tcW w:w="1060" w:type="dxa"/>
            <w:vAlign w:val="bottom"/>
            <w:shd w:val="clear" w:color="auto" w:fill="E8F4FF"/>
          </w:tcPr>
          <w:p>
            <w:pPr>
              <w:jc w:val="right"/>
              <w:ind w:right="84"/>
              <w:spacing w:after="0"/>
              <w:rPr>
                <w:sz w:val="20"/>
                <w:szCs w:val="20"/>
                <w:color w:val="auto"/>
              </w:rPr>
            </w:pPr>
            <w:r>
              <w:rPr>
                <w:rFonts w:ascii="Arial" w:cs="Arial" w:eastAsia="Arial" w:hAnsi="Arial"/>
                <w:sz w:val="12"/>
                <w:szCs w:val="12"/>
                <w:color w:val="auto"/>
              </w:rPr>
              <w:t>$234</w:t>
            </w:r>
          </w:p>
        </w:tc>
        <w:tc>
          <w:tcPr>
            <w:tcW w:w="860" w:type="dxa"/>
            <w:vAlign w:val="bottom"/>
            <w:shd w:val="clear" w:color="auto" w:fill="E8F4FF"/>
          </w:tcPr>
          <w:p>
            <w:pPr>
              <w:jc w:val="right"/>
              <w:ind w:right="64"/>
              <w:spacing w:after="0"/>
              <w:rPr>
                <w:sz w:val="20"/>
                <w:szCs w:val="20"/>
                <w:color w:val="auto"/>
              </w:rPr>
            </w:pPr>
            <w:r>
              <w:rPr>
                <w:rFonts w:ascii="Arial" w:cs="Arial" w:eastAsia="Arial" w:hAnsi="Arial"/>
                <w:sz w:val="12"/>
                <w:szCs w:val="12"/>
                <w:color w:val="auto"/>
              </w:rPr>
              <w:t>$13.5</w:t>
            </w:r>
          </w:p>
        </w:tc>
        <w:tc>
          <w:tcPr>
            <w:tcW w:w="84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69"/>
        </w:trPr>
        <w:tc>
          <w:tcPr>
            <w:tcW w:w="1140" w:type="dxa"/>
            <w:vAlign w:val="bottom"/>
            <w:shd w:val="clear" w:color="auto" w:fill="E8F4FF"/>
          </w:tcPr>
          <w:p>
            <w:pPr>
              <w:spacing w:after="0"/>
              <w:rPr>
                <w:sz w:val="5"/>
                <w:szCs w:val="5"/>
                <w:color w:val="auto"/>
              </w:rPr>
            </w:pPr>
          </w:p>
        </w:tc>
        <w:tc>
          <w:tcPr>
            <w:tcW w:w="1040" w:type="dxa"/>
            <w:vAlign w:val="bottom"/>
            <w:shd w:val="clear" w:color="auto" w:fill="E8F4FF"/>
          </w:tcPr>
          <w:p>
            <w:pPr>
              <w:spacing w:after="0"/>
              <w:rPr>
                <w:sz w:val="5"/>
                <w:szCs w:val="5"/>
                <w:color w:val="auto"/>
              </w:rPr>
            </w:pPr>
          </w:p>
        </w:tc>
        <w:tc>
          <w:tcPr>
            <w:tcW w:w="1080" w:type="dxa"/>
            <w:vAlign w:val="bottom"/>
            <w:shd w:val="clear" w:color="auto" w:fill="E8F4FF"/>
          </w:tcPr>
          <w:p>
            <w:pPr>
              <w:spacing w:after="0"/>
              <w:rPr>
                <w:sz w:val="5"/>
                <w:szCs w:val="5"/>
                <w:color w:val="auto"/>
              </w:rPr>
            </w:pPr>
          </w:p>
        </w:tc>
        <w:tc>
          <w:tcPr>
            <w:tcW w:w="1060" w:type="dxa"/>
            <w:vAlign w:val="bottom"/>
            <w:shd w:val="clear" w:color="auto" w:fill="E8F4FF"/>
          </w:tcPr>
          <w:p>
            <w:pPr>
              <w:spacing w:after="0"/>
              <w:rPr>
                <w:sz w:val="5"/>
                <w:szCs w:val="5"/>
                <w:color w:val="auto"/>
              </w:rPr>
            </w:pPr>
          </w:p>
        </w:tc>
        <w:tc>
          <w:tcPr>
            <w:tcW w:w="1100" w:type="dxa"/>
            <w:vAlign w:val="bottom"/>
            <w:shd w:val="clear" w:color="auto" w:fill="E8F4FF"/>
          </w:tcPr>
          <w:p>
            <w:pPr>
              <w:spacing w:after="0"/>
              <w:rPr>
                <w:sz w:val="5"/>
                <w:szCs w:val="5"/>
                <w:color w:val="auto"/>
              </w:rPr>
            </w:pPr>
          </w:p>
        </w:tc>
        <w:tc>
          <w:tcPr>
            <w:tcW w:w="1020" w:type="dxa"/>
            <w:vAlign w:val="bottom"/>
            <w:shd w:val="clear" w:color="auto" w:fill="E8F4FF"/>
          </w:tcPr>
          <w:p>
            <w:pPr>
              <w:spacing w:after="0"/>
              <w:rPr>
                <w:sz w:val="5"/>
                <w:szCs w:val="5"/>
                <w:color w:val="auto"/>
              </w:rPr>
            </w:pPr>
          </w:p>
        </w:tc>
        <w:tc>
          <w:tcPr>
            <w:tcW w:w="1060" w:type="dxa"/>
            <w:vAlign w:val="bottom"/>
            <w:shd w:val="clear" w:color="auto" w:fill="E8F4FF"/>
          </w:tcPr>
          <w:p>
            <w:pPr>
              <w:spacing w:after="0"/>
              <w:rPr>
                <w:sz w:val="5"/>
                <w:szCs w:val="5"/>
                <w:color w:val="auto"/>
              </w:rPr>
            </w:pPr>
          </w:p>
        </w:tc>
        <w:tc>
          <w:tcPr>
            <w:tcW w:w="860" w:type="dxa"/>
            <w:vAlign w:val="bottom"/>
            <w:shd w:val="clear" w:color="auto" w:fill="E8F4FF"/>
          </w:tcPr>
          <w:p>
            <w:pPr>
              <w:spacing w:after="0"/>
              <w:rPr>
                <w:sz w:val="5"/>
                <w:szCs w:val="5"/>
                <w:color w:val="auto"/>
              </w:rPr>
            </w:pPr>
          </w:p>
        </w:tc>
        <w:tc>
          <w:tcPr>
            <w:tcW w:w="84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140" w:type="dxa"/>
            <w:vAlign w:val="bottom"/>
          </w:tcPr>
          <w:p>
            <w:pPr>
              <w:jc w:val="right"/>
              <w:ind w:right="742"/>
              <w:spacing w:after="0"/>
              <w:rPr>
                <w:sz w:val="20"/>
                <w:szCs w:val="20"/>
                <w:color w:val="auto"/>
              </w:rPr>
            </w:pPr>
            <w:r>
              <w:rPr>
                <w:rFonts w:ascii="Arial" w:cs="Arial" w:eastAsia="Arial" w:hAnsi="Arial"/>
                <w:sz w:val="12"/>
                <w:szCs w:val="12"/>
                <w:b w:val="1"/>
                <w:bCs w:val="1"/>
                <w:color w:val="2393FF"/>
              </w:rPr>
              <w:t>2024</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$9,998,817</w:t>
            </w:r>
          </w:p>
        </w:tc>
        <w:tc>
          <w:tcPr>
            <w:tcW w:w="1080" w:type="dxa"/>
            <w:vAlign w:val="bottom"/>
          </w:tcPr>
          <w:p>
            <w:pPr>
              <w:jc w:val="right"/>
              <w:ind w:right="83"/>
              <w:spacing w:after="0"/>
              <w:rPr>
                <w:sz w:val="20"/>
                <w:szCs w:val="20"/>
                <w:color w:val="auto"/>
              </w:rPr>
            </w:pPr>
            <w:r>
              <w:rPr>
                <w:rFonts w:ascii="Arial" w:cs="Arial" w:eastAsia="Arial" w:hAnsi="Arial"/>
                <w:sz w:val="12"/>
                <w:szCs w:val="12"/>
                <w:color w:val="auto"/>
              </w:rPr>
              <w:t>$  6,452,629</w:t>
            </w:r>
          </w:p>
        </w:tc>
        <w:tc>
          <w:tcPr>
            <w:tcW w:w="1060" w:type="dxa"/>
            <w:vAlign w:val="bottom"/>
          </w:tcPr>
          <w:p>
            <w:pPr>
              <w:jc w:val="right"/>
              <w:ind w:right="65"/>
              <w:spacing w:after="0"/>
              <w:rPr>
                <w:sz w:val="20"/>
                <w:szCs w:val="20"/>
                <w:color w:val="auto"/>
              </w:rPr>
            </w:pPr>
            <w:r>
              <w:rPr>
                <w:rFonts w:ascii="Arial" w:cs="Arial" w:eastAsia="Arial" w:hAnsi="Arial"/>
                <w:sz w:val="12"/>
                <w:szCs w:val="12"/>
                <w:color w:val="auto"/>
              </w:rPr>
              <w:t>$5,129,615</w:t>
            </w:r>
          </w:p>
        </w:tc>
        <w:tc>
          <w:tcPr>
            <w:tcW w:w="1100" w:type="dxa"/>
            <w:vAlign w:val="bottom"/>
          </w:tcPr>
          <w:p>
            <w:pPr>
              <w:jc w:val="right"/>
              <w:ind w:right="85"/>
              <w:spacing w:after="0"/>
              <w:rPr>
                <w:sz w:val="20"/>
                <w:szCs w:val="20"/>
                <w:color w:val="auto"/>
              </w:rPr>
            </w:pPr>
            <w:r>
              <w:rPr>
                <w:rFonts w:ascii="Arial" w:cs="Arial" w:eastAsia="Arial" w:hAnsi="Arial"/>
                <w:sz w:val="12"/>
                <w:szCs w:val="12"/>
                <w:color w:val="auto"/>
              </w:rPr>
              <w:t>$  3,130,182</w:t>
            </w: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  86</w:t>
            </w:r>
          </w:p>
        </w:tc>
        <w:tc>
          <w:tcPr>
            <w:tcW w:w="1060" w:type="dxa"/>
            <w:vAlign w:val="bottom"/>
          </w:tcPr>
          <w:p>
            <w:pPr>
              <w:jc w:val="right"/>
              <w:ind w:right="84"/>
              <w:spacing w:after="0"/>
              <w:rPr>
                <w:sz w:val="20"/>
                <w:szCs w:val="20"/>
                <w:color w:val="auto"/>
              </w:rPr>
            </w:pPr>
            <w:r>
              <w:rPr>
                <w:rFonts w:ascii="Arial" w:cs="Arial" w:eastAsia="Arial" w:hAnsi="Arial"/>
                <w:sz w:val="12"/>
                <w:szCs w:val="12"/>
                <w:color w:val="auto"/>
              </w:rPr>
              <w:t>$190</w:t>
            </w:r>
          </w:p>
        </w:tc>
        <w:tc>
          <w:tcPr>
            <w:tcW w:w="860" w:type="dxa"/>
            <w:vAlign w:val="bottom"/>
          </w:tcPr>
          <w:p>
            <w:pPr>
              <w:jc w:val="right"/>
              <w:ind w:right="64"/>
              <w:spacing w:after="0"/>
              <w:rPr>
                <w:sz w:val="20"/>
                <w:szCs w:val="20"/>
                <w:color w:val="auto"/>
              </w:rPr>
            </w:pPr>
            <w:r>
              <w:rPr>
                <w:rFonts w:ascii="Arial" w:cs="Arial" w:eastAsia="Arial" w:hAnsi="Arial"/>
                <w:sz w:val="12"/>
                <w:szCs w:val="12"/>
                <w:color w:val="auto"/>
              </w:rPr>
              <w:t>$  2.9</w:t>
            </w:r>
          </w:p>
        </w:tc>
        <w:tc>
          <w:tcPr>
            <w:tcW w:w="840" w:type="dxa"/>
            <w:vAlign w:val="bottom"/>
          </w:tcPr>
          <w:p>
            <w:pPr>
              <w:jc w:val="right"/>
              <w:ind w:right="85"/>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69"/>
        </w:trPr>
        <w:tc>
          <w:tcPr>
            <w:tcW w:w="1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E8F4FF"/>
          </w:tcPr>
          <w:p>
            <w:pPr>
              <w:jc w:val="right"/>
              <w:ind w:right="742"/>
              <w:spacing w:after="0"/>
              <w:rPr>
                <w:sz w:val="20"/>
                <w:szCs w:val="20"/>
                <w:color w:val="auto"/>
              </w:rPr>
            </w:pPr>
            <w:r>
              <w:rPr>
                <w:rFonts w:ascii="Arial" w:cs="Arial" w:eastAsia="Arial" w:hAnsi="Arial"/>
                <w:sz w:val="12"/>
                <w:szCs w:val="12"/>
                <w:b w:val="1"/>
                <w:bCs w:val="1"/>
                <w:color w:val="2393FF"/>
              </w:rPr>
              <w:t>2023</w:t>
            </w:r>
          </w:p>
        </w:tc>
        <w:tc>
          <w:tcPr>
            <w:tcW w:w="1040" w:type="dxa"/>
            <w:vAlign w:val="bottom"/>
            <w:shd w:val="clear" w:color="auto" w:fill="E8F4FF"/>
          </w:tcPr>
          <w:p>
            <w:pPr>
              <w:jc w:val="right"/>
              <w:ind w:right="64"/>
              <w:spacing w:after="0"/>
              <w:rPr>
                <w:sz w:val="20"/>
                <w:szCs w:val="20"/>
                <w:color w:val="auto"/>
              </w:rPr>
            </w:pPr>
            <w:r>
              <w:rPr>
                <w:rFonts w:ascii="Arial" w:cs="Arial" w:eastAsia="Arial" w:hAnsi="Arial"/>
                <w:sz w:val="12"/>
                <w:szCs w:val="12"/>
                <w:color w:val="auto"/>
              </w:rPr>
              <w:t>$8,674,650</w:t>
            </w:r>
          </w:p>
        </w:tc>
        <w:tc>
          <w:tcPr>
            <w:tcW w:w="1080" w:type="dxa"/>
            <w:vAlign w:val="bottom"/>
            <w:shd w:val="clear" w:color="auto" w:fill="E8F4FF"/>
          </w:tcPr>
          <w:p>
            <w:pPr>
              <w:jc w:val="right"/>
              <w:ind w:right="83"/>
              <w:spacing w:after="0"/>
              <w:rPr>
                <w:sz w:val="20"/>
                <w:szCs w:val="20"/>
                <w:color w:val="auto"/>
              </w:rPr>
            </w:pPr>
            <w:r>
              <w:rPr>
                <w:rFonts w:ascii="Arial" w:cs="Arial" w:eastAsia="Arial" w:hAnsi="Arial"/>
                <w:sz w:val="12"/>
                <w:szCs w:val="12"/>
                <w:color w:val="auto"/>
              </w:rPr>
              <w:t>$  8,251,940</w:t>
            </w:r>
          </w:p>
        </w:tc>
        <w:tc>
          <w:tcPr>
            <w:tcW w:w="1060" w:type="dxa"/>
            <w:vAlign w:val="bottom"/>
            <w:shd w:val="clear" w:color="auto" w:fill="E8F4FF"/>
          </w:tcPr>
          <w:p>
            <w:pPr>
              <w:jc w:val="right"/>
              <w:ind w:right="65"/>
              <w:spacing w:after="0"/>
              <w:rPr>
                <w:sz w:val="20"/>
                <w:szCs w:val="20"/>
                <w:color w:val="auto"/>
              </w:rPr>
            </w:pPr>
            <w:r>
              <w:rPr>
                <w:rFonts w:ascii="Arial" w:cs="Arial" w:eastAsia="Arial" w:hAnsi="Arial"/>
                <w:sz w:val="12"/>
                <w:szCs w:val="12"/>
                <w:color w:val="auto"/>
              </w:rPr>
              <w:t>$3,721,039</w:t>
            </w:r>
          </w:p>
        </w:tc>
        <w:tc>
          <w:tcPr>
            <w:tcW w:w="110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  3,521,333</w:t>
            </w:r>
          </w:p>
        </w:tc>
        <w:tc>
          <w:tcPr>
            <w:tcW w:w="1020" w:type="dxa"/>
            <w:vAlign w:val="bottom"/>
            <w:shd w:val="clear" w:color="auto" w:fill="E8F4FF"/>
          </w:tcPr>
          <w:p>
            <w:pPr>
              <w:jc w:val="right"/>
              <w:ind w:right="64"/>
              <w:spacing w:after="0"/>
              <w:rPr>
                <w:sz w:val="20"/>
                <w:szCs w:val="20"/>
                <w:color w:val="auto"/>
              </w:rPr>
            </w:pPr>
            <w:r>
              <w:rPr>
                <w:rFonts w:ascii="Arial" w:cs="Arial" w:eastAsia="Arial" w:hAnsi="Arial"/>
                <w:sz w:val="12"/>
                <w:szCs w:val="12"/>
                <w:color w:val="auto"/>
              </w:rPr>
              <w:t>$  96</w:t>
            </w:r>
          </w:p>
        </w:tc>
        <w:tc>
          <w:tcPr>
            <w:tcW w:w="1060" w:type="dxa"/>
            <w:vAlign w:val="bottom"/>
            <w:shd w:val="clear" w:color="auto" w:fill="E8F4FF"/>
          </w:tcPr>
          <w:p>
            <w:pPr>
              <w:jc w:val="right"/>
              <w:ind w:right="84"/>
              <w:spacing w:after="0"/>
              <w:rPr>
                <w:sz w:val="20"/>
                <w:szCs w:val="20"/>
                <w:color w:val="auto"/>
              </w:rPr>
            </w:pPr>
            <w:r>
              <w:rPr>
                <w:rFonts w:ascii="Arial" w:cs="Arial" w:eastAsia="Arial" w:hAnsi="Arial"/>
                <w:sz w:val="12"/>
                <w:szCs w:val="12"/>
                <w:color w:val="auto"/>
              </w:rPr>
              <w:t>$140</w:t>
            </w:r>
          </w:p>
        </w:tc>
        <w:tc>
          <w:tcPr>
            <w:tcW w:w="860" w:type="dxa"/>
            <w:vAlign w:val="bottom"/>
            <w:shd w:val="clear" w:color="auto" w:fill="E8F4FF"/>
          </w:tcPr>
          <w:p>
            <w:pPr>
              <w:jc w:val="right"/>
              <w:ind w:right="24"/>
              <w:spacing w:after="0"/>
              <w:rPr>
                <w:sz w:val="20"/>
                <w:szCs w:val="20"/>
                <w:color w:val="auto"/>
              </w:rPr>
            </w:pPr>
            <w:r>
              <w:rPr>
                <w:rFonts w:ascii="Arial" w:cs="Arial" w:eastAsia="Arial" w:hAnsi="Arial"/>
                <w:sz w:val="12"/>
                <w:szCs w:val="12"/>
                <w:color w:val="auto"/>
              </w:rPr>
              <w:t>($  8.6)</w:t>
            </w:r>
          </w:p>
        </w:tc>
        <w:tc>
          <w:tcPr>
            <w:tcW w:w="84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69"/>
        </w:trPr>
        <w:tc>
          <w:tcPr>
            <w:tcW w:w="1140" w:type="dxa"/>
            <w:vAlign w:val="bottom"/>
            <w:shd w:val="clear" w:color="auto" w:fill="E8F4FF"/>
          </w:tcPr>
          <w:p>
            <w:pPr>
              <w:spacing w:after="0"/>
              <w:rPr>
                <w:sz w:val="5"/>
                <w:szCs w:val="5"/>
                <w:color w:val="auto"/>
              </w:rPr>
            </w:pPr>
          </w:p>
        </w:tc>
        <w:tc>
          <w:tcPr>
            <w:tcW w:w="1040" w:type="dxa"/>
            <w:vAlign w:val="bottom"/>
            <w:shd w:val="clear" w:color="auto" w:fill="E8F4FF"/>
          </w:tcPr>
          <w:p>
            <w:pPr>
              <w:spacing w:after="0"/>
              <w:rPr>
                <w:sz w:val="5"/>
                <w:szCs w:val="5"/>
                <w:color w:val="auto"/>
              </w:rPr>
            </w:pPr>
          </w:p>
        </w:tc>
        <w:tc>
          <w:tcPr>
            <w:tcW w:w="1080" w:type="dxa"/>
            <w:vAlign w:val="bottom"/>
            <w:shd w:val="clear" w:color="auto" w:fill="E8F4FF"/>
          </w:tcPr>
          <w:p>
            <w:pPr>
              <w:spacing w:after="0"/>
              <w:rPr>
                <w:sz w:val="5"/>
                <w:szCs w:val="5"/>
                <w:color w:val="auto"/>
              </w:rPr>
            </w:pPr>
          </w:p>
        </w:tc>
        <w:tc>
          <w:tcPr>
            <w:tcW w:w="1060" w:type="dxa"/>
            <w:vAlign w:val="bottom"/>
            <w:shd w:val="clear" w:color="auto" w:fill="E8F4FF"/>
          </w:tcPr>
          <w:p>
            <w:pPr>
              <w:spacing w:after="0"/>
              <w:rPr>
                <w:sz w:val="5"/>
                <w:szCs w:val="5"/>
                <w:color w:val="auto"/>
              </w:rPr>
            </w:pPr>
          </w:p>
        </w:tc>
        <w:tc>
          <w:tcPr>
            <w:tcW w:w="1100" w:type="dxa"/>
            <w:vAlign w:val="bottom"/>
            <w:shd w:val="clear" w:color="auto" w:fill="E8F4FF"/>
          </w:tcPr>
          <w:p>
            <w:pPr>
              <w:spacing w:after="0"/>
              <w:rPr>
                <w:sz w:val="5"/>
                <w:szCs w:val="5"/>
                <w:color w:val="auto"/>
              </w:rPr>
            </w:pPr>
          </w:p>
        </w:tc>
        <w:tc>
          <w:tcPr>
            <w:tcW w:w="1020" w:type="dxa"/>
            <w:vAlign w:val="bottom"/>
            <w:shd w:val="clear" w:color="auto" w:fill="E8F4FF"/>
          </w:tcPr>
          <w:p>
            <w:pPr>
              <w:spacing w:after="0"/>
              <w:rPr>
                <w:sz w:val="5"/>
                <w:szCs w:val="5"/>
                <w:color w:val="auto"/>
              </w:rPr>
            </w:pPr>
          </w:p>
        </w:tc>
        <w:tc>
          <w:tcPr>
            <w:tcW w:w="1060" w:type="dxa"/>
            <w:vAlign w:val="bottom"/>
            <w:shd w:val="clear" w:color="auto" w:fill="E8F4FF"/>
          </w:tcPr>
          <w:p>
            <w:pPr>
              <w:spacing w:after="0"/>
              <w:rPr>
                <w:sz w:val="5"/>
                <w:szCs w:val="5"/>
                <w:color w:val="auto"/>
              </w:rPr>
            </w:pPr>
          </w:p>
        </w:tc>
        <w:tc>
          <w:tcPr>
            <w:tcW w:w="860" w:type="dxa"/>
            <w:vAlign w:val="bottom"/>
            <w:shd w:val="clear" w:color="auto" w:fill="E8F4FF"/>
          </w:tcPr>
          <w:p>
            <w:pPr>
              <w:spacing w:after="0"/>
              <w:rPr>
                <w:sz w:val="5"/>
                <w:szCs w:val="5"/>
                <w:color w:val="auto"/>
              </w:rPr>
            </w:pPr>
          </w:p>
        </w:tc>
        <w:tc>
          <w:tcPr>
            <w:tcW w:w="84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140" w:type="dxa"/>
            <w:vAlign w:val="bottom"/>
          </w:tcPr>
          <w:p>
            <w:pPr>
              <w:jc w:val="right"/>
              <w:ind w:right="742"/>
              <w:spacing w:after="0"/>
              <w:rPr>
                <w:sz w:val="20"/>
                <w:szCs w:val="20"/>
                <w:color w:val="auto"/>
              </w:rPr>
            </w:pPr>
            <w:r>
              <w:rPr>
                <w:rFonts w:ascii="Arial" w:cs="Arial" w:eastAsia="Arial" w:hAnsi="Arial"/>
                <w:sz w:val="12"/>
                <w:szCs w:val="12"/>
                <w:b w:val="1"/>
                <w:bCs w:val="1"/>
                <w:color w:val="2393FF"/>
              </w:rPr>
              <w:t>2022</w:t>
            </w:r>
          </w:p>
        </w:tc>
        <w:tc>
          <w:tcPr>
            <w:tcW w:w="1040" w:type="dxa"/>
            <w:vAlign w:val="bottom"/>
          </w:tcPr>
          <w:p>
            <w:pPr>
              <w:jc w:val="right"/>
              <w:ind w:right="64"/>
              <w:spacing w:after="0"/>
              <w:rPr>
                <w:sz w:val="20"/>
                <w:szCs w:val="20"/>
                <w:color w:val="auto"/>
              </w:rPr>
            </w:pPr>
            <w:r>
              <w:rPr>
                <w:rFonts w:ascii="Arial" w:cs="Arial" w:eastAsia="Arial" w:hAnsi="Arial"/>
                <w:sz w:val="12"/>
                <w:szCs w:val="12"/>
                <w:color w:val="auto"/>
              </w:rPr>
              <w:t>$7,070,674</w:t>
            </w:r>
          </w:p>
        </w:tc>
        <w:tc>
          <w:tcPr>
            <w:tcW w:w="1080" w:type="dxa"/>
            <w:vAlign w:val="bottom"/>
          </w:tcPr>
          <w:p>
            <w:pPr>
              <w:jc w:val="right"/>
              <w:ind w:right="43"/>
              <w:spacing w:after="0"/>
              <w:rPr>
                <w:sz w:val="20"/>
                <w:szCs w:val="20"/>
                <w:color w:val="auto"/>
              </w:rPr>
            </w:pPr>
            <w:r>
              <w:rPr>
                <w:rFonts w:ascii="Arial" w:cs="Arial" w:eastAsia="Arial" w:hAnsi="Arial"/>
                <w:sz w:val="12"/>
                <w:szCs w:val="12"/>
                <w:color w:val="auto"/>
              </w:rPr>
              <w:t>($  4,643,996)</w:t>
            </w:r>
          </w:p>
        </w:tc>
        <w:tc>
          <w:tcPr>
            <w:tcW w:w="1060" w:type="dxa"/>
            <w:vAlign w:val="bottom"/>
          </w:tcPr>
          <w:p>
            <w:pPr>
              <w:jc w:val="right"/>
              <w:ind w:right="65"/>
              <w:spacing w:after="0"/>
              <w:rPr>
                <w:sz w:val="20"/>
                <w:szCs w:val="20"/>
                <w:color w:val="auto"/>
              </w:rPr>
            </w:pPr>
            <w:r>
              <w:rPr>
                <w:rFonts w:ascii="Arial" w:cs="Arial" w:eastAsia="Arial" w:hAnsi="Arial"/>
                <w:sz w:val="12"/>
                <w:szCs w:val="12"/>
                <w:color w:val="auto"/>
              </w:rPr>
              <w:t>$3,133,530</w:t>
            </w:r>
          </w:p>
        </w:tc>
        <w:tc>
          <w:tcPr>
            <w:tcW w:w="1100" w:type="dxa"/>
            <w:vAlign w:val="bottom"/>
          </w:tcPr>
          <w:p>
            <w:pPr>
              <w:jc w:val="right"/>
              <w:ind w:right="45"/>
              <w:spacing w:after="0"/>
              <w:rPr>
                <w:sz w:val="20"/>
                <w:szCs w:val="20"/>
                <w:color w:val="auto"/>
              </w:rPr>
            </w:pPr>
            <w:r>
              <w:rPr>
                <w:rFonts w:ascii="Arial" w:cs="Arial" w:eastAsia="Arial" w:hAnsi="Arial"/>
                <w:sz w:val="12"/>
                <w:szCs w:val="12"/>
                <w:color w:val="auto"/>
              </w:rPr>
              <w:t>($  1,252,929)</w:t>
            </w:r>
          </w:p>
        </w:tc>
        <w:tc>
          <w:tcPr>
            <w:tcW w:w="1020" w:type="dxa"/>
            <w:vAlign w:val="bottom"/>
          </w:tcPr>
          <w:p>
            <w:pPr>
              <w:jc w:val="right"/>
              <w:ind w:right="64"/>
              <w:spacing w:after="0"/>
              <w:rPr>
                <w:sz w:val="20"/>
                <w:szCs w:val="20"/>
                <w:color w:val="auto"/>
              </w:rPr>
            </w:pPr>
            <w:r>
              <w:rPr>
                <w:rFonts w:ascii="Arial" w:cs="Arial" w:eastAsia="Arial" w:hAnsi="Arial"/>
                <w:sz w:val="12"/>
                <w:szCs w:val="12"/>
                <w:color w:val="auto"/>
              </w:rPr>
              <w:t>$102</w:t>
            </w:r>
          </w:p>
        </w:tc>
        <w:tc>
          <w:tcPr>
            <w:tcW w:w="1060" w:type="dxa"/>
            <w:vAlign w:val="bottom"/>
          </w:tcPr>
          <w:p>
            <w:pPr>
              <w:jc w:val="right"/>
              <w:ind w:right="84"/>
              <w:spacing w:after="0"/>
              <w:rPr>
                <w:sz w:val="20"/>
                <w:szCs w:val="20"/>
                <w:color w:val="auto"/>
              </w:rPr>
            </w:pPr>
            <w:r>
              <w:rPr>
                <w:rFonts w:ascii="Arial" w:cs="Arial" w:eastAsia="Arial" w:hAnsi="Arial"/>
                <w:sz w:val="12"/>
                <w:szCs w:val="12"/>
                <w:color w:val="auto"/>
              </w:rPr>
              <w:t>$  89</w:t>
            </w:r>
          </w:p>
        </w:tc>
        <w:tc>
          <w:tcPr>
            <w:tcW w:w="860" w:type="dxa"/>
            <w:vAlign w:val="bottom"/>
          </w:tcPr>
          <w:p>
            <w:pPr>
              <w:jc w:val="right"/>
              <w:ind w:right="24"/>
              <w:spacing w:after="0"/>
              <w:rPr>
                <w:sz w:val="20"/>
                <w:szCs w:val="20"/>
                <w:color w:val="auto"/>
              </w:rPr>
            </w:pPr>
            <w:r>
              <w:rPr>
                <w:rFonts w:ascii="Arial" w:cs="Arial" w:eastAsia="Arial" w:hAnsi="Arial"/>
                <w:sz w:val="12"/>
                <w:szCs w:val="12"/>
                <w:color w:val="auto"/>
              </w:rPr>
              <w:t>($39.3)</w:t>
            </w:r>
          </w:p>
        </w:tc>
        <w:tc>
          <w:tcPr>
            <w:tcW w:w="840" w:type="dxa"/>
            <w:vAlign w:val="bottom"/>
          </w:tcPr>
          <w:p>
            <w:pPr>
              <w:jc w:val="right"/>
              <w:ind w:right="85"/>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69"/>
        </w:trPr>
        <w:tc>
          <w:tcPr>
            <w:tcW w:w="1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E8F4FF"/>
          </w:tcPr>
          <w:p>
            <w:pPr>
              <w:jc w:val="right"/>
              <w:ind w:right="742"/>
              <w:spacing w:after="0"/>
              <w:rPr>
                <w:sz w:val="20"/>
                <w:szCs w:val="20"/>
                <w:color w:val="auto"/>
              </w:rPr>
            </w:pPr>
            <w:r>
              <w:rPr>
                <w:rFonts w:ascii="Arial" w:cs="Arial" w:eastAsia="Arial" w:hAnsi="Arial"/>
                <w:sz w:val="12"/>
                <w:szCs w:val="12"/>
                <w:b w:val="1"/>
                <w:bCs w:val="1"/>
                <w:color w:val="2393FF"/>
              </w:rPr>
              <w:t>2021</w:t>
            </w:r>
          </w:p>
        </w:tc>
        <w:tc>
          <w:tcPr>
            <w:tcW w:w="1040" w:type="dxa"/>
            <w:vAlign w:val="bottom"/>
            <w:shd w:val="clear" w:color="auto" w:fill="E8F4FF"/>
          </w:tcPr>
          <w:p>
            <w:pPr>
              <w:jc w:val="right"/>
              <w:ind w:right="64"/>
              <w:spacing w:after="0"/>
              <w:rPr>
                <w:sz w:val="20"/>
                <w:szCs w:val="20"/>
                <w:color w:val="auto"/>
              </w:rPr>
            </w:pPr>
            <w:r>
              <w:rPr>
                <w:rFonts w:ascii="Arial" w:cs="Arial" w:eastAsia="Arial" w:hAnsi="Arial"/>
                <w:sz w:val="12"/>
                <w:szCs w:val="12"/>
                <w:color w:val="auto"/>
              </w:rPr>
              <w:t>$4,768,798</w:t>
            </w:r>
          </w:p>
        </w:tc>
        <w:tc>
          <w:tcPr>
            <w:tcW w:w="1080" w:type="dxa"/>
            <w:vAlign w:val="bottom"/>
            <w:shd w:val="clear" w:color="auto" w:fill="E8F4FF"/>
          </w:tcPr>
          <w:p>
            <w:pPr>
              <w:jc w:val="right"/>
              <w:ind w:right="83"/>
              <w:spacing w:after="0"/>
              <w:rPr>
                <w:sz w:val="20"/>
                <w:szCs w:val="20"/>
                <w:color w:val="auto"/>
              </w:rPr>
            </w:pPr>
            <w:r>
              <w:rPr>
                <w:rFonts w:ascii="Arial" w:cs="Arial" w:eastAsia="Arial" w:hAnsi="Arial"/>
                <w:sz w:val="12"/>
                <w:szCs w:val="12"/>
                <w:color w:val="auto"/>
              </w:rPr>
              <w:t>$40,706,656</w:t>
            </w:r>
          </w:p>
        </w:tc>
        <w:tc>
          <w:tcPr>
            <w:tcW w:w="1060" w:type="dxa"/>
            <w:vAlign w:val="bottom"/>
            <w:shd w:val="clear" w:color="auto" w:fill="E8F4FF"/>
          </w:tcPr>
          <w:p>
            <w:pPr>
              <w:jc w:val="right"/>
              <w:ind w:right="65"/>
              <w:spacing w:after="0"/>
              <w:rPr>
                <w:sz w:val="20"/>
                <w:szCs w:val="20"/>
                <w:color w:val="auto"/>
              </w:rPr>
            </w:pPr>
            <w:r>
              <w:rPr>
                <w:rFonts w:ascii="Arial" w:cs="Arial" w:eastAsia="Arial" w:hAnsi="Arial"/>
                <w:sz w:val="12"/>
                <w:szCs w:val="12"/>
                <w:color w:val="auto"/>
              </w:rPr>
              <w:t>$2,685,819</w:t>
            </w:r>
          </w:p>
        </w:tc>
        <w:tc>
          <w:tcPr>
            <w:tcW w:w="110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$21,188,572</w:t>
            </w:r>
          </w:p>
        </w:tc>
        <w:tc>
          <w:tcPr>
            <w:tcW w:w="1020" w:type="dxa"/>
            <w:vAlign w:val="bottom"/>
            <w:shd w:val="clear" w:color="auto" w:fill="E8F4FF"/>
          </w:tcPr>
          <w:p>
            <w:pPr>
              <w:jc w:val="right"/>
              <w:ind w:right="64"/>
              <w:spacing w:after="0"/>
              <w:rPr>
                <w:sz w:val="20"/>
                <w:szCs w:val="20"/>
                <w:color w:val="auto"/>
              </w:rPr>
            </w:pPr>
            <w:r>
              <w:rPr>
                <w:rFonts w:ascii="Arial" w:cs="Arial" w:eastAsia="Arial" w:hAnsi="Arial"/>
                <w:sz w:val="12"/>
                <w:szCs w:val="12"/>
                <w:color w:val="auto"/>
              </w:rPr>
              <w:t>$159</w:t>
            </w:r>
          </w:p>
        </w:tc>
        <w:tc>
          <w:tcPr>
            <w:tcW w:w="1060" w:type="dxa"/>
            <w:vAlign w:val="bottom"/>
            <w:shd w:val="clear" w:color="auto" w:fill="E8F4FF"/>
          </w:tcPr>
          <w:p>
            <w:pPr>
              <w:jc w:val="right"/>
              <w:ind w:right="84"/>
              <w:spacing w:after="0"/>
              <w:rPr>
                <w:sz w:val="20"/>
                <w:szCs w:val="20"/>
                <w:color w:val="auto"/>
              </w:rPr>
            </w:pPr>
            <w:r>
              <w:rPr>
                <w:rFonts w:ascii="Arial" w:cs="Arial" w:eastAsia="Arial" w:hAnsi="Arial"/>
                <w:sz w:val="12"/>
                <w:szCs w:val="12"/>
                <w:color w:val="auto"/>
              </w:rPr>
              <w:t>$126</w:t>
            </w:r>
          </w:p>
        </w:tc>
        <w:tc>
          <w:tcPr>
            <w:tcW w:w="860" w:type="dxa"/>
            <w:vAlign w:val="bottom"/>
            <w:shd w:val="clear" w:color="auto" w:fill="E8F4FF"/>
          </w:tcPr>
          <w:p>
            <w:pPr>
              <w:jc w:val="right"/>
              <w:ind w:right="24"/>
              <w:spacing w:after="0"/>
              <w:rPr>
                <w:sz w:val="20"/>
                <w:szCs w:val="20"/>
                <w:color w:val="auto"/>
              </w:rPr>
            </w:pPr>
            <w:r>
              <w:rPr>
                <w:rFonts w:ascii="Arial" w:cs="Arial" w:eastAsia="Arial" w:hAnsi="Arial"/>
                <w:sz w:val="12"/>
                <w:szCs w:val="12"/>
                <w:color w:val="auto"/>
              </w:rPr>
              <w:t>($28.1)</w:t>
            </w:r>
          </w:p>
        </w:tc>
        <w:tc>
          <w:tcPr>
            <w:tcW w:w="840" w:type="dxa"/>
            <w:vAlign w:val="bottom"/>
            <w:shd w:val="clear" w:color="auto" w:fill="E8F4FF"/>
          </w:tcPr>
          <w:p>
            <w:pPr>
              <w:jc w:val="right"/>
              <w:ind w:right="85"/>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69"/>
        </w:trPr>
        <w:tc>
          <w:tcPr>
            <w:tcW w:w="1140" w:type="dxa"/>
            <w:vAlign w:val="bottom"/>
            <w:tcBorders>
              <w:bottom w:val="single" w:sz="8" w:color="2393FF"/>
            </w:tcBorders>
            <w:shd w:val="clear" w:color="auto" w:fill="E8F4FF"/>
          </w:tcPr>
          <w:p>
            <w:pPr>
              <w:spacing w:after="0"/>
              <w:rPr>
                <w:sz w:val="5"/>
                <w:szCs w:val="5"/>
                <w:color w:val="auto"/>
              </w:rPr>
            </w:pPr>
          </w:p>
        </w:tc>
        <w:tc>
          <w:tcPr>
            <w:tcW w:w="1040" w:type="dxa"/>
            <w:vAlign w:val="bottom"/>
            <w:tcBorders>
              <w:bottom w:val="single" w:sz="8" w:color="2393FF"/>
            </w:tcBorders>
            <w:shd w:val="clear" w:color="auto" w:fill="E8F4FF"/>
          </w:tcPr>
          <w:p>
            <w:pPr>
              <w:spacing w:after="0"/>
              <w:rPr>
                <w:sz w:val="5"/>
                <w:szCs w:val="5"/>
                <w:color w:val="auto"/>
              </w:rPr>
            </w:pPr>
          </w:p>
        </w:tc>
        <w:tc>
          <w:tcPr>
            <w:tcW w:w="1080" w:type="dxa"/>
            <w:vAlign w:val="bottom"/>
            <w:tcBorders>
              <w:bottom w:val="single" w:sz="8" w:color="2393FF"/>
            </w:tcBorders>
            <w:shd w:val="clear" w:color="auto" w:fill="E8F4FF"/>
          </w:tcPr>
          <w:p>
            <w:pPr>
              <w:spacing w:after="0"/>
              <w:rPr>
                <w:sz w:val="5"/>
                <w:szCs w:val="5"/>
                <w:color w:val="auto"/>
              </w:rPr>
            </w:pPr>
          </w:p>
        </w:tc>
        <w:tc>
          <w:tcPr>
            <w:tcW w:w="1060" w:type="dxa"/>
            <w:vAlign w:val="bottom"/>
            <w:tcBorders>
              <w:bottom w:val="single" w:sz="8" w:color="2393FF"/>
            </w:tcBorders>
            <w:shd w:val="clear" w:color="auto" w:fill="E8F4FF"/>
          </w:tcPr>
          <w:p>
            <w:pPr>
              <w:spacing w:after="0"/>
              <w:rPr>
                <w:sz w:val="5"/>
                <w:szCs w:val="5"/>
                <w:color w:val="auto"/>
              </w:rPr>
            </w:pPr>
          </w:p>
        </w:tc>
        <w:tc>
          <w:tcPr>
            <w:tcW w:w="1100" w:type="dxa"/>
            <w:vAlign w:val="bottom"/>
            <w:tcBorders>
              <w:bottom w:val="single" w:sz="8" w:color="2393FF"/>
            </w:tcBorders>
            <w:shd w:val="clear" w:color="auto" w:fill="E8F4FF"/>
          </w:tcPr>
          <w:p>
            <w:pPr>
              <w:spacing w:after="0"/>
              <w:rPr>
                <w:sz w:val="5"/>
                <w:szCs w:val="5"/>
                <w:color w:val="auto"/>
              </w:rPr>
            </w:pPr>
          </w:p>
        </w:tc>
        <w:tc>
          <w:tcPr>
            <w:tcW w:w="1020" w:type="dxa"/>
            <w:vAlign w:val="bottom"/>
            <w:tcBorders>
              <w:bottom w:val="single" w:sz="8" w:color="2393FF"/>
            </w:tcBorders>
            <w:shd w:val="clear" w:color="auto" w:fill="E8F4FF"/>
          </w:tcPr>
          <w:p>
            <w:pPr>
              <w:spacing w:after="0"/>
              <w:rPr>
                <w:sz w:val="5"/>
                <w:szCs w:val="5"/>
                <w:color w:val="auto"/>
              </w:rPr>
            </w:pPr>
          </w:p>
        </w:tc>
        <w:tc>
          <w:tcPr>
            <w:tcW w:w="1060" w:type="dxa"/>
            <w:vAlign w:val="bottom"/>
            <w:tcBorders>
              <w:bottom w:val="single" w:sz="8" w:color="2393FF"/>
            </w:tcBorders>
            <w:shd w:val="clear" w:color="auto" w:fill="E8F4FF"/>
          </w:tcPr>
          <w:p>
            <w:pPr>
              <w:spacing w:after="0"/>
              <w:rPr>
                <w:sz w:val="5"/>
                <w:szCs w:val="5"/>
                <w:color w:val="auto"/>
              </w:rPr>
            </w:pPr>
          </w:p>
        </w:tc>
        <w:tc>
          <w:tcPr>
            <w:tcW w:w="860" w:type="dxa"/>
            <w:vAlign w:val="bottom"/>
            <w:tcBorders>
              <w:bottom w:val="single" w:sz="8" w:color="2393FF"/>
            </w:tcBorders>
            <w:shd w:val="clear" w:color="auto" w:fill="E8F4FF"/>
          </w:tcPr>
          <w:p>
            <w:pPr>
              <w:spacing w:after="0"/>
              <w:rPr>
                <w:sz w:val="5"/>
                <w:szCs w:val="5"/>
                <w:color w:val="auto"/>
              </w:rPr>
            </w:pPr>
          </w:p>
        </w:tc>
        <w:tc>
          <w:tcPr>
            <w:tcW w:w="840" w:type="dxa"/>
            <w:vAlign w:val="bottom"/>
            <w:tcBorders>
              <w:bottom w:val="single" w:sz="8" w:color="2393FF"/>
            </w:tcBorders>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380" w:right="180" w:hanging="353"/>
        <w:spacing w:after="0" w:line="238" w:lineRule="auto"/>
        <w:tabs>
          <w:tab w:leader="none" w:pos="1380" w:val="left"/>
        </w:tabs>
        <w:numPr>
          <w:ilvl w:val="0"/>
          <w:numId w:val="86"/>
        </w:numPr>
        <w:rPr>
          <w:rFonts w:ascii="Arial" w:cs="Arial" w:eastAsia="Arial" w:hAnsi="Arial"/>
          <w:sz w:val="11"/>
          <w:szCs w:val="11"/>
          <w:color w:val="333333"/>
        </w:rPr>
      </w:pPr>
      <w:r>
        <w:rPr>
          <w:rFonts w:ascii="Arial" w:cs="Arial" w:eastAsia="Arial" w:hAnsi="Arial"/>
          <w:sz w:val="11"/>
          <w:szCs w:val="11"/>
          <w:color w:val="333333"/>
        </w:rPr>
        <w:t>The dollar amounts reported in column (b) are the amounts of total compensation reported for Mr. Massaro (our Chief Executive Officer) for each corresponding year in the Total column of the Summary Compensation Table. Refer to Executive Compensation – Summary Compensation Table.</w:t>
      </w:r>
    </w:p>
    <w:p>
      <w:pPr>
        <w:spacing w:after="0" w:line="42" w:lineRule="exact"/>
        <w:rPr>
          <w:rFonts w:ascii="Arial" w:cs="Arial" w:eastAsia="Arial" w:hAnsi="Arial"/>
          <w:sz w:val="11"/>
          <w:szCs w:val="11"/>
          <w:color w:val="333333"/>
        </w:rPr>
      </w:pPr>
    </w:p>
    <w:p>
      <w:pPr>
        <w:ind w:left="1380" w:right="20" w:hanging="353"/>
        <w:spacing w:after="0" w:line="230" w:lineRule="auto"/>
        <w:tabs>
          <w:tab w:leader="none" w:pos="1380" w:val="left"/>
        </w:tabs>
        <w:numPr>
          <w:ilvl w:val="0"/>
          <w:numId w:val="86"/>
        </w:numPr>
        <w:rPr>
          <w:rFonts w:ascii="Arial" w:cs="Arial" w:eastAsia="Arial" w:hAnsi="Arial"/>
          <w:sz w:val="11"/>
          <w:szCs w:val="11"/>
          <w:color w:val="333333"/>
        </w:rPr>
      </w:pPr>
      <w:r>
        <w:rPr>
          <w:rFonts w:ascii="Arial" w:cs="Arial" w:eastAsia="Arial" w:hAnsi="Arial"/>
          <w:sz w:val="11"/>
          <w:szCs w:val="11"/>
          <w:color w:val="333333"/>
        </w:rPr>
        <w:t>The dollar amounts reported in column (c) represent the amount of compensation actually paid to Mr. Massaro, as computed in accordance with Item 402(v) of Regulation S-K. The dollar amounts do not reflect the actual amount of compensation earned by or paid to Mr. Massaro during the applicable year. In accordance with the requirements of Item 402(v) of Regulation S-K, the following adjustments were made to Mr. Massaro’s total compensation for each year to determine the compensation actually paid:</w:t>
      </w:r>
    </w:p>
    <w:p>
      <w:pPr>
        <w:spacing w:after="0" w:line="265"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jc w:val="right"/>
              <w:ind w:right="226"/>
              <w:spacing w:after="0"/>
              <w:rPr>
                <w:sz w:val="20"/>
                <w:szCs w:val="20"/>
                <w:color w:val="auto"/>
              </w:rPr>
            </w:pPr>
            <w:r>
              <w:rPr>
                <w:rFonts w:ascii="Arial" w:cs="Arial" w:eastAsia="Arial" w:hAnsi="Arial"/>
                <w:sz w:val="11"/>
                <w:szCs w:val="11"/>
                <w:b w:val="1"/>
                <w:bCs w:val="1"/>
                <w:color w:val="auto"/>
              </w:rPr>
              <w:t>REPORTED</w:t>
            </w:r>
          </w:p>
        </w:tc>
        <w:tc>
          <w:tcPr>
            <w:tcW w:w="186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                 REPORTED</w:t>
            </w:r>
          </w:p>
        </w:tc>
        <w:tc>
          <w:tcPr>
            <w:tcW w:w="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jc w:val="right"/>
              <w:ind w:right="226"/>
              <w:spacing w:after="0" w:line="105" w:lineRule="exact"/>
              <w:rPr>
                <w:sz w:val="20"/>
                <w:szCs w:val="20"/>
                <w:color w:val="auto"/>
              </w:rPr>
            </w:pPr>
            <w:r>
              <w:rPr>
                <w:rFonts w:ascii="Arial" w:cs="Arial" w:eastAsia="Arial" w:hAnsi="Arial"/>
                <w:sz w:val="11"/>
                <w:szCs w:val="11"/>
                <w:b w:val="1"/>
                <w:bCs w:val="1"/>
                <w:color w:val="auto"/>
              </w:rPr>
              <w:t>SUMMARY</w:t>
            </w:r>
          </w:p>
        </w:tc>
        <w:tc>
          <w:tcPr>
            <w:tcW w:w="18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70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5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 xml:space="preserve">     </w:t>
            </w:r>
          </w:p>
        </w:tc>
        <w:tc>
          <w:tcPr>
            <w:tcW w:w="1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         COMPENSATION</w:t>
            </w:r>
          </w:p>
        </w:tc>
        <w:tc>
          <w:tcPr>
            <w:tcW w:w="0" w:type="dxa"/>
            <w:vAlign w:val="bottom"/>
          </w:tcPr>
          <w:p>
            <w:pPr>
              <w:spacing w:after="0"/>
              <w:rPr>
                <w:sz w:val="1"/>
                <w:szCs w:val="1"/>
                <w:color w:val="auto"/>
              </w:rPr>
            </w:pPr>
          </w:p>
        </w:tc>
      </w:tr>
      <w:tr>
        <w:trPr>
          <w:trHeight w:val="113"/>
        </w:trPr>
        <w:tc>
          <w:tcPr>
            <w:tcW w:w="1280" w:type="dxa"/>
            <w:vAlign w:val="bottom"/>
          </w:tcPr>
          <w:p>
            <w:pPr>
              <w:spacing w:after="0"/>
              <w:rPr>
                <w:sz w:val="9"/>
                <w:szCs w:val="9"/>
                <w:color w:val="auto"/>
              </w:rPr>
            </w:pPr>
          </w:p>
        </w:tc>
        <w:tc>
          <w:tcPr>
            <w:tcW w:w="1640" w:type="dxa"/>
            <w:vAlign w:val="bottom"/>
            <w:gridSpan w:val="2"/>
          </w:tcPr>
          <w:p>
            <w:pPr>
              <w:jc w:val="right"/>
              <w:ind w:right="226"/>
              <w:spacing w:after="0" w:line="113" w:lineRule="exact"/>
              <w:rPr>
                <w:sz w:val="20"/>
                <w:szCs w:val="20"/>
                <w:color w:val="auto"/>
              </w:rPr>
            </w:pPr>
            <w:r>
              <w:rPr>
                <w:rFonts w:ascii="Arial" w:cs="Arial" w:eastAsia="Arial" w:hAnsi="Arial"/>
                <w:sz w:val="11"/>
                <w:szCs w:val="11"/>
                <w:b w:val="1"/>
                <w:bCs w:val="1"/>
                <w:color w:val="auto"/>
              </w:rPr>
              <w:t>COMPENSATION</w:t>
            </w:r>
          </w:p>
        </w:tc>
        <w:tc>
          <w:tcPr>
            <w:tcW w:w="1860" w:type="dxa"/>
            <w:vAlign w:val="bottom"/>
          </w:tcPr>
          <w:p>
            <w:pPr>
              <w:jc w:val="right"/>
              <w:ind w:right="226"/>
              <w:spacing w:after="0" w:line="113" w:lineRule="exact"/>
              <w:rPr>
                <w:sz w:val="20"/>
                <w:szCs w:val="20"/>
                <w:color w:val="auto"/>
              </w:rPr>
            </w:pPr>
            <w:r>
              <w:rPr>
                <w:rFonts w:ascii="Arial" w:cs="Arial" w:eastAsia="Arial" w:hAnsi="Arial"/>
                <w:sz w:val="11"/>
                <w:szCs w:val="11"/>
                <w:b w:val="1"/>
                <w:bCs w:val="1"/>
                <w:color w:val="auto"/>
              </w:rPr>
              <w:t>VALUE OF</w:t>
            </w:r>
          </w:p>
        </w:tc>
        <w:tc>
          <w:tcPr>
            <w:tcW w:w="44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80" w:type="dxa"/>
            <w:vAlign w:val="bottom"/>
            <w:vMerge w:val="restart"/>
          </w:tcPr>
          <w:p>
            <w:pPr>
              <w:jc w:val="right"/>
              <w:ind w:right="884"/>
              <w:spacing w:after="0"/>
              <w:rPr>
                <w:sz w:val="20"/>
                <w:szCs w:val="20"/>
                <w:color w:val="auto"/>
              </w:rPr>
            </w:pPr>
            <w:r>
              <w:rPr>
                <w:rFonts w:ascii="Arial" w:cs="Arial" w:eastAsia="Arial" w:hAnsi="Arial"/>
                <w:sz w:val="11"/>
                <w:szCs w:val="11"/>
                <w:b w:val="1"/>
                <w:bCs w:val="1"/>
                <w:color w:val="auto"/>
                <w:w w:val="81"/>
              </w:rPr>
              <w:t>  YEAR</w:t>
            </w:r>
          </w:p>
        </w:tc>
        <w:tc>
          <w:tcPr>
            <w:tcW w:w="600" w:type="dxa"/>
            <w:vAlign w:val="bottom"/>
          </w:tcPr>
          <w:p>
            <w:pPr>
              <w:spacing w:after="0"/>
              <w:rPr>
                <w:sz w:val="9"/>
                <w:szCs w:val="9"/>
                <w:color w:val="auto"/>
              </w:rPr>
            </w:pPr>
          </w:p>
        </w:tc>
        <w:tc>
          <w:tcPr>
            <w:tcW w:w="1040" w:type="dxa"/>
            <w:vAlign w:val="bottom"/>
          </w:tcPr>
          <w:p>
            <w:pPr>
              <w:jc w:val="right"/>
              <w:ind w:right="226"/>
              <w:spacing w:after="0" w:line="113" w:lineRule="exact"/>
              <w:rPr>
                <w:sz w:val="20"/>
                <w:szCs w:val="20"/>
                <w:color w:val="auto"/>
              </w:rPr>
            </w:pPr>
            <w:r>
              <w:rPr>
                <w:rFonts w:ascii="Arial" w:cs="Arial" w:eastAsia="Arial" w:hAnsi="Arial"/>
                <w:sz w:val="11"/>
                <w:szCs w:val="11"/>
                <w:b w:val="1"/>
                <w:bCs w:val="1"/>
                <w:color w:val="auto"/>
                <w:w w:val="96"/>
              </w:rPr>
              <w:t>TABLE TOTAL</w:t>
            </w:r>
          </w:p>
        </w:tc>
        <w:tc>
          <w:tcPr>
            <w:tcW w:w="1860" w:type="dxa"/>
            <w:vAlign w:val="bottom"/>
          </w:tcPr>
          <w:p>
            <w:pPr>
              <w:jc w:val="right"/>
              <w:ind w:right="226"/>
              <w:spacing w:after="0" w:line="113" w:lineRule="exact"/>
              <w:rPr>
                <w:sz w:val="20"/>
                <w:szCs w:val="20"/>
                <w:color w:val="auto"/>
              </w:rPr>
            </w:pPr>
            <w:r>
              <w:rPr>
                <w:rFonts w:ascii="Arial" w:cs="Arial" w:eastAsia="Arial" w:hAnsi="Arial"/>
                <w:sz w:val="11"/>
                <w:szCs w:val="11"/>
                <w:b w:val="1"/>
                <w:bCs w:val="1"/>
                <w:color w:val="auto"/>
              </w:rPr>
              <w:t>EQUITY</w:t>
            </w:r>
          </w:p>
        </w:tc>
        <w:tc>
          <w:tcPr>
            <w:tcW w:w="44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 xml:space="preserve">   </w:t>
            </w:r>
          </w:p>
        </w:tc>
        <w:tc>
          <w:tcPr>
            <w:tcW w:w="1700" w:type="dxa"/>
            <w:vAlign w:val="bottom"/>
          </w:tcPr>
          <w:p>
            <w:pPr>
              <w:jc w:val="right"/>
              <w:ind w:right="206"/>
              <w:spacing w:after="0" w:line="113" w:lineRule="exact"/>
              <w:rPr>
                <w:sz w:val="20"/>
                <w:szCs w:val="20"/>
                <w:color w:val="auto"/>
              </w:rPr>
            </w:pPr>
            <w:r>
              <w:rPr>
                <w:rFonts w:ascii="Arial" w:cs="Arial" w:eastAsia="Arial" w:hAnsi="Arial"/>
                <w:sz w:val="11"/>
                <w:szCs w:val="11"/>
                <w:b w:val="1"/>
                <w:bCs w:val="1"/>
                <w:color w:val="auto"/>
              </w:rPr>
              <w:t>AWARD</w:t>
            </w:r>
          </w:p>
        </w:tc>
        <w:tc>
          <w:tcPr>
            <w:tcW w:w="560" w:type="dxa"/>
            <w:vAlign w:val="bottom"/>
          </w:tcPr>
          <w:p>
            <w:pPr>
              <w:spacing w:after="0"/>
              <w:rPr>
                <w:sz w:val="9"/>
                <w:szCs w:val="9"/>
                <w:color w:val="auto"/>
              </w:rPr>
            </w:pPr>
          </w:p>
        </w:tc>
        <w:tc>
          <w:tcPr>
            <w:tcW w:w="1340" w:type="dxa"/>
            <w:vAlign w:val="bottom"/>
          </w:tcPr>
          <w:p>
            <w:pPr>
              <w:jc w:val="right"/>
              <w:spacing w:after="0" w:line="113" w:lineRule="exact"/>
              <w:rPr>
                <w:sz w:val="20"/>
                <w:szCs w:val="20"/>
                <w:color w:val="auto"/>
              </w:rPr>
            </w:pPr>
            <w:r>
              <w:rPr>
                <w:rFonts w:ascii="Arial" w:cs="Arial" w:eastAsia="Arial" w:hAnsi="Arial"/>
                <w:sz w:val="11"/>
                <w:szCs w:val="11"/>
                <w:b w:val="1"/>
                <w:bCs w:val="1"/>
                <w:color w:val="auto"/>
              </w:rPr>
              <w:t>ACTUALLY</w:t>
            </w:r>
          </w:p>
        </w:tc>
        <w:tc>
          <w:tcPr>
            <w:tcW w:w="0" w:type="dxa"/>
            <w:vAlign w:val="bottom"/>
          </w:tcPr>
          <w:p>
            <w:pPr>
              <w:spacing w:after="0"/>
              <w:rPr>
                <w:sz w:val="1"/>
                <w:szCs w:val="1"/>
                <w:color w:val="auto"/>
              </w:rPr>
            </w:pPr>
          </w:p>
        </w:tc>
      </w:tr>
      <w:tr>
        <w:trPr>
          <w:trHeight w:val="180"/>
        </w:trPr>
        <w:tc>
          <w:tcPr>
            <w:tcW w:w="12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226"/>
              <w:spacing w:after="0"/>
              <w:rPr>
                <w:sz w:val="20"/>
                <w:szCs w:val="20"/>
                <w:color w:val="auto"/>
              </w:rPr>
            </w:pPr>
            <w:r>
              <w:rPr>
                <w:rFonts w:ascii="Arial" w:cs="Arial" w:eastAsia="Arial" w:hAnsi="Arial"/>
                <w:sz w:val="11"/>
                <w:szCs w:val="11"/>
                <w:b w:val="1"/>
                <w:bCs w:val="1"/>
                <w:color w:val="auto"/>
              </w:rPr>
              <w:t>FOR PEO</w:t>
            </w:r>
          </w:p>
        </w:tc>
        <w:tc>
          <w:tcPr>
            <w:tcW w:w="1860" w:type="dxa"/>
            <w:vAlign w:val="bottom"/>
          </w:tcPr>
          <w:p>
            <w:pPr>
              <w:jc w:val="right"/>
              <w:ind w:right="226"/>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3"/>
                <w:szCs w:val="13"/>
                <w:b w:val="1"/>
                <w:bCs w:val="1"/>
                <w:color w:val="auto"/>
                <w:vertAlign w:val="superscript"/>
              </w:rPr>
              <w:t>(a)</w:t>
            </w:r>
          </w:p>
        </w:tc>
        <w:tc>
          <w:tcPr>
            <w:tcW w:w="440" w:type="dxa"/>
            <w:vAlign w:val="bottom"/>
            <w:vMerge w:val="continue"/>
          </w:tcPr>
          <w:p>
            <w:pPr>
              <w:spacing w:after="0"/>
              <w:rPr>
                <w:sz w:val="15"/>
                <w:szCs w:val="15"/>
                <w:color w:val="auto"/>
              </w:rPr>
            </w:pPr>
          </w:p>
        </w:tc>
        <w:tc>
          <w:tcPr>
            <w:tcW w:w="1700" w:type="dxa"/>
            <w:vAlign w:val="bottom"/>
          </w:tcPr>
          <w:p>
            <w:pPr>
              <w:jc w:val="right"/>
              <w:ind w:right="206"/>
              <w:spacing w:after="0"/>
              <w:rPr>
                <w:sz w:val="20"/>
                <w:szCs w:val="20"/>
                <w:color w:val="auto"/>
              </w:rPr>
            </w:pPr>
            <w:r>
              <w:rPr>
                <w:rFonts w:ascii="Arial" w:cs="Arial" w:eastAsia="Arial" w:hAnsi="Arial"/>
                <w:sz w:val="11"/>
                <w:szCs w:val="11"/>
                <w:b w:val="1"/>
                <w:bCs w:val="1"/>
                <w:color w:val="auto"/>
              </w:rPr>
              <w:t>            ADJUSTMENTS</w:t>
            </w:r>
            <w:r>
              <w:rPr>
                <w:rFonts w:ascii="Arial" w:cs="Arial" w:eastAsia="Arial" w:hAnsi="Arial"/>
                <w:sz w:val="13"/>
                <w:szCs w:val="13"/>
                <w:b w:val="1"/>
                <w:bCs w:val="1"/>
                <w:color w:val="auto"/>
                <w:vertAlign w:val="superscript"/>
              </w:rPr>
              <w:t>(b)</w:t>
            </w:r>
          </w:p>
        </w:tc>
        <w:tc>
          <w:tcPr>
            <w:tcW w:w="5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1"/>
                <w:szCs w:val="11"/>
                <w:b w:val="1"/>
                <w:bCs w:val="1"/>
                <w:color w:val="auto"/>
              </w:rPr>
              <w:t>PAID TO PEO</w:t>
            </w:r>
          </w:p>
        </w:tc>
        <w:tc>
          <w:tcPr>
            <w:tcW w:w="0" w:type="dxa"/>
            <w:vAlign w:val="bottom"/>
          </w:tcPr>
          <w:p>
            <w:pPr>
              <w:spacing w:after="0"/>
              <w:rPr>
                <w:sz w:val="1"/>
                <w:szCs w:val="1"/>
                <w:color w:val="auto"/>
              </w:rPr>
            </w:pPr>
          </w:p>
        </w:tc>
      </w:tr>
      <w:tr>
        <w:trPr>
          <w:trHeight w:val="45"/>
        </w:trPr>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E8F4FF"/>
          </w:tcPr>
          <w:p>
            <w:pPr>
              <w:jc w:val="right"/>
              <w:ind w:right="904"/>
              <w:spacing w:after="0"/>
              <w:rPr>
                <w:sz w:val="20"/>
                <w:szCs w:val="20"/>
                <w:color w:val="auto"/>
              </w:rPr>
            </w:pPr>
            <w:r>
              <w:rPr>
                <w:rFonts w:ascii="Arial" w:cs="Arial" w:eastAsia="Arial" w:hAnsi="Arial"/>
                <w:sz w:val="12"/>
                <w:szCs w:val="12"/>
                <w:b w:val="1"/>
                <w:bCs w:val="1"/>
                <w:color w:val="2393FF"/>
              </w:rPr>
              <w:t>2025</w:t>
            </w:r>
          </w:p>
        </w:tc>
        <w:tc>
          <w:tcPr>
            <w:tcW w:w="60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8F4FF"/>
          </w:tcPr>
          <w:p>
            <w:pPr>
              <w:jc w:val="right"/>
              <w:ind w:right="226"/>
              <w:spacing w:after="0"/>
              <w:rPr>
                <w:sz w:val="20"/>
                <w:szCs w:val="20"/>
                <w:color w:val="auto"/>
              </w:rPr>
            </w:pPr>
            <w:r>
              <w:rPr>
                <w:rFonts w:ascii="Arial" w:cs="Arial" w:eastAsia="Arial" w:hAnsi="Arial"/>
                <w:sz w:val="12"/>
                <w:szCs w:val="12"/>
                <w:color w:val="auto"/>
              </w:rPr>
              <w:t>8,803,495</w:t>
            </w:r>
          </w:p>
        </w:tc>
        <w:tc>
          <w:tcPr>
            <w:tcW w:w="1860" w:type="dxa"/>
            <w:vAlign w:val="bottom"/>
            <w:shd w:val="clear" w:color="auto" w:fill="E8F4FF"/>
          </w:tcPr>
          <w:p>
            <w:pPr>
              <w:jc w:val="right"/>
              <w:ind w:right="226"/>
              <w:spacing w:after="0"/>
              <w:rPr>
                <w:sz w:val="20"/>
                <w:szCs w:val="20"/>
                <w:color w:val="auto"/>
              </w:rPr>
            </w:pPr>
            <w:r>
              <w:rPr>
                <w:rFonts w:ascii="Arial" w:cs="Arial" w:eastAsia="Arial" w:hAnsi="Arial"/>
                <w:sz w:val="12"/>
                <w:szCs w:val="12"/>
                <w:color w:val="auto"/>
              </w:rPr>
              <w:t>($7,732,055)</w:t>
            </w:r>
          </w:p>
        </w:tc>
        <w:tc>
          <w:tcPr>
            <w:tcW w:w="440" w:type="dxa"/>
            <w:vAlign w:val="bottom"/>
            <w:shd w:val="clear" w:color="auto" w:fill="E8F4FF"/>
          </w:tcPr>
          <w:p>
            <w:pPr>
              <w:ind w:left="260"/>
              <w:spacing w:after="0"/>
              <w:rPr>
                <w:sz w:val="20"/>
                <w:szCs w:val="20"/>
                <w:color w:val="auto"/>
              </w:rPr>
            </w:pPr>
            <w:r>
              <w:rPr>
                <w:rFonts w:ascii="Arial" w:cs="Arial" w:eastAsia="Arial" w:hAnsi="Arial"/>
                <w:sz w:val="12"/>
                <w:szCs w:val="12"/>
                <w:color w:val="auto"/>
              </w:rPr>
              <w:t>$</w:t>
            </w:r>
          </w:p>
        </w:tc>
        <w:tc>
          <w:tcPr>
            <w:tcW w:w="1700" w:type="dxa"/>
            <w:vAlign w:val="bottom"/>
            <w:shd w:val="clear" w:color="auto" w:fill="E8F4FF"/>
          </w:tcPr>
          <w:p>
            <w:pPr>
              <w:jc w:val="right"/>
              <w:ind w:right="206"/>
              <w:spacing w:after="0"/>
              <w:rPr>
                <w:sz w:val="20"/>
                <w:szCs w:val="20"/>
                <w:color w:val="auto"/>
              </w:rPr>
            </w:pPr>
            <w:r>
              <w:rPr>
                <w:rFonts w:ascii="Arial" w:cs="Arial" w:eastAsia="Arial" w:hAnsi="Arial"/>
                <w:sz w:val="12"/>
                <w:szCs w:val="12"/>
                <w:color w:val="auto"/>
              </w:rPr>
              <w:t>6,007,853</w:t>
            </w:r>
          </w:p>
        </w:tc>
        <w:tc>
          <w:tcPr>
            <w:tcW w:w="560" w:type="dxa"/>
            <w:vAlign w:val="bottom"/>
            <w:shd w:val="clear" w:color="auto" w:fill="E8F4FF"/>
          </w:tcPr>
          <w:p>
            <w:pPr>
              <w:ind w:left="280"/>
              <w:spacing w:after="0"/>
              <w:rPr>
                <w:sz w:val="20"/>
                <w:szCs w:val="20"/>
                <w:color w:val="auto"/>
              </w:rPr>
            </w:pPr>
            <w:r>
              <w:rPr>
                <w:rFonts w:ascii="Arial" w:cs="Arial" w:eastAsia="Arial" w:hAnsi="Arial"/>
                <w:sz w:val="12"/>
                <w:szCs w:val="12"/>
                <w:color w:val="auto"/>
              </w:rPr>
              <w:t>$</w:t>
            </w:r>
          </w:p>
        </w:tc>
        <w:tc>
          <w:tcPr>
            <w:tcW w:w="1340" w:type="dxa"/>
            <w:vAlign w:val="bottom"/>
            <w:shd w:val="clear" w:color="auto" w:fill="E8F4FF"/>
          </w:tcPr>
          <w:p>
            <w:pPr>
              <w:jc w:val="right"/>
              <w:spacing w:after="0"/>
              <w:rPr>
                <w:sz w:val="20"/>
                <w:szCs w:val="20"/>
                <w:color w:val="auto"/>
              </w:rPr>
            </w:pPr>
            <w:r>
              <w:rPr>
                <w:rFonts w:ascii="Arial" w:cs="Arial" w:eastAsia="Arial" w:hAnsi="Arial"/>
                <w:sz w:val="12"/>
                <w:szCs w:val="12"/>
                <w:color w:val="auto"/>
              </w:rPr>
              <w:t>7,079,293</w:t>
            </w:r>
          </w:p>
        </w:tc>
        <w:tc>
          <w:tcPr>
            <w:tcW w:w="0" w:type="dxa"/>
            <w:vAlign w:val="bottom"/>
          </w:tcPr>
          <w:p>
            <w:pPr>
              <w:spacing w:after="0"/>
              <w:rPr>
                <w:sz w:val="1"/>
                <w:szCs w:val="1"/>
                <w:color w:val="auto"/>
              </w:rPr>
            </w:pPr>
          </w:p>
        </w:tc>
      </w:tr>
      <w:tr>
        <w:trPr>
          <w:trHeight w:val="69"/>
        </w:trPr>
        <w:tc>
          <w:tcPr>
            <w:tcW w:w="1280" w:type="dxa"/>
            <w:vAlign w:val="bottom"/>
            <w:shd w:val="clear" w:color="auto" w:fill="E8F4FF"/>
          </w:tcPr>
          <w:p>
            <w:pPr>
              <w:spacing w:after="0"/>
              <w:rPr>
                <w:sz w:val="5"/>
                <w:szCs w:val="5"/>
                <w:color w:val="auto"/>
              </w:rPr>
            </w:pPr>
          </w:p>
        </w:tc>
        <w:tc>
          <w:tcPr>
            <w:tcW w:w="600" w:type="dxa"/>
            <w:vAlign w:val="bottom"/>
            <w:shd w:val="clear" w:color="auto" w:fill="E8F4FF"/>
          </w:tcPr>
          <w:p>
            <w:pPr>
              <w:spacing w:after="0"/>
              <w:rPr>
                <w:sz w:val="5"/>
                <w:szCs w:val="5"/>
                <w:color w:val="auto"/>
              </w:rPr>
            </w:pPr>
          </w:p>
        </w:tc>
        <w:tc>
          <w:tcPr>
            <w:tcW w:w="1040" w:type="dxa"/>
            <w:vAlign w:val="bottom"/>
            <w:shd w:val="clear" w:color="auto" w:fill="E8F4FF"/>
          </w:tcPr>
          <w:p>
            <w:pPr>
              <w:spacing w:after="0"/>
              <w:rPr>
                <w:sz w:val="5"/>
                <w:szCs w:val="5"/>
                <w:color w:val="auto"/>
              </w:rPr>
            </w:pPr>
          </w:p>
        </w:tc>
        <w:tc>
          <w:tcPr>
            <w:tcW w:w="1860" w:type="dxa"/>
            <w:vAlign w:val="bottom"/>
            <w:shd w:val="clear" w:color="auto" w:fill="E8F4FF"/>
          </w:tcPr>
          <w:p>
            <w:pPr>
              <w:spacing w:after="0"/>
              <w:rPr>
                <w:sz w:val="5"/>
                <w:szCs w:val="5"/>
                <w:color w:val="auto"/>
              </w:rPr>
            </w:pPr>
          </w:p>
        </w:tc>
        <w:tc>
          <w:tcPr>
            <w:tcW w:w="440" w:type="dxa"/>
            <w:vAlign w:val="bottom"/>
            <w:shd w:val="clear" w:color="auto" w:fill="E8F4FF"/>
          </w:tcPr>
          <w:p>
            <w:pPr>
              <w:spacing w:after="0"/>
              <w:rPr>
                <w:sz w:val="5"/>
                <w:szCs w:val="5"/>
                <w:color w:val="auto"/>
              </w:rPr>
            </w:pPr>
          </w:p>
        </w:tc>
        <w:tc>
          <w:tcPr>
            <w:tcW w:w="1700" w:type="dxa"/>
            <w:vAlign w:val="bottom"/>
            <w:shd w:val="clear" w:color="auto" w:fill="E8F4FF"/>
          </w:tcPr>
          <w:p>
            <w:pPr>
              <w:spacing w:after="0"/>
              <w:rPr>
                <w:sz w:val="5"/>
                <w:szCs w:val="5"/>
                <w:color w:val="auto"/>
              </w:rPr>
            </w:pPr>
          </w:p>
        </w:tc>
        <w:tc>
          <w:tcPr>
            <w:tcW w:w="560" w:type="dxa"/>
            <w:vAlign w:val="bottom"/>
            <w:shd w:val="clear" w:color="auto" w:fill="E8F4FF"/>
          </w:tcPr>
          <w:p>
            <w:pPr>
              <w:spacing w:after="0"/>
              <w:rPr>
                <w:sz w:val="5"/>
                <w:szCs w:val="5"/>
                <w:color w:val="auto"/>
              </w:rPr>
            </w:pPr>
          </w:p>
        </w:tc>
        <w:tc>
          <w:tcPr>
            <w:tcW w:w="1340" w:type="dxa"/>
            <w:vAlign w:val="bottom"/>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740" w:right="80" w:hanging="353"/>
        <w:spacing w:after="0" w:line="238" w:lineRule="auto"/>
        <w:tabs>
          <w:tab w:leader="none" w:pos="1740" w:val="left"/>
        </w:tabs>
        <w:numPr>
          <w:ilvl w:val="0"/>
          <w:numId w:val="87"/>
        </w:numPr>
        <w:rPr>
          <w:rFonts w:ascii="Arial" w:cs="Arial" w:eastAsia="Arial" w:hAnsi="Arial"/>
          <w:sz w:val="11"/>
          <w:szCs w:val="11"/>
          <w:color w:val="333333"/>
        </w:rPr>
      </w:pPr>
      <w:r>
        <w:rPr>
          <w:rFonts w:ascii="Arial" w:cs="Arial" w:eastAsia="Arial" w:hAnsi="Arial"/>
          <w:sz w:val="11"/>
          <w:szCs w:val="11"/>
          <w:color w:val="333333"/>
        </w:rPr>
        <w:t>The grant date fair value of equity awards represents the total of the amounts reported in the Stock Awards and Option Awards columns in the Summary Compensation Table for the applicable year.</w:t>
      </w:r>
    </w:p>
    <w:p>
      <w:pPr>
        <w:spacing w:after="0" w:line="154" w:lineRule="exact"/>
        <w:rPr>
          <w:rFonts w:ascii="Arial" w:cs="Arial" w:eastAsia="Arial" w:hAnsi="Arial"/>
          <w:sz w:val="11"/>
          <w:szCs w:val="11"/>
          <w:color w:val="333333"/>
        </w:rPr>
      </w:pPr>
    </w:p>
    <w:p>
      <w:pPr>
        <w:ind w:left="1740" w:right="20" w:hanging="353"/>
        <w:spacing w:after="0" w:line="219" w:lineRule="auto"/>
        <w:tabs>
          <w:tab w:leader="none" w:pos="1740" w:val="left"/>
        </w:tabs>
        <w:numPr>
          <w:ilvl w:val="0"/>
          <w:numId w:val="87"/>
        </w:numPr>
        <w:rPr>
          <w:rFonts w:ascii="Arial" w:cs="Arial" w:eastAsia="Arial" w:hAnsi="Arial"/>
          <w:sz w:val="11"/>
          <w:szCs w:val="11"/>
          <w:color w:val="333333"/>
        </w:rPr>
      </w:pPr>
      <w:r>
        <w:rPr>
          <w:rFonts w:ascii="Arial" w:cs="Arial" w:eastAsia="Arial" w:hAnsi="Arial"/>
          <w:sz w:val="11"/>
          <w:szCs w:val="11"/>
          <w:color w:val="333333"/>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methodology used to calculate fair values did not materially differ from those disclosed at the time of grant and include current economic assumptions as of the applicable valuation dates. The amounts deducted or added in calculating the equity award adjustments are as follows:</w:t>
      </w:r>
    </w:p>
    <w:p>
      <w:pPr>
        <w:spacing w:after="0" w:line="99"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45 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57"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60" w:type="dxa"/>
            <w:vAlign w:val="bottom"/>
            <w:vMerge w:val="restart"/>
          </w:tcPr>
          <w:p>
            <w:pPr>
              <w:jc w:val="right"/>
              <w:ind w:right="67"/>
              <w:spacing w:after="0"/>
              <w:rPr>
                <w:sz w:val="20"/>
                <w:szCs w:val="20"/>
                <w:color w:val="auto"/>
              </w:rPr>
            </w:pPr>
            <w:r>
              <w:rPr>
                <w:rFonts w:ascii="Arial" w:cs="Arial" w:eastAsia="Arial" w:hAnsi="Arial"/>
                <w:sz w:val="11"/>
                <w:szCs w:val="11"/>
                <w:b w:val="1"/>
                <w:bCs w:val="1"/>
                <w:color w:val="auto"/>
              </w:rPr>
              <w:t>YEAR OVER YEAR</w:t>
            </w:r>
          </w:p>
        </w:tc>
        <w:tc>
          <w:tcPr>
            <w:tcW w:w="1220" w:type="dxa"/>
            <w:vAlign w:val="bottom"/>
          </w:tcPr>
          <w:p>
            <w:pPr>
              <w:spacing w:after="0"/>
              <w:rPr>
                <w:sz w:val="10"/>
                <w:szCs w:val="10"/>
                <w:color w:val="auto"/>
              </w:rPr>
            </w:pPr>
          </w:p>
        </w:tc>
        <w:tc>
          <w:tcPr>
            <w:tcW w:w="1120" w:type="dxa"/>
            <w:vAlign w:val="bottom"/>
          </w:tcPr>
          <w:p>
            <w:pPr>
              <w:jc w:val="right"/>
              <w:ind w:right="67"/>
              <w:spacing w:after="0"/>
              <w:rPr>
                <w:sz w:val="20"/>
                <w:szCs w:val="20"/>
                <w:color w:val="auto"/>
              </w:rPr>
            </w:pPr>
            <w:r>
              <w:rPr>
                <w:rFonts w:ascii="Arial" w:cs="Arial" w:eastAsia="Arial" w:hAnsi="Arial"/>
                <w:sz w:val="11"/>
                <w:szCs w:val="11"/>
                <w:b w:val="1"/>
                <w:bCs w:val="1"/>
                <w:color w:val="auto"/>
              </w:rPr>
              <w:t>YEAR OVER</w:t>
            </w:r>
          </w:p>
        </w:tc>
        <w:tc>
          <w:tcPr>
            <w:tcW w:w="114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FAIR VALUE AT</w:t>
            </w:r>
          </w:p>
        </w:tc>
        <w:tc>
          <w:tcPr>
            <w:tcW w:w="1300" w:type="dxa"/>
            <w:vAlign w:val="bottom"/>
          </w:tcPr>
          <w:p>
            <w:pPr>
              <w:jc w:val="right"/>
              <w:ind w:right="87"/>
              <w:spacing w:after="0"/>
              <w:rPr>
                <w:sz w:val="20"/>
                <w:szCs w:val="20"/>
                <w:color w:val="auto"/>
              </w:rPr>
            </w:pPr>
            <w:r>
              <w:rPr>
                <w:rFonts w:ascii="Arial" w:cs="Arial" w:eastAsia="Arial" w:hAnsi="Arial"/>
                <w:sz w:val="11"/>
                <w:szCs w:val="11"/>
                <w:b w:val="1"/>
                <w:bCs w:val="1"/>
                <w:color w:val="auto"/>
              </w:rPr>
              <w:t>VALUE OF</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60" w:type="dxa"/>
            <w:vAlign w:val="bottom"/>
          </w:tcPr>
          <w:p>
            <w:pPr>
              <w:spacing w:after="0"/>
              <w:rPr>
                <w:sz w:val="9"/>
                <w:szCs w:val="9"/>
                <w:color w:val="auto"/>
              </w:rPr>
            </w:pPr>
          </w:p>
        </w:tc>
        <w:tc>
          <w:tcPr>
            <w:tcW w:w="106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YEAR END</w:t>
            </w:r>
          </w:p>
        </w:tc>
        <w:tc>
          <w:tcPr>
            <w:tcW w:w="126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jc w:val="right"/>
              <w:ind w:right="67"/>
              <w:spacing w:after="0" w:line="105" w:lineRule="exact"/>
              <w:rPr>
                <w:sz w:val="20"/>
                <w:szCs w:val="20"/>
                <w:color w:val="auto"/>
              </w:rPr>
            </w:pPr>
            <w:r>
              <w:rPr>
                <w:rFonts w:ascii="Arial" w:cs="Arial" w:eastAsia="Arial" w:hAnsi="Arial"/>
                <w:sz w:val="11"/>
                <w:szCs w:val="11"/>
                <w:b w:val="1"/>
                <w:bCs w:val="1"/>
                <w:color w:val="auto"/>
              </w:rPr>
              <w:t>YEAR CHANGE</w:t>
            </w:r>
          </w:p>
        </w:tc>
        <w:tc>
          <w:tcPr>
            <w:tcW w:w="1140" w:type="dxa"/>
            <w:vAlign w:val="bottom"/>
            <w:vMerge w:val="continue"/>
          </w:tcPr>
          <w:p>
            <w:pPr>
              <w:spacing w:after="0"/>
              <w:rPr>
                <w:sz w:val="9"/>
                <w:szCs w:val="9"/>
                <w:color w:val="auto"/>
              </w:rPr>
            </w:pPr>
          </w:p>
        </w:tc>
        <w:tc>
          <w:tcPr>
            <w:tcW w:w="1300" w:type="dxa"/>
            <w:vAlign w:val="bottom"/>
          </w:tcPr>
          <w:p>
            <w:pPr>
              <w:jc w:val="right"/>
              <w:ind w:right="87"/>
              <w:spacing w:after="0" w:line="105" w:lineRule="exact"/>
              <w:rPr>
                <w:sz w:val="20"/>
                <w:szCs w:val="20"/>
                <w:color w:val="auto"/>
              </w:rPr>
            </w:pPr>
            <w:r>
              <w:rPr>
                <w:rFonts w:ascii="Arial" w:cs="Arial" w:eastAsia="Arial" w:hAnsi="Arial"/>
                <w:sz w:val="11"/>
                <w:szCs w:val="11"/>
                <w:b w:val="1"/>
                <w:bCs w:val="1"/>
                <w:color w:val="auto"/>
              </w:rPr>
              <w:t>DIVIDENDS OR</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CHANGE IN FAIR</w:t>
            </w:r>
          </w:p>
        </w:tc>
        <w:tc>
          <w:tcPr>
            <w:tcW w:w="1220" w:type="dxa"/>
            <w:vAlign w:val="bottom"/>
            <w:vMerge w:val="restart"/>
          </w:tcPr>
          <w:p>
            <w:pPr>
              <w:jc w:val="right"/>
              <w:ind w:right="67"/>
              <w:spacing w:after="0"/>
              <w:rPr>
                <w:sz w:val="20"/>
                <w:szCs w:val="20"/>
                <w:color w:val="auto"/>
              </w:rPr>
            </w:pPr>
            <w:r>
              <w:rPr>
                <w:rFonts w:ascii="Arial" w:cs="Arial" w:eastAsia="Arial" w:hAnsi="Arial"/>
                <w:sz w:val="11"/>
                <w:szCs w:val="11"/>
                <w:b w:val="1"/>
                <w:bCs w:val="1"/>
                <w:color w:val="auto"/>
              </w:rPr>
              <w:t>FAIR VALUE AS OF</w:t>
            </w:r>
          </w:p>
        </w:tc>
        <w:tc>
          <w:tcPr>
            <w:tcW w:w="11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IN FAIR VALUE</w:t>
            </w:r>
          </w:p>
        </w:tc>
        <w:tc>
          <w:tcPr>
            <w:tcW w:w="114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THE END OF THE</w:t>
            </w:r>
          </w:p>
        </w:tc>
        <w:tc>
          <w:tcPr>
            <w:tcW w:w="130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OTHER EARNINGS</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60" w:type="dxa"/>
            <w:vAlign w:val="bottom"/>
          </w:tcPr>
          <w:p>
            <w:pPr>
              <w:spacing w:after="0"/>
              <w:rPr>
                <w:sz w:val="9"/>
                <w:szCs w:val="9"/>
                <w:color w:val="auto"/>
              </w:rPr>
            </w:pPr>
          </w:p>
        </w:tc>
        <w:tc>
          <w:tcPr>
            <w:tcW w:w="106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FAIR VALUE OF</w:t>
            </w:r>
          </w:p>
        </w:tc>
        <w:tc>
          <w:tcPr>
            <w:tcW w:w="126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VALUE OF</w:t>
            </w:r>
          </w:p>
        </w:tc>
        <w:tc>
          <w:tcPr>
            <w:tcW w:w="1220" w:type="dxa"/>
            <w:vAlign w:val="bottom"/>
            <w:vMerge w:val="continue"/>
          </w:tcPr>
          <w:p>
            <w:pPr>
              <w:spacing w:after="0"/>
              <w:rPr>
                <w:sz w:val="9"/>
                <w:szCs w:val="9"/>
                <w:color w:val="auto"/>
              </w:rPr>
            </w:pPr>
          </w:p>
        </w:tc>
        <w:tc>
          <w:tcPr>
            <w:tcW w:w="11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OF EQUITY</w:t>
            </w:r>
          </w:p>
        </w:tc>
        <w:tc>
          <w:tcPr>
            <w:tcW w:w="114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PRIOR YEAR OF</w:t>
            </w:r>
          </w:p>
        </w:tc>
        <w:tc>
          <w:tcPr>
            <w:tcW w:w="130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PAID ON STOCK OR</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60" w:type="dxa"/>
            <w:vAlign w:val="bottom"/>
          </w:tcPr>
          <w:p>
            <w:pPr>
              <w:spacing w:after="0"/>
              <w:rPr>
                <w:sz w:val="9"/>
                <w:szCs w:val="9"/>
                <w:color w:val="auto"/>
              </w:rPr>
            </w:pPr>
          </w:p>
        </w:tc>
        <w:tc>
          <w:tcPr>
            <w:tcW w:w="106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UNVESTED</w:t>
            </w:r>
          </w:p>
        </w:tc>
        <w:tc>
          <w:tcPr>
            <w:tcW w:w="126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OUTSTANDING AND</w:t>
            </w:r>
          </w:p>
        </w:tc>
        <w:tc>
          <w:tcPr>
            <w:tcW w:w="12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VESTING DATE OF</w:t>
            </w:r>
          </w:p>
        </w:tc>
        <w:tc>
          <w:tcPr>
            <w:tcW w:w="11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AWARDS</w:t>
            </w:r>
          </w:p>
        </w:tc>
        <w:tc>
          <w:tcPr>
            <w:tcW w:w="114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EQUITY AWARDS</w:t>
            </w:r>
          </w:p>
        </w:tc>
        <w:tc>
          <w:tcPr>
            <w:tcW w:w="130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OPTION AWARDS</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60" w:type="dxa"/>
            <w:vAlign w:val="bottom"/>
          </w:tcPr>
          <w:p>
            <w:pPr>
              <w:spacing w:after="0"/>
              <w:rPr>
                <w:sz w:val="9"/>
                <w:szCs w:val="9"/>
                <w:color w:val="auto"/>
              </w:rPr>
            </w:pPr>
          </w:p>
        </w:tc>
        <w:tc>
          <w:tcPr>
            <w:tcW w:w="106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EQUITY</w:t>
            </w:r>
          </w:p>
        </w:tc>
        <w:tc>
          <w:tcPr>
            <w:tcW w:w="126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UNVESTED EQUITY</w:t>
            </w:r>
          </w:p>
        </w:tc>
        <w:tc>
          <w:tcPr>
            <w:tcW w:w="12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EQUITY AWARDS</w:t>
            </w:r>
          </w:p>
        </w:tc>
        <w:tc>
          <w:tcPr>
            <w:tcW w:w="11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GRANTED IN</w:t>
            </w:r>
          </w:p>
        </w:tc>
        <w:tc>
          <w:tcPr>
            <w:tcW w:w="114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THAT FAILED TO</w:t>
            </w:r>
          </w:p>
        </w:tc>
        <w:tc>
          <w:tcPr>
            <w:tcW w:w="130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NOT OTHERWISE</w:t>
            </w:r>
          </w:p>
        </w:tc>
        <w:tc>
          <w:tcPr>
            <w:tcW w:w="1060" w:type="dxa"/>
            <w:vAlign w:val="bottom"/>
            <w:vMerge w:val="restart"/>
          </w:tcPr>
          <w:p>
            <w:pPr>
              <w:jc w:val="right"/>
              <w:ind w:right="87"/>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13"/>
        </w:trPr>
        <w:tc>
          <w:tcPr>
            <w:tcW w:w="660" w:type="dxa"/>
            <w:vAlign w:val="bottom"/>
          </w:tcPr>
          <w:p>
            <w:pPr>
              <w:spacing w:after="0"/>
              <w:rPr>
                <w:sz w:val="9"/>
                <w:szCs w:val="9"/>
                <w:color w:val="auto"/>
              </w:rPr>
            </w:pPr>
          </w:p>
        </w:tc>
        <w:tc>
          <w:tcPr>
            <w:tcW w:w="106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AWARDS</w:t>
            </w:r>
          </w:p>
        </w:tc>
        <w:tc>
          <w:tcPr>
            <w:tcW w:w="126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AWARDS</w:t>
            </w:r>
          </w:p>
        </w:tc>
        <w:tc>
          <w:tcPr>
            <w:tcW w:w="12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GRANTED AND</w:t>
            </w:r>
          </w:p>
        </w:tc>
        <w:tc>
          <w:tcPr>
            <w:tcW w:w="11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PRIOR YEARS</w:t>
            </w:r>
          </w:p>
        </w:tc>
        <w:tc>
          <w:tcPr>
            <w:tcW w:w="114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MEET VESTING</w:t>
            </w:r>
          </w:p>
        </w:tc>
        <w:tc>
          <w:tcPr>
            <w:tcW w:w="130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REFLECTED IN FAIR</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60" w:type="dxa"/>
            <w:vAlign w:val="bottom"/>
            <w:vMerge w:val="restart"/>
          </w:tcPr>
          <w:p>
            <w:pPr>
              <w:jc w:val="center"/>
              <w:ind w:right="267"/>
              <w:spacing w:after="0"/>
              <w:rPr>
                <w:sz w:val="20"/>
                <w:szCs w:val="20"/>
                <w:color w:val="auto"/>
              </w:rPr>
            </w:pPr>
            <w:r>
              <w:rPr>
                <w:rFonts w:ascii="Arial" w:cs="Arial" w:eastAsia="Arial" w:hAnsi="Arial"/>
                <w:sz w:val="11"/>
                <w:szCs w:val="11"/>
                <w:b w:val="1"/>
                <w:bCs w:val="1"/>
                <w:color w:val="auto"/>
                <w:w w:val="86"/>
              </w:rPr>
              <w:t>  YEAR</w:t>
            </w:r>
          </w:p>
        </w:tc>
        <w:tc>
          <w:tcPr>
            <w:tcW w:w="106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GRANTED IN</w:t>
            </w:r>
          </w:p>
        </w:tc>
        <w:tc>
          <w:tcPr>
            <w:tcW w:w="126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GRANTED IN</w:t>
            </w:r>
          </w:p>
        </w:tc>
        <w:tc>
          <w:tcPr>
            <w:tcW w:w="12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VESTED IN THE</w:t>
            </w:r>
          </w:p>
        </w:tc>
        <w:tc>
          <w:tcPr>
            <w:tcW w:w="1120" w:type="dxa"/>
            <w:vAlign w:val="bottom"/>
          </w:tcPr>
          <w:p>
            <w:pPr>
              <w:jc w:val="right"/>
              <w:ind w:right="67"/>
              <w:spacing w:after="0" w:line="113" w:lineRule="exact"/>
              <w:rPr>
                <w:sz w:val="20"/>
                <w:szCs w:val="20"/>
                <w:color w:val="auto"/>
              </w:rPr>
            </w:pPr>
            <w:r>
              <w:rPr>
                <w:rFonts w:ascii="Arial" w:cs="Arial" w:eastAsia="Arial" w:hAnsi="Arial"/>
                <w:sz w:val="11"/>
                <w:szCs w:val="11"/>
                <w:b w:val="1"/>
                <w:bCs w:val="1"/>
                <w:color w:val="auto"/>
              </w:rPr>
              <w:t>THAT VESTED IN</w:t>
            </w:r>
          </w:p>
        </w:tc>
        <w:tc>
          <w:tcPr>
            <w:tcW w:w="114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CONDITIONS IN</w:t>
            </w:r>
          </w:p>
        </w:tc>
        <w:tc>
          <w:tcPr>
            <w:tcW w:w="130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VALUE OR TOTAL</w:t>
            </w:r>
          </w:p>
        </w:tc>
        <w:tc>
          <w:tcPr>
            <w:tcW w:w="1060" w:type="dxa"/>
            <w:vAlign w:val="bottom"/>
          </w:tcPr>
          <w:p>
            <w:pPr>
              <w:jc w:val="right"/>
              <w:ind w:right="87"/>
              <w:spacing w:after="0" w:line="113" w:lineRule="exact"/>
              <w:rPr>
                <w:sz w:val="20"/>
                <w:szCs w:val="20"/>
                <w:color w:val="auto"/>
              </w:rPr>
            </w:pPr>
            <w:r>
              <w:rPr>
                <w:rFonts w:ascii="Arial" w:cs="Arial" w:eastAsia="Arial" w:hAnsi="Arial"/>
                <w:sz w:val="11"/>
                <w:szCs w:val="11"/>
                <w:b w:val="1"/>
                <w:bCs w:val="1"/>
                <w:color w:val="auto"/>
              </w:rPr>
              <w:t>AWARD</w:t>
            </w:r>
          </w:p>
        </w:tc>
        <w:tc>
          <w:tcPr>
            <w:tcW w:w="0" w:type="dxa"/>
            <w:vAlign w:val="bottom"/>
          </w:tcPr>
          <w:p>
            <w:pPr>
              <w:spacing w:after="0"/>
              <w:rPr>
                <w:sz w:val="1"/>
                <w:szCs w:val="1"/>
                <w:color w:val="auto"/>
              </w:rPr>
            </w:pPr>
          </w:p>
        </w:tc>
      </w:tr>
      <w:tr>
        <w:trPr>
          <w:trHeight w:val="151"/>
        </w:trPr>
        <w:tc>
          <w:tcPr>
            <w:tcW w:w="660" w:type="dxa"/>
            <w:vAlign w:val="bottom"/>
            <w:vMerge w:val="continue"/>
          </w:tcPr>
          <w:p>
            <w:pPr>
              <w:spacing w:after="0"/>
              <w:rPr>
                <w:sz w:val="13"/>
                <w:szCs w:val="13"/>
                <w:color w:val="auto"/>
              </w:rPr>
            </w:pPr>
          </w:p>
        </w:tc>
        <w:tc>
          <w:tcPr>
            <w:tcW w:w="1060" w:type="dxa"/>
            <w:vAlign w:val="bottom"/>
          </w:tcPr>
          <w:p>
            <w:pPr>
              <w:jc w:val="right"/>
              <w:ind w:right="87"/>
              <w:spacing w:after="0"/>
              <w:rPr>
                <w:sz w:val="20"/>
                <w:szCs w:val="20"/>
                <w:color w:val="auto"/>
              </w:rPr>
            </w:pPr>
            <w:r>
              <w:rPr>
                <w:rFonts w:ascii="Arial" w:cs="Arial" w:eastAsia="Arial" w:hAnsi="Arial"/>
                <w:sz w:val="11"/>
                <w:szCs w:val="11"/>
                <w:b w:val="1"/>
                <w:bCs w:val="1"/>
                <w:color w:val="auto"/>
              </w:rPr>
              <w:t>THE YEAR</w:t>
            </w:r>
          </w:p>
        </w:tc>
        <w:tc>
          <w:tcPr>
            <w:tcW w:w="1260" w:type="dxa"/>
            <w:vAlign w:val="bottom"/>
          </w:tcPr>
          <w:p>
            <w:pPr>
              <w:jc w:val="right"/>
              <w:ind w:right="67"/>
              <w:spacing w:after="0"/>
              <w:rPr>
                <w:sz w:val="20"/>
                <w:szCs w:val="20"/>
                <w:color w:val="auto"/>
              </w:rPr>
            </w:pPr>
            <w:r>
              <w:rPr>
                <w:rFonts w:ascii="Arial" w:cs="Arial" w:eastAsia="Arial" w:hAnsi="Arial"/>
                <w:sz w:val="11"/>
                <w:szCs w:val="11"/>
                <w:b w:val="1"/>
                <w:bCs w:val="1"/>
                <w:color w:val="auto"/>
              </w:rPr>
              <w:t>PRIOR YEARS</w:t>
            </w:r>
          </w:p>
        </w:tc>
        <w:tc>
          <w:tcPr>
            <w:tcW w:w="1220" w:type="dxa"/>
            <w:vAlign w:val="bottom"/>
          </w:tcPr>
          <w:p>
            <w:pPr>
              <w:jc w:val="right"/>
              <w:ind w:right="67"/>
              <w:spacing w:after="0"/>
              <w:rPr>
                <w:sz w:val="20"/>
                <w:szCs w:val="20"/>
                <w:color w:val="auto"/>
              </w:rPr>
            </w:pPr>
            <w:r>
              <w:rPr>
                <w:rFonts w:ascii="Arial" w:cs="Arial" w:eastAsia="Arial" w:hAnsi="Arial"/>
                <w:sz w:val="11"/>
                <w:szCs w:val="11"/>
                <w:b w:val="1"/>
                <w:bCs w:val="1"/>
                <w:color w:val="auto"/>
              </w:rPr>
              <w:t>YEAR</w:t>
            </w:r>
          </w:p>
        </w:tc>
        <w:tc>
          <w:tcPr>
            <w:tcW w:w="1120" w:type="dxa"/>
            <w:vAlign w:val="bottom"/>
          </w:tcPr>
          <w:p>
            <w:pPr>
              <w:jc w:val="right"/>
              <w:ind w:right="67"/>
              <w:spacing w:after="0"/>
              <w:rPr>
                <w:sz w:val="20"/>
                <w:szCs w:val="20"/>
                <w:color w:val="auto"/>
              </w:rPr>
            </w:pPr>
            <w:r>
              <w:rPr>
                <w:rFonts w:ascii="Arial" w:cs="Arial" w:eastAsia="Arial" w:hAnsi="Arial"/>
                <w:sz w:val="11"/>
                <w:szCs w:val="11"/>
                <w:b w:val="1"/>
                <w:bCs w:val="1"/>
                <w:color w:val="auto"/>
              </w:rPr>
              <w:t>THE YEAR</w:t>
            </w:r>
          </w:p>
        </w:tc>
        <w:tc>
          <w:tcPr>
            <w:tcW w:w="1140" w:type="dxa"/>
            <w:vAlign w:val="bottom"/>
          </w:tcPr>
          <w:p>
            <w:pPr>
              <w:jc w:val="right"/>
              <w:ind w:right="87"/>
              <w:spacing w:after="0"/>
              <w:rPr>
                <w:sz w:val="20"/>
                <w:szCs w:val="20"/>
                <w:color w:val="auto"/>
              </w:rPr>
            </w:pPr>
            <w:r>
              <w:rPr>
                <w:rFonts w:ascii="Arial" w:cs="Arial" w:eastAsia="Arial" w:hAnsi="Arial"/>
                <w:sz w:val="11"/>
                <w:szCs w:val="11"/>
                <w:b w:val="1"/>
                <w:bCs w:val="1"/>
                <w:color w:val="auto"/>
              </w:rPr>
              <w:t>THE YEAR</w:t>
            </w:r>
          </w:p>
        </w:tc>
        <w:tc>
          <w:tcPr>
            <w:tcW w:w="1300" w:type="dxa"/>
            <w:vAlign w:val="bottom"/>
          </w:tcPr>
          <w:p>
            <w:pPr>
              <w:jc w:val="right"/>
              <w:ind w:right="87"/>
              <w:spacing w:after="0"/>
              <w:rPr>
                <w:sz w:val="20"/>
                <w:szCs w:val="20"/>
                <w:color w:val="auto"/>
              </w:rPr>
            </w:pPr>
            <w:r>
              <w:rPr>
                <w:rFonts w:ascii="Arial" w:cs="Arial" w:eastAsia="Arial" w:hAnsi="Arial"/>
                <w:sz w:val="11"/>
                <w:szCs w:val="11"/>
                <w:b w:val="1"/>
                <w:bCs w:val="1"/>
                <w:color w:val="auto"/>
              </w:rPr>
              <w:t>COMPENSATION</w:t>
            </w:r>
          </w:p>
        </w:tc>
        <w:tc>
          <w:tcPr>
            <w:tcW w:w="1060" w:type="dxa"/>
            <w:vAlign w:val="bottom"/>
          </w:tcPr>
          <w:p>
            <w:pPr>
              <w:jc w:val="right"/>
              <w:ind w:right="87"/>
              <w:spacing w:after="0"/>
              <w:rPr>
                <w:sz w:val="20"/>
                <w:szCs w:val="20"/>
                <w:color w:val="auto"/>
              </w:rPr>
            </w:pPr>
            <w:r>
              <w:rPr>
                <w:rFonts w:ascii="Arial" w:cs="Arial" w:eastAsia="Arial" w:hAnsi="Arial"/>
                <w:sz w:val="11"/>
                <w:szCs w:val="11"/>
                <w:b w:val="1"/>
                <w:bCs w:val="1"/>
                <w:color w:val="auto"/>
              </w:rPr>
              <w:t>ADJUSTMENTS</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60" w:type="dxa"/>
            <w:vAlign w:val="bottom"/>
            <w:shd w:val="clear" w:color="auto" w:fill="E8F4FF"/>
          </w:tcPr>
          <w:p>
            <w:pPr>
              <w:jc w:val="right"/>
              <w:ind w:right="327"/>
              <w:spacing w:after="0"/>
              <w:rPr>
                <w:sz w:val="20"/>
                <w:szCs w:val="20"/>
                <w:color w:val="auto"/>
              </w:rPr>
            </w:pPr>
            <w:r>
              <w:rPr>
                <w:rFonts w:ascii="Arial" w:cs="Arial" w:eastAsia="Arial" w:hAnsi="Arial"/>
                <w:sz w:val="11"/>
                <w:szCs w:val="11"/>
                <w:b w:val="1"/>
                <w:bCs w:val="1"/>
                <w:color w:val="2393FF"/>
              </w:rPr>
              <w:t>2025</w:t>
            </w:r>
          </w:p>
        </w:tc>
        <w:tc>
          <w:tcPr>
            <w:tcW w:w="1060" w:type="dxa"/>
            <w:vAlign w:val="bottom"/>
            <w:shd w:val="clear" w:color="auto" w:fill="E8F4FF"/>
          </w:tcPr>
          <w:p>
            <w:pPr>
              <w:jc w:val="right"/>
              <w:ind w:right="87"/>
              <w:spacing w:after="0"/>
              <w:rPr>
                <w:sz w:val="20"/>
                <w:szCs w:val="20"/>
                <w:color w:val="auto"/>
              </w:rPr>
            </w:pPr>
            <w:r>
              <w:rPr>
                <w:rFonts w:ascii="Arial" w:cs="Arial" w:eastAsia="Arial" w:hAnsi="Arial"/>
                <w:sz w:val="11"/>
                <w:szCs w:val="11"/>
                <w:color w:val="auto"/>
              </w:rPr>
              <w:t>$10,840,188</w:t>
            </w:r>
          </w:p>
        </w:tc>
        <w:tc>
          <w:tcPr>
            <w:tcW w:w="1260" w:type="dxa"/>
            <w:vAlign w:val="bottom"/>
            <w:shd w:val="clear" w:color="auto" w:fill="E8F4FF"/>
          </w:tcPr>
          <w:p>
            <w:pPr>
              <w:jc w:val="right"/>
              <w:ind w:right="67"/>
              <w:spacing w:after="0"/>
              <w:rPr>
                <w:sz w:val="20"/>
                <w:szCs w:val="20"/>
                <w:color w:val="auto"/>
              </w:rPr>
            </w:pPr>
            <w:r>
              <w:rPr>
                <w:rFonts w:ascii="Arial" w:cs="Arial" w:eastAsia="Arial" w:hAnsi="Arial"/>
                <w:sz w:val="11"/>
                <w:szCs w:val="11"/>
                <w:color w:val="auto"/>
              </w:rPr>
              <w:t>($1,947,615)</w:t>
            </w:r>
          </w:p>
        </w:tc>
        <w:tc>
          <w:tcPr>
            <w:tcW w:w="1220" w:type="dxa"/>
            <w:vAlign w:val="bottom"/>
            <w:shd w:val="clear" w:color="auto" w:fill="E8F4FF"/>
          </w:tcPr>
          <w:p>
            <w:pPr>
              <w:jc w:val="right"/>
              <w:ind w:right="67"/>
              <w:spacing w:after="0"/>
              <w:rPr>
                <w:sz w:val="20"/>
                <w:szCs w:val="20"/>
                <w:color w:val="auto"/>
              </w:rPr>
            </w:pPr>
            <w:r>
              <w:rPr>
                <w:rFonts w:ascii="Arial" w:cs="Arial" w:eastAsia="Arial" w:hAnsi="Arial"/>
                <w:sz w:val="11"/>
                <w:szCs w:val="11"/>
                <w:color w:val="auto"/>
              </w:rPr>
              <w:t>$0</w:t>
            </w:r>
          </w:p>
        </w:tc>
        <w:tc>
          <w:tcPr>
            <w:tcW w:w="1120" w:type="dxa"/>
            <w:vAlign w:val="bottom"/>
            <w:shd w:val="clear" w:color="auto" w:fill="E8F4FF"/>
          </w:tcPr>
          <w:p>
            <w:pPr>
              <w:jc w:val="right"/>
              <w:ind w:right="67"/>
              <w:spacing w:after="0"/>
              <w:rPr>
                <w:sz w:val="20"/>
                <w:szCs w:val="20"/>
                <w:color w:val="auto"/>
              </w:rPr>
            </w:pPr>
            <w:r>
              <w:rPr>
                <w:rFonts w:ascii="Arial" w:cs="Arial" w:eastAsia="Arial" w:hAnsi="Arial"/>
                <w:sz w:val="11"/>
                <w:szCs w:val="11"/>
                <w:color w:val="auto"/>
              </w:rPr>
              <w:t>($2,884,720)</w:t>
            </w:r>
          </w:p>
        </w:tc>
        <w:tc>
          <w:tcPr>
            <w:tcW w:w="1140" w:type="dxa"/>
            <w:vAlign w:val="bottom"/>
            <w:shd w:val="clear" w:color="auto" w:fill="E8F4FF"/>
          </w:tcPr>
          <w:p>
            <w:pPr>
              <w:jc w:val="right"/>
              <w:ind w:right="87"/>
              <w:spacing w:after="0"/>
              <w:rPr>
                <w:sz w:val="20"/>
                <w:szCs w:val="20"/>
                <w:color w:val="auto"/>
              </w:rPr>
            </w:pPr>
            <w:r>
              <w:rPr>
                <w:rFonts w:ascii="Arial" w:cs="Arial" w:eastAsia="Arial" w:hAnsi="Arial"/>
                <w:sz w:val="11"/>
                <w:szCs w:val="11"/>
                <w:color w:val="auto"/>
              </w:rPr>
              <w:t>$0</w:t>
            </w:r>
          </w:p>
        </w:tc>
        <w:tc>
          <w:tcPr>
            <w:tcW w:w="1300" w:type="dxa"/>
            <w:vAlign w:val="bottom"/>
            <w:shd w:val="clear" w:color="auto" w:fill="E8F4FF"/>
          </w:tcPr>
          <w:p>
            <w:pPr>
              <w:jc w:val="right"/>
              <w:ind w:right="87"/>
              <w:spacing w:after="0"/>
              <w:rPr>
                <w:sz w:val="20"/>
                <w:szCs w:val="20"/>
                <w:color w:val="auto"/>
              </w:rPr>
            </w:pPr>
            <w:r>
              <w:rPr>
                <w:rFonts w:ascii="Arial" w:cs="Arial" w:eastAsia="Arial" w:hAnsi="Arial"/>
                <w:sz w:val="11"/>
                <w:szCs w:val="11"/>
                <w:color w:val="auto"/>
              </w:rPr>
              <w:t>$0</w:t>
            </w:r>
          </w:p>
        </w:tc>
        <w:tc>
          <w:tcPr>
            <w:tcW w:w="1060" w:type="dxa"/>
            <w:vAlign w:val="bottom"/>
            <w:shd w:val="clear" w:color="auto" w:fill="E8F4FF"/>
          </w:tcPr>
          <w:p>
            <w:pPr>
              <w:jc w:val="right"/>
              <w:ind w:right="87"/>
              <w:spacing w:after="0"/>
              <w:rPr>
                <w:sz w:val="20"/>
                <w:szCs w:val="20"/>
                <w:color w:val="auto"/>
              </w:rPr>
            </w:pPr>
            <w:r>
              <w:rPr>
                <w:rFonts w:ascii="Arial" w:cs="Arial" w:eastAsia="Arial" w:hAnsi="Arial"/>
                <w:sz w:val="11"/>
                <w:szCs w:val="11"/>
                <w:color w:val="auto"/>
              </w:rPr>
              <w:t>$6,007,853</w:t>
            </w:r>
          </w:p>
        </w:tc>
        <w:tc>
          <w:tcPr>
            <w:tcW w:w="0" w:type="dxa"/>
            <w:vAlign w:val="bottom"/>
          </w:tcPr>
          <w:p>
            <w:pPr>
              <w:spacing w:after="0"/>
              <w:rPr>
                <w:sz w:val="1"/>
                <w:szCs w:val="1"/>
                <w:color w:val="auto"/>
              </w:rPr>
            </w:pPr>
          </w:p>
        </w:tc>
      </w:tr>
      <w:tr>
        <w:trPr>
          <w:trHeight w:val="75"/>
        </w:trPr>
        <w:tc>
          <w:tcPr>
            <w:tcW w:w="660" w:type="dxa"/>
            <w:vAlign w:val="bottom"/>
            <w:tcBorders>
              <w:bottom w:val="single" w:sz="8" w:color="2393FF"/>
            </w:tcBorders>
            <w:shd w:val="clear" w:color="auto" w:fill="E8F4FF"/>
          </w:tcPr>
          <w:p>
            <w:pPr>
              <w:spacing w:after="0"/>
              <w:rPr>
                <w:sz w:val="6"/>
                <w:szCs w:val="6"/>
                <w:color w:val="auto"/>
              </w:rPr>
            </w:pPr>
          </w:p>
        </w:tc>
        <w:tc>
          <w:tcPr>
            <w:tcW w:w="1060" w:type="dxa"/>
            <w:vAlign w:val="bottom"/>
            <w:tcBorders>
              <w:bottom w:val="single" w:sz="8" w:color="2393FF"/>
            </w:tcBorders>
            <w:shd w:val="clear" w:color="auto" w:fill="E8F4FF"/>
          </w:tcPr>
          <w:p>
            <w:pPr>
              <w:spacing w:after="0"/>
              <w:rPr>
                <w:sz w:val="6"/>
                <w:szCs w:val="6"/>
                <w:color w:val="auto"/>
              </w:rPr>
            </w:pPr>
          </w:p>
        </w:tc>
        <w:tc>
          <w:tcPr>
            <w:tcW w:w="1260" w:type="dxa"/>
            <w:vAlign w:val="bottom"/>
            <w:tcBorders>
              <w:bottom w:val="single" w:sz="8" w:color="2393FF"/>
            </w:tcBorders>
            <w:shd w:val="clear" w:color="auto" w:fill="E8F4FF"/>
          </w:tcPr>
          <w:p>
            <w:pPr>
              <w:spacing w:after="0"/>
              <w:rPr>
                <w:sz w:val="6"/>
                <w:szCs w:val="6"/>
                <w:color w:val="auto"/>
              </w:rPr>
            </w:pPr>
          </w:p>
        </w:tc>
        <w:tc>
          <w:tcPr>
            <w:tcW w:w="1220" w:type="dxa"/>
            <w:vAlign w:val="bottom"/>
            <w:tcBorders>
              <w:bottom w:val="single" w:sz="8" w:color="2393FF"/>
            </w:tcBorders>
            <w:shd w:val="clear" w:color="auto" w:fill="E8F4FF"/>
          </w:tcPr>
          <w:p>
            <w:pPr>
              <w:spacing w:after="0"/>
              <w:rPr>
                <w:sz w:val="6"/>
                <w:szCs w:val="6"/>
                <w:color w:val="auto"/>
              </w:rPr>
            </w:pPr>
          </w:p>
        </w:tc>
        <w:tc>
          <w:tcPr>
            <w:tcW w:w="1120" w:type="dxa"/>
            <w:vAlign w:val="bottom"/>
            <w:tcBorders>
              <w:bottom w:val="single" w:sz="8" w:color="2393FF"/>
            </w:tcBorders>
            <w:shd w:val="clear" w:color="auto" w:fill="E8F4FF"/>
          </w:tcPr>
          <w:p>
            <w:pPr>
              <w:spacing w:after="0"/>
              <w:rPr>
                <w:sz w:val="6"/>
                <w:szCs w:val="6"/>
                <w:color w:val="auto"/>
              </w:rPr>
            </w:pPr>
          </w:p>
        </w:tc>
        <w:tc>
          <w:tcPr>
            <w:tcW w:w="1140" w:type="dxa"/>
            <w:vAlign w:val="bottom"/>
            <w:tcBorders>
              <w:bottom w:val="single" w:sz="8" w:color="2393FF"/>
            </w:tcBorders>
            <w:shd w:val="clear" w:color="auto" w:fill="E8F4FF"/>
          </w:tcPr>
          <w:p>
            <w:pPr>
              <w:spacing w:after="0"/>
              <w:rPr>
                <w:sz w:val="6"/>
                <w:szCs w:val="6"/>
                <w:color w:val="auto"/>
              </w:rPr>
            </w:pPr>
          </w:p>
        </w:tc>
        <w:tc>
          <w:tcPr>
            <w:tcW w:w="1300" w:type="dxa"/>
            <w:vAlign w:val="bottom"/>
            <w:tcBorders>
              <w:bottom w:val="single" w:sz="8" w:color="2393FF"/>
            </w:tcBorders>
            <w:shd w:val="clear" w:color="auto" w:fill="E8F4FF"/>
          </w:tcPr>
          <w:p>
            <w:pPr>
              <w:spacing w:after="0"/>
              <w:rPr>
                <w:sz w:val="6"/>
                <w:szCs w:val="6"/>
                <w:color w:val="auto"/>
              </w:rPr>
            </w:pPr>
          </w:p>
        </w:tc>
        <w:tc>
          <w:tcPr>
            <w:tcW w:w="1060" w:type="dxa"/>
            <w:vAlign w:val="bottom"/>
            <w:tcBorders>
              <w:bottom w:val="single" w:sz="8" w:color="2393FF"/>
            </w:tcBorders>
            <w:shd w:val="clear" w:color="auto" w:fill="E8F4FF"/>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380" w:right="20" w:hanging="353"/>
        <w:spacing w:after="0" w:line="223" w:lineRule="auto"/>
        <w:tabs>
          <w:tab w:leader="none" w:pos="1380" w:val="left"/>
        </w:tabs>
        <w:numPr>
          <w:ilvl w:val="0"/>
          <w:numId w:val="88"/>
        </w:numPr>
        <w:rPr>
          <w:rFonts w:ascii="Arial" w:cs="Arial" w:eastAsia="Arial" w:hAnsi="Arial"/>
          <w:sz w:val="11"/>
          <w:szCs w:val="11"/>
          <w:color w:val="333333"/>
        </w:rPr>
      </w:pPr>
      <w:r>
        <w:rPr>
          <w:rFonts w:ascii="Arial" w:cs="Arial" w:eastAsia="Arial" w:hAnsi="Arial"/>
          <w:sz w:val="11"/>
          <w:szCs w:val="11"/>
          <w:color w:val="333333"/>
        </w:rPr>
        <w:t>The dollar amounts reported in column (d) represent the average of the amounts reported for our NEOs as a group (excluding Mr. Massaro, who has served as our CEO since 2013) in the Total column of the Summary Compensation Table in each applicable year. The names of each of the NEOs (excluding Mr. Massaro) included for purposes of calculating the average amounts in each applicable year are as follows: (i) for 2025, Robert Orgel, Peter Butterfield, David King, and Cosmin Pitigoi, (ii) for 2024, Robert Orgel, Michael Ellis, Peter Butterfield, David King, and Cosmin Pitigoi, (iii) for 2023, Robert Orgel, Michael Ellis, Peter Butterfield and David King, (iv) for 2022, Robert Orgel, Michael Ellis, Sharon Butler and David King; and (v) for 2021, Robert Orgel and Michael Ellis.</w:t>
      </w:r>
    </w:p>
    <w:p>
      <w:pPr>
        <w:spacing w:after="0" w:line="43" w:lineRule="exact"/>
        <w:rPr>
          <w:rFonts w:ascii="Arial" w:cs="Arial" w:eastAsia="Arial" w:hAnsi="Arial"/>
          <w:sz w:val="11"/>
          <w:szCs w:val="11"/>
          <w:color w:val="333333"/>
        </w:rPr>
      </w:pPr>
    </w:p>
    <w:p>
      <w:pPr>
        <w:ind w:left="1380" w:right="160" w:hanging="353"/>
        <w:spacing w:after="0" w:line="288" w:lineRule="auto"/>
        <w:tabs>
          <w:tab w:leader="none" w:pos="1380" w:val="left"/>
        </w:tabs>
        <w:numPr>
          <w:ilvl w:val="0"/>
          <w:numId w:val="88"/>
        </w:numPr>
        <w:rPr>
          <w:rFonts w:ascii="Arial" w:cs="Arial" w:eastAsia="Arial" w:hAnsi="Arial"/>
          <w:sz w:val="9"/>
          <w:szCs w:val="9"/>
          <w:color w:val="333333"/>
        </w:rPr>
      </w:pPr>
      <w:r>
        <w:rPr>
          <w:rFonts w:ascii="Arial" w:cs="Arial" w:eastAsia="Arial" w:hAnsi="Arial"/>
          <w:sz w:val="9"/>
          <w:szCs w:val="9"/>
          <w:color w:val="333333"/>
        </w:rPr>
        <w:t>The dollar amounts reported in column (e) represent the average amount of compensation actually paid to the NEOs as a group (excluding Mr. Massaro), as computed in accordance with Item 402(v) of Regulation S-K. The dollar amounts do not reflect the actual average amount of compensation earned by or paid to the NEOs as a group (excluding Mr. Massaro) during the applicable year. In accordance with the requirements of Item 402(v) of Regulation S-K, the following adjustments were made to average total compensation for the NEOs as a group (excluding Mr. Massaro) for each year to determine the compensation actually paid, using the same methodology described above in Footnote (2) above:</w:t>
      </w:r>
    </w:p>
    <w:p>
      <w:pPr>
        <w:spacing w:after="0" w:line="188"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tcPr>
          <w:p>
            <w:pPr>
              <w:jc w:val="right"/>
              <w:ind w:right="226"/>
              <w:spacing w:after="0"/>
              <w:rPr>
                <w:sz w:val="20"/>
                <w:szCs w:val="20"/>
                <w:color w:val="auto"/>
              </w:rPr>
            </w:pPr>
            <w:r>
              <w:rPr>
                <w:rFonts w:ascii="Arial" w:cs="Arial" w:eastAsia="Arial" w:hAnsi="Arial"/>
                <w:sz w:val="11"/>
                <w:szCs w:val="11"/>
                <w:b w:val="1"/>
                <w:bCs w:val="1"/>
                <w:color w:val="auto"/>
              </w:rPr>
              <w:t>AVERAGE</w:t>
            </w: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jc w:val="right"/>
              <w:ind w:right="226"/>
              <w:spacing w:after="0" w:line="113"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9"/>
                <w:szCs w:val="9"/>
                <w:color w:val="auto"/>
              </w:rPr>
            </w:pPr>
          </w:p>
        </w:tc>
        <w:tc>
          <w:tcPr>
            <w:tcW w:w="104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AVERAGE</w:t>
            </w:r>
          </w:p>
        </w:tc>
        <w:tc>
          <w:tcPr>
            <w:tcW w:w="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5"/>
        </w:trPr>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jc w:val="right"/>
              <w:ind w:right="226"/>
              <w:spacing w:after="0" w:line="105" w:lineRule="exact"/>
              <w:rPr>
                <w:sz w:val="20"/>
                <w:szCs w:val="20"/>
                <w:color w:val="auto"/>
              </w:rPr>
            </w:pPr>
            <w:r>
              <w:rPr>
                <w:rFonts w:ascii="Arial" w:cs="Arial" w:eastAsia="Arial" w:hAnsi="Arial"/>
                <w:sz w:val="11"/>
                <w:szCs w:val="11"/>
                <w:b w:val="1"/>
                <w:bCs w:val="1"/>
                <w:color w:val="auto"/>
              </w:rPr>
              <w:t>SUMMARY</w:t>
            </w:r>
          </w:p>
        </w:tc>
        <w:tc>
          <w:tcPr>
            <w:tcW w:w="5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1660" w:type="dxa"/>
            <w:vAlign w:val="bottom"/>
            <w:gridSpan w:val="2"/>
          </w:tcPr>
          <w:p>
            <w:pPr>
              <w:jc w:val="right"/>
              <w:ind w:right="226"/>
              <w:spacing w:after="0" w:line="113" w:lineRule="exact"/>
              <w:rPr>
                <w:sz w:val="20"/>
                <w:szCs w:val="20"/>
                <w:color w:val="auto"/>
              </w:rPr>
            </w:pPr>
            <w:r>
              <w:rPr>
                <w:rFonts w:ascii="Arial" w:cs="Arial" w:eastAsia="Arial" w:hAnsi="Arial"/>
                <w:sz w:val="11"/>
                <w:szCs w:val="11"/>
                <w:b w:val="1"/>
                <w:bCs w:val="1"/>
                <w:color w:val="auto"/>
              </w:rPr>
              <w:t>COMPENSATION</w:t>
            </w:r>
          </w:p>
        </w:tc>
        <w:tc>
          <w:tcPr>
            <w:tcW w:w="1620" w:type="dxa"/>
            <w:vAlign w:val="bottom"/>
            <w:gridSpan w:val="2"/>
          </w:tcPr>
          <w:p>
            <w:pPr>
              <w:jc w:val="right"/>
              <w:ind w:right="266"/>
              <w:spacing w:after="0" w:line="113" w:lineRule="exact"/>
              <w:rPr>
                <w:sz w:val="20"/>
                <w:szCs w:val="20"/>
                <w:color w:val="auto"/>
              </w:rPr>
            </w:pPr>
            <w:r>
              <w:rPr>
                <w:rFonts w:ascii="Arial" w:cs="Arial" w:eastAsia="Arial" w:hAnsi="Arial"/>
                <w:sz w:val="11"/>
                <w:szCs w:val="11"/>
                <w:b w:val="1"/>
                <w:bCs w:val="1"/>
                <w:color w:val="auto"/>
              </w:rPr>
              <w:t>          REPORTED</w:t>
            </w:r>
          </w:p>
        </w:tc>
        <w:tc>
          <w:tcPr>
            <w:tcW w:w="460" w:type="dxa"/>
            <w:vAlign w:val="bottom"/>
          </w:tcPr>
          <w:p>
            <w:pPr>
              <w:spacing w:after="0"/>
              <w:rPr>
                <w:sz w:val="9"/>
                <w:szCs w:val="9"/>
                <w:color w:val="auto"/>
              </w:rPr>
            </w:pPr>
          </w:p>
        </w:tc>
        <w:tc>
          <w:tcPr>
            <w:tcW w:w="132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AVERAGE</w:t>
            </w:r>
          </w:p>
        </w:tc>
        <w:tc>
          <w:tcPr>
            <w:tcW w:w="1640" w:type="dxa"/>
            <w:vAlign w:val="bottom"/>
            <w:gridSpan w:val="2"/>
          </w:tcPr>
          <w:p>
            <w:pPr>
              <w:jc w:val="right"/>
              <w:ind w:right="126"/>
              <w:spacing w:after="0" w:line="113" w:lineRule="exact"/>
              <w:rPr>
                <w:sz w:val="20"/>
                <w:szCs w:val="20"/>
                <w:color w:val="auto"/>
              </w:rPr>
            </w:pPr>
            <w:r>
              <w:rPr>
                <w:rFonts w:ascii="Arial" w:cs="Arial" w:eastAsia="Arial" w:hAnsi="Arial"/>
                <w:sz w:val="11"/>
                <w:szCs w:val="11"/>
                <w:b w:val="1"/>
                <w:bCs w:val="1"/>
                <w:color w:val="auto"/>
              </w:rPr>
              <w:t>          COMPENSATION</w:t>
            </w: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jc w:val="right"/>
              <w:ind w:right="226"/>
              <w:spacing w:after="0" w:line="113" w:lineRule="exact"/>
              <w:rPr>
                <w:sz w:val="20"/>
                <w:szCs w:val="20"/>
                <w:color w:val="auto"/>
              </w:rPr>
            </w:pPr>
            <w:r>
              <w:rPr>
                <w:rFonts w:ascii="Arial" w:cs="Arial" w:eastAsia="Arial" w:hAnsi="Arial"/>
                <w:sz w:val="11"/>
                <w:szCs w:val="11"/>
                <w:b w:val="1"/>
                <w:bCs w:val="1"/>
                <w:color w:val="auto"/>
                <w:w w:val="96"/>
              </w:rPr>
              <w:t>TABLE TOTAL</w:t>
            </w:r>
          </w:p>
        </w:tc>
        <w:tc>
          <w:tcPr>
            <w:tcW w:w="580" w:type="dxa"/>
            <w:vAlign w:val="bottom"/>
          </w:tcPr>
          <w:p>
            <w:pPr>
              <w:spacing w:after="0"/>
              <w:rPr>
                <w:sz w:val="9"/>
                <w:szCs w:val="9"/>
                <w:color w:val="auto"/>
              </w:rPr>
            </w:pPr>
          </w:p>
        </w:tc>
        <w:tc>
          <w:tcPr>
            <w:tcW w:w="1040" w:type="dxa"/>
            <w:vAlign w:val="bottom"/>
          </w:tcPr>
          <w:p>
            <w:pPr>
              <w:jc w:val="right"/>
              <w:ind w:right="266"/>
              <w:spacing w:after="0" w:line="113" w:lineRule="exact"/>
              <w:rPr>
                <w:sz w:val="20"/>
                <w:szCs w:val="20"/>
                <w:color w:val="auto"/>
              </w:rPr>
            </w:pPr>
            <w:r>
              <w:rPr>
                <w:rFonts w:ascii="Arial" w:cs="Arial" w:eastAsia="Arial" w:hAnsi="Arial"/>
                <w:sz w:val="11"/>
                <w:szCs w:val="11"/>
                <w:b w:val="1"/>
                <w:bCs w:val="1"/>
                <w:color w:val="auto"/>
              </w:rPr>
              <w:t>VALUE OF</w:t>
            </w:r>
          </w:p>
        </w:tc>
        <w:tc>
          <w:tcPr>
            <w:tcW w:w="4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tcPr>
          <w:p>
            <w:pPr>
              <w:jc w:val="right"/>
              <w:ind w:right="126"/>
              <w:spacing w:after="0" w:line="113" w:lineRule="exact"/>
              <w:rPr>
                <w:sz w:val="20"/>
                <w:szCs w:val="20"/>
                <w:color w:val="auto"/>
              </w:rPr>
            </w:pPr>
            <w:r>
              <w:rPr>
                <w:rFonts w:ascii="Arial" w:cs="Arial" w:eastAsia="Arial" w:hAnsi="Arial"/>
                <w:sz w:val="11"/>
                <w:szCs w:val="11"/>
                <w:b w:val="1"/>
                <w:bCs w:val="1"/>
                <w:color w:val="auto"/>
              </w:rPr>
              <w:t>ACTUALLY PAID</w:t>
            </w:r>
          </w:p>
        </w:tc>
        <w:tc>
          <w:tcPr>
            <w:tcW w:w="0" w:type="dxa"/>
            <w:vAlign w:val="bottom"/>
          </w:tcPr>
          <w:p>
            <w:pPr>
              <w:spacing w:after="0"/>
              <w:rPr>
                <w:sz w:val="1"/>
                <w:szCs w:val="1"/>
                <w:color w:val="auto"/>
              </w:rPr>
            </w:pPr>
          </w:p>
        </w:tc>
      </w:tr>
      <w:tr>
        <w:trPr>
          <w:trHeight w:val="113"/>
        </w:trPr>
        <w:tc>
          <w:tcPr>
            <w:tcW w:w="2120" w:type="dxa"/>
            <w:vAlign w:val="bottom"/>
            <w:vMerge w:val="restart"/>
          </w:tcPr>
          <w:p>
            <w:pPr>
              <w:jc w:val="right"/>
              <w:ind w:right="1724"/>
              <w:spacing w:after="0"/>
              <w:rPr>
                <w:sz w:val="20"/>
                <w:szCs w:val="20"/>
                <w:color w:val="auto"/>
              </w:rPr>
            </w:pPr>
            <w:r>
              <w:rPr>
                <w:rFonts w:ascii="Arial" w:cs="Arial" w:eastAsia="Arial" w:hAnsi="Arial"/>
                <w:sz w:val="11"/>
                <w:szCs w:val="11"/>
                <w:b w:val="1"/>
                <w:bCs w:val="1"/>
                <w:color w:val="auto"/>
                <w:w w:val="81"/>
              </w:rPr>
              <w:t>  YEAR</w:t>
            </w:r>
          </w:p>
        </w:tc>
        <w:tc>
          <w:tcPr>
            <w:tcW w:w="620" w:type="dxa"/>
            <w:vAlign w:val="bottom"/>
          </w:tcPr>
          <w:p>
            <w:pPr>
              <w:spacing w:after="0"/>
              <w:rPr>
                <w:sz w:val="9"/>
                <w:szCs w:val="9"/>
                <w:color w:val="auto"/>
              </w:rPr>
            </w:pPr>
          </w:p>
        </w:tc>
        <w:tc>
          <w:tcPr>
            <w:tcW w:w="1040" w:type="dxa"/>
            <w:vAlign w:val="bottom"/>
          </w:tcPr>
          <w:p>
            <w:pPr>
              <w:jc w:val="right"/>
              <w:ind w:right="226"/>
              <w:spacing w:after="0" w:line="113" w:lineRule="exact"/>
              <w:rPr>
                <w:sz w:val="20"/>
                <w:szCs w:val="20"/>
                <w:color w:val="auto"/>
              </w:rPr>
            </w:pPr>
            <w:r>
              <w:rPr>
                <w:rFonts w:ascii="Arial" w:cs="Arial" w:eastAsia="Arial" w:hAnsi="Arial"/>
                <w:sz w:val="11"/>
                <w:szCs w:val="11"/>
                <w:b w:val="1"/>
                <w:bCs w:val="1"/>
                <w:color w:val="auto"/>
                <w:w w:val="95"/>
              </w:rPr>
              <w:t>FOR NON-PEO</w:t>
            </w:r>
          </w:p>
        </w:tc>
        <w:tc>
          <w:tcPr>
            <w:tcW w:w="580" w:type="dxa"/>
            <w:vAlign w:val="bottom"/>
          </w:tcPr>
          <w:p>
            <w:pPr>
              <w:spacing w:after="0"/>
              <w:rPr>
                <w:sz w:val="9"/>
                <w:szCs w:val="9"/>
                <w:color w:val="auto"/>
              </w:rPr>
            </w:pPr>
          </w:p>
        </w:tc>
        <w:tc>
          <w:tcPr>
            <w:tcW w:w="1040" w:type="dxa"/>
            <w:vAlign w:val="bottom"/>
          </w:tcPr>
          <w:p>
            <w:pPr>
              <w:jc w:val="right"/>
              <w:ind w:right="266"/>
              <w:spacing w:after="0" w:line="113" w:lineRule="exact"/>
              <w:rPr>
                <w:sz w:val="20"/>
                <w:szCs w:val="20"/>
                <w:color w:val="auto"/>
              </w:rPr>
            </w:pPr>
            <w:r>
              <w:rPr>
                <w:rFonts w:ascii="Arial" w:cs="Arial" w:eastAsia="Arial" w:hAnsi="Arial"/>
                <w:sz w:val="11"/>
                <w:szCs w:val="11"/>
                <w:b w:val="1"/>
                <w:bCs w:val="1"/>
                <w:color w:val="auto"/>
              </w:rPr>
              <w:t>EQUITY</w:t>
            </w:r>
          </w:p>
        </w:tc>
        <w:tc>
          <w:tcPr>
            <w:tcW w:w="46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 xml:space="preserve">   </w:t>
            </w:r>
          </w:p>
        </w:tc>
        <w:tc>
          <w:tcPr>
            <w:tcW w:w="1320" w:type="dxa"/>
            <w:vAlign w:val="bottom"/>
          </w:tcPr>
          <w:p>
            <w:pPr>
              <w:jc w:val="right"/>
              <w:ind w:right="146"/>
              <w:spacing w:after="0" w:line="113" w:lineRule="exact"/>
              <w:rPr>
                <w:sz w:val="20"/>
                <w:szCs w:val="20"/>
                <w:color w:val="auto"/>
              </w:rPr>
            </w:pPr>
            <w:r>
              <w:rPr>
                <w:rFonts w:ascii="Arial" w:cs="Arial" w:eastAsia="Arial" w:hAnsi="Arial"/>
                <w:sz w:val="11"/>
                <w:szCs w:val="11"/>
                <w:b w:val="1"/>
                <w:bCs w:val="1"/>
                <w:color w:val="auto"/>
              </w:rPr>
              <w:t>EQUITY AWARD</w:t>
            </w:r>
          </w:p>
        </w:tc>
        <w:tc>
          <w:tcPr>
            <w:tcW w:w="440" w:type="dxa"/>
            <w:vAlign w:val="bottom"/>
          </w:tcPr>
          <w:p>
            <w:pPr>
              <w:spacing w:after="0"/>
              <w:rPr>
                <w:sz w:val="9"/>
                <w:szCs w:val="9"/>
                <w:color w:val="auto"/>
              </w:rPr>
            </w:pPr>
          </w:p>
        </w:tc>
        <w:tc>
          <w:tcPr>
            <w:tcW w:w="1200" w:type="dxa"/>
            <w:vAlign w:val="bottom"/>
          </w:tcPr>
          <w:p>
            <w:pPr>
              <w:jc w:val="right"/>
              <w:ind w:right="126"/>
              <w:spacing w:after="0" w:line="113" w:lineRule="exact"/>
              <w:rPr>
                <w:sz w:val="20"/>
                <w:szCs w:val="20"/>
                <w:color w:val="auto"/>
              </w:rPr>
            </w:pPr>
            <w:r>
              <w:rPr>
                <w:rFonts w:ascii="Arial" w:cs="Arial" w:eastAsia="Arial" w:hAnsi="Arial"/>
                <w:sz w:val="11"/>
                <w:szCs w:val="11"/>
                <w:b w:val="1"/>
                <w:bCs w:val="1"/>
                <w:color w:val="auto"/>
              </w:rPr>
              <w:t>TO NON-PEO</w:t>
            </w:r>
          </w:p>
        </w:tc>
        <w:tc>
          <w:tcPr>
            <w:tcW w:w="0" w:type="dxa"/>
            <w:vAlign w:val="bottom"/>
          </w:tcPr>
          <w:p>
            <w:pPr>
              <w:spacing w:after="0"/>
              <w:rPr>
                <w:sz w:val="1"/>
                <w:szCs w:val="1"/>
                <w:color w:val="auto"/>
              </w:rPr>
            </w:pPr>
          </w:p>
        </w:tc>
      </w:tr>
      <w:tr>
        <w:trPr>
          <w:trHeight w:val="180"/>
        </w:trPr>
        <w:tc>
          <w:tcPr>
            <w:tcW w:w="21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226"/>
              <w:spacing w:after="0"/>
              <w:rPr>
                <w:sz w:val="20"/>
                <w:szCs w:val="20"/>
                <w:color w:val="auto"/>
              </w:rPr>
            </w:pPr>
            <w:r>
              <w:rPr>
                <w:rFonts w:ascii="Arial" w:cs="Arial" w:eastAsia="Arial" w:hAnsi="Arial"/>
                <w:sz w:val="11"/>
                <w:szCs w:val="11"/>
                <w:b w:val="1"/>
                <w:bCs w:val="1"/>
                <w:color w:val="auto"/>
              </w:rPr>
              <w:t>NEOS</w:t>
            </w:r>
          </w:p>
        </w:tc>
        <w:tc>
          <w:tcPr>
            <w:tcW w:w="580" w:type="dxa"/>
            <w:vAlign w:val="bottom"/>
          </w:tcPr>
          <w:p>
            <w:pPr>
              <w:spacing w:after="0"/>
              <w:rPr>
                <w:sz w:val="15"/>
                <w:szCs w:val="15"/>
                <w:color w:val="auto"/>
              </w:rPr>
            </w:pPr>
          </w:p>
        </w:tc>
        <w:tc>
          <w:tcPr>
            <w:tcW w:w="1040" w:type="dxa"/>
            <w:vAlign w:val="bottom"/>
          </w:tcPr>
          <w:p>
            <w:pPr>
              <w:jc w:val="right"/>
              <w:ind w:right="266"/>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3"/>
                <w:szCs w:val="13"/>
                <w:b w:val="1"/>
                <w:bCs w:val="1"/>
                <w:color w:val="auto"/>
                <w:vertAlign w:val="superscript"/>
              </w:rPr>
              <w:t>(a)</w:t>
            </w:r>
          </w:p>
        </w:tc>
        <w:tc>
          <w:tcPr>
            <w:tcW w:w="460" w:type="dxa"/>
            <w:vAlign w:val="bottom"/>
            <w:vMerge w:val="continue"/>
          </w:tcPr>
          <w:p>
            <w:pPr>
              <w:spacing w:after="0"/>
              <w:rPr>
                <w:sz w:val="15"/>
                <w:szCs w:val="15"/>
                <w:color w:val="auto"/>
              </w:rPr>
            </w:pPr>
          </w:p>
        </w:tc>
        <w:tc>
          <w:tcPr>
            <w:tcW w:w="1320" w:type="dxa"/>
            <w:vAlign w:val="bottom"/>
          </w:tcPr>
          <w:p>
            <w:pPr>
              <w:jc w:val="right"/>
              <w:ind w:right="146"/>
              <w:spacing w:after="0"/>
              <w:rPr>
                <w:sz w:val="20"/>
                <w:szCs w:val="20"/>
                <w:color w:val="auto"/>
              </w:rPr>
            </w:pPr>
            <w:r>
              <w:rPr>
                <w:rFonts w:ascii="Arial" w:cs="Arial" w:eastAsia="Arial" w:hAnsi="Arial"/>
                <w:sz w:val="11"/>
                <w:szCs w:val="11"/>
                <w:b w:val="1"/>
                <w:bCs w:val="1"/>
                <w:color w:val="auto"/>
                <w:w w:val="96"/>
              </w:rPr>
              <w:t>    ADJUSTMENTS</w:t>
            </w:r>
            <w:r>
              <w:rPr>
                <w:rFonts w:ascii="Arial" w:cs="Arial" w:eastAsia="Arial" w:hAnsi="Arial"/>
                <w:sz w:val="13"/>
                <w:szCs w:val="13"/>
                <w:b w:val="1"/>
                <w:bCs w:val="1"/>
                <w:color w:val="auto"/>
                <w:w w:val="96"/>
                <w:vertAlign w:val="superscript"/>
              </w:rPr>
              <w:t>(b)</w:t>
            </w:r>
          </w:p>
        </w:tc>
        <w:tc>
          <w:tcPr>
            <w:tcW w:w="440" w:type="dxa"/>
            <w:vAlign w:val="bottom"/>
          </w:tcPr>
          <w:p>
            <w:pPr>
              <w:spacing w:after="0"/>
              <w:rPr>
                <w:sz w:val="15"/>
                <w:szCs w:val="15"/>
                <w:color w:val="auto"/>
              </w:rPr>
            </w:pPr>
          </w:p>
        </w:tc>
        <w:tc>
          <w:tcPr>
            <w:tcW w:w="1200" w:type="dxa"/>
            <w:vAlign w:val="bottom"/>
          </w:tcPr>
          <w:p>
            <w:pPr>
              <w:jc w:val="right"/>
              <w:ind w:right="126"/>
              <w:spacing w:after="0"/>
              <w:rPr>
                <w:sz w:val="20"/>
                <w:szCs w:val="20"/>
                <w:color w:val="auto"/>
              </w:rPr>
            </w:pPr>
            <w:r>
              <w:rPr>
                <w:rFonts w:ascii="Arial" w:cs="Arial" w:eastAsia="Arial" w:hAnsi="Arial"/>
                <w:sz w:val="11"/>
                <w:szCs w:val="11"/>
                <w:b w:val="1"/>
                <w:bCs w:val="1"/>
                <w:color w:val="auto"/>
              </w:rPr>
              <w:t>NEOS</w:t>
            </w:r>
          </w:p>
        </w:tc>
        <w:tc>
          <w:tcPr>
            <w:tcW w:w="0" w:type="dxa"/>
            <w:vAlign w:val="bottom"/>
          </w:tcPr>
          <w:p>
            <w:pPr>
              <w:spacing w:after="0"/>
              <w:rPr>
                <w:sz w:val="1"/>
                <w:szCs w:val="1"/>
                <w:color w:val="auto"/>
              </w:rPr>
            </w:pPr>
          </w:p>
        </w:tc>
      </w:tr>
      <w:tr>
        <w:trPr>
          <w:trHeight w:val="45"/>
        </w:trPr>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120" w:type="dxa"/>
            <w:vAlign w:val="bottom"/>
            <w:shd w:val="clear" w:color="auto" w:fill="E8F4FF"/>
          </w:tcPr>
          <w:p>
            <w:pPr>
              <w:jc w:val="right"/>
              <w:ind w:right="1744"/>
              <w:spacing w:after="0"/>
              <w:rPr>
                <w:sz w:val="20"/>
                <w:szCs w:val="20"/>
                <w:color w:val="auto"/>
              </w:rPr>
            </w:pPr>
            <w:r>
              <w:rPr>
                <w:rFonts w:ascii="Arial" w:cs="Arial" w:eastAsia="Arial" w:hAnsi="Arial"/>
                <w:sz w:val="12"/>
                <w:szCs w:val="12"/>
                <w:b w:val="1"/>
                <w:bCs w:val="1"/>
                <w:color w:val="2393FF"/>
              </w:rPr>
              <w:t>2025</w:t>
            </w:r>
          </w:p>
        </w:tc>
        <w:tc>
          <w:tcPr>
            <w:tcW w:w="62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8F4FF"/>
          </w:tcPr>
          <w:p>
            <w:pPr>
              <w:jc w:val="right"/>
              <w:ind w:right="226"/>
              <w:spacing w:after="0"/>
              <w:rPr>
                <w:sz w:val="20"/>
                <w:szCs w:val="20"/>
                <w:color w:val="auto"/>
              </w:rPr>
            </w:pPr>
            <w:r>
              <w:rPr>
                <w:rFonts w:ascii="Arial" w:cs="Arial" w:eastAsia="Arial" w:hAnsi="Arial"/>
                <w:sz w:val="12"/>
                <w:szCs w:val="12"/>
                <w:color w:val="auto"/>
              </w:rPr>
              <w:t>3,857,829</w:t>
            </w:r>
          </w:p>
        </w:tc>
        <w:tc>
          <w:tcPr>
            <w:tcW w:w="580" w:type="dxa"/>
            <w:vAlign w:val="bottom"/>
            <w:shd w:val="clear" w:color="auto" w:fill="E8F4FF"/>
          </w:tcPr>
          <w:p>
            <w:pPr>
              <w:jc w:val="right"/>
              <w:ind w:right="124"/>
              <w:spacing w:after="0"/>
              <w:rPr>
                <w:sz w:val="20"/>
                <w:szCs w:val="20"/>
                <w:color w:val="auto"/>
              </w:rPr>
            </w:pPr>
            <w:r>
              <w:rPr>
                <w:rFonts w:ascii="Arial" w:cs="Arial" w:eastAsia="Arial" w:hAnsi="Arial"/>
                <w:sz w:val="12"/>
                <w:szCs w:val="12"/>
                <w:color w:val="auto"/>
              </w:rPr>
              <w:t>($</w:t>
            </w:r>
          </w:p>
        </w:tc>
        <w:tc>
          <w:tcPr>
            <w:tcW w:w="1040" w:type="dxa"/>
            <w:vAlign w:val="bottom"/>
            <w:shd w:val="clear" w:color="auto" w:fill="E8F4FF"/>
          </w:tcPr>
          <w:p>
            <w:pPr>
              <w:jc w:val="right"/>
              <w:ind w:right="226"/>
              <w:spacing w:after="0"/>
              <w:rPr>
                <w:sz w:val="20"/>
                <w:szCs w:val="20"/>
                <w:color w:val="auto"/>
              </w:rPr>
            </w:pPr>
            <w:r>
              <w:rPr>
                <w:rFonts w:ascii="Arial" w:cs="Arial" w:eastAsia="Arial" w:hAnsi="Arial"/>
                <w:sz w:val="12"/>
                <w:szCs w:val="12"/>
                <w:color w:val="auto"/>
              </w:rPr>
              <w:t>3,201,551)</w:t>
            </w:r>
          </w:p>
        </w:tc>
        <w:tc>
          <w:tcPr>
            <w:tcW w:w="460" w:type="dxa"/>
            <w:vAlign w:val="bottom"/>
            <w:shd w:val="clear" w:color="auto" w:fill="E8F4FF"/>
          </w:tcPr>
          <w:p>
            <w:pPr>
              <w:ind w:left="280"/>
              <w:spacing w:after="0"/>
              <w:rPr>
                <w:sz w:val="20"/>
                <w:szCs w:val="20"/>
                <w:color w:val="auto"/>
              </w:rPr>
            </w:pPr>
            <w:r>
              <w:rPr>
                <w:rFonts w:ascii="Arial" w:cs="Arial" w:eastAsia="Arial" w:hAnsi="Arial"/>
                <w:sz w:val="12"/>
                <w:szCs w:val="12"/>
                <w:color w:val="auto"/>
              </w:rPr>
              <w:t>$</w:t>
            </w:r>
          </w:p>
        </w:tc>
        <w:tc>
          <w:tcPr>
            <w:tcW w:w="1320" w:type="dxa"/>
            <w:vAlign w:val="bottom"/>
            <w:shd w:val="clear" w:color="auto" w:fill="E8F4FF"/>
          </w:tcPr>
          <w:p>
            <w:pPr>
              <w:jc w:val="right"/>
              <w:ind w:right="146"/>
              <w:spacing w:after="0"/>
              <w:rPr>
                <w:sz w:val="20"/>
                <w:szCs w:val="20"/>
                <w:color w:val="auto"/>
              </w:rPr>
            </w:pPr>
            <w:r>
              <w:rPr>
                <w:rFonts w:ascii="Arial" w:cs="Arial" w:eastAsia="Arial" w:hAnsi="Arial"/>
                <w:sz w:val="12"/>
                <w:szCs w:val="12"/>
                <w:color w:val="auto"/>
              </w:rPr>
              <w:t>2,403,656</w:t>
            </w:r>
          </w:p>
        </w:tc>
        <w:tc>
          <w:tcPr>
            <w:tcW w:w="440" w:type="dxa"/>
            <w:vAlign w:val="bottom"/>
            <w:shd w:val="clear" w:color="auto" w:fill="E8F4FF"/>
          </w:tcPr>
          <w:p>
            <w:pPr>
              <w:jc w:val="right"/>
              <w:ind w:right="124"/>
              <w:spacing w:after="0"/>
              <w:rPr>
                <w:sz w:val="20"/>
                <w:szCs w:val="20"/>
                <w:color w:val="auto"/>
              </w:rPr>
            </w:pPr>
            <w:r>
              <w:rPr>
                <w:rFonts w:ascii="Arial" w:cs="Arial" w:eastAsia="Arial" w:hAnsi="Arial"/>
                <w:sz w:val="12"/>
                <w:szCs w:val="12"/>
                <w:color w:val="auto"/>
              </w:rPr>
              <w:t>$</w:t>
            </w:r>
          </w:p>
        </w:tc>
        <w:tc>
          <w:tcPr>
            <w:tcW w:w="1200" w:type="dxa"/>
            <w:vAlign w:val="bottom"/>
            <w:shd w:val="clear" w:color="auto" w:fill="E8F4FF"/>
          </w:tcPr>
          <w:p>
            <w:pPr>
              <w:jc w:val="right"/>
              <w:ind w:right="126"/>
              <w:spacing w:after="0"/>
              <w:rPr>
                <w:sz w:val="20"/>
                <w:szCs w:val="20"/>
                <w:color w:val="auto"/>
              </w:rPr>
            </w:pPr>
            <w:r>
              <w:rPr>
                <w:rFonts w:ascii="Arial" w:cs="Arial" w:eastAsia="Arial" w:hAnsi="Arial"/>
                <w:sz w:val="12"/>
                <w:szCs w:val="12"/>
                <w:color w:val="auto"/>
              </w:rPr>
              <w:t>3,059,934</w:t>
            </w:r>
          </w:p>
        </w:tc>
        <w:tc>
          <w:tcPr>
            <w:tcW w:w="0" w:type="dxa"/>
            <w:vAlign w:val="bottom"/>
          </w:tcPr>
          <w:p>
            <w:pPr>
              <w:spacing w:after="0"/>
              <w:rPr>
                <w:sz w:val="1"/>
                <w:szCs w:val="1"/>
                <w:color w:val="auto"/>
              </w:rPr>
            </w:pPr>
          </w:p>
        </w:tc>
      </w:tr>
      <w:tr>
        <w:trPr>
          <w:trHeight w:val="69"/>
        </w:trPr>
        <w:tc>
          <w:tcPr>
            <w:tcW w:w="2120" w:type="dxa"/>
            <w:vAlign w:val="bottom"/>
            <w:tcBorders>
              <w:bottom w:val="single" w:sz="8" w:color="2393FF"/>
            </w:tcBorders>
            <w:shd w:val="clear" w:color="auto" w:fill="E8F4FF"/>
          </w:tcPr>
          <w:p>
            <w:pPr>
              <w:spacing w:after="0"/>
              <w:rPr>
                <w:sz w:val="5"/>
                <w:szCs w:val="5"/>
                <w:color w:val="auto"/>
              </w:rPr>
            </w:pPr>
          </w:p>
        </w:tc>
        <w:tc>
          <w:tcPr>
            <w:tcW w:w="620" w:type="dxa"/>
            <w:vAlign w:val="bottom"/>
            <w:tcBorders>
              <w:bottom w:val="single" w:sz="8" w:color="2393FF"/>
            </w:tcBorders>
            <w:shd w:val="clear" w:color="auto" w:fill="E8F4FF"/>
          </w:tcPr>
          <w:p>
            <w:pPr>
              <w:spacing w:after="0"/>
              <w:rPr>
                <w:sz w:val="5"/>
                <w:szCs w:val="5"/>
                <w:color w:val="auto"/>
              </w:rPr>
            </w:pPr>
          </w:p>
        </w:tc>
        <w:tc>
          <w:tcPr>
            <w:tcW w:w="1040" w:type="dxa"/>
            <w:vAlign w:val="bottom"/>
            <w:tcBorders>
              <w:bottom w:val="single" w:sz="8" w:color="2393FF"/>
            </w:tcBorders>
            <w:shd w:val="clear" w:color="auto" w:fill="E8F4FF"/>
          </w:tcPr>
          <w:p>
            <w:pPr>
              <w:spacing w:after="0"/>
              <w:rPr>
                <w:sz w:val="5"/>
                <w:szCs w:val="5"/>
                <w:color w:val="auto"/>
              </w:rPr>
            </w:pPr>
          </w:p>
        </w:tc>
        <w:tc>
          <w:tcPr>
            <w:tcW w:w="580" w:type="dxa"/>
            <w:vAlign w:val="bottom"/>
            <w:tcBorders>
              <w:bottom w:val="single" w:sz="8" w:color="2393FF"/>
            </w:tcBorders>
            <w:shd w:val="clear" w:color="auto" w:fill="E8F4FF"/>
          </w:tcPr>
          <w:p>
            <w:pPr>
              <w:spacing w:after="0"/>
              <w:rPr>
                <w:sz w:val="5"/>
                <w:szCs w:val="5"/>
                <w:color w:val="auto"/>
              </w:rPr>
            </w:pPr>
          </w:p>
        </w:tc>
        <w:tc>
          <w:tcPr>
            <w:tcW w:w="1040" w:type="dxa"/>
            <w:vAlign w:val="bottom"/>
            <w:tcBorders>
              <w:bottom w:val="single" w:sz="8" w:color="2393FF"/>
            </w:tcBorders>
            <w:shd w:val="clear" w:color="auto" w:fill="E8F4FF"/>
          </w:tcPr>
          <w:p>
            <w:pPr>
              <w:spacing w:after="0"/>
              <w:rPr>
                <w:sz w:val="5"/>
                <w:szCs w:val="5"/>
                <w:color w:val="auto"/>
              </w:rPr>
            </w:pPr>
          </w:p>
        </w:tc>
        <w:tc>
          <w:tcPr>
            <w:tcW w:w="460" w:type="dxa"/>
            <w:vAlign w:val="bottom"/>
            <w:tcBorders>
              <w:bottom w:val="single" w:sz="8" w:color="2393FF"/>
            </w:tcBorders>
            <w:shd w:val="clear" w:color="auto" w:fill="E8F4FF"/>
          </w:tcPr>
          <w:p>
            <w:pPr>
              <w:spacing w:after="0"/>
              <w:rPr>
                <w:sz w:val="5"/>
                <w:szCs w:val="5"/>
                <w:color w:val="auto"/>
              </w:rPr>
            </w:pPr>
          </w:p>
        </w:tc>
        <w:tc>
          <w:tcPr>
            <w:tcW w:w="1320" w:type="dxa"/>
            <w:vAlign w:val="bottom"/>
            <w:tcBorders>
              <w:bottom w:val="single" w:sz="8" w:color="2393FF"/>
            </w:tcBorders>
            <w:shd w:val="clear" w:color="auto" w:fill="E8F4FF"/>
          </w:tcPr>
          <w:p>
            <w:pPr>
              <w:spacing w:after="0"/>
              <w:rPr>
                <w:sz w:val="5"/>
                <w:szCs w:val="5"/>
                <w:color w:val="auto"/>
              </w:rPr>
            </w:pPr>
          </w:p>
        </w:tc>
        <w:tc>
          <w:tcPr>
            <w:tcW w:w="440" w:type="dxa"/>
            <w:vAlign w:val="bottom"/>
            <w:tcBorders>
              <w:bottom w:val="single" w:sz="8" w:color="2393FF"/>
            </w:tcBorders>
            <w:shd w:val="clear" w:color="auto" w:fill="E8F4FF"/>
          </w:tcPr>
          <w:p>
            <w:pPr>
              <w:spacing w:after="0"/>
              <w:rPr>
                <w:sz w:val="5"/>
                <w:szCs w:val="5"/>
                <w:color w:val="auto"/>
              </w:rPr>
            </w:pPr>
          </w:p>
        </w:tc>
        <w:tc>
          <w:tcPr>
            <w:tcW w:w="1200" w:type="dxa"/>
            <w:vAlign w:val="bottom"/>
            <w:tcBorders>
              <w:bottom w:val="single" w:sz="8" w:color="2393FF"/>
            </w:tcBorders>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740" w:right="80" w:hanging="353"/>
        <w:spacing w:after="0" w:line="238" w:lineRule="auto"/>
        <w:tabs>
          <w:tab w:leader="none" w:pos="1740" w:val="left"/>
        </w:tabs>
        <w:numPr>
          <w:ilvl w:val="0"/>
          <w:numId w:val="89"/>
        </w:numPr>
        <w:rPr>
          <w:rFonts w:ascii="Arial" w:cs="Arial" w:eastAsia="Arial" w:hAnsi="Arial"/>
          <w:sz w:val="11"/>
          <w:szCs w:val="11"/>
          <w:color w:val="333333"/>
        </w:rPr>
      </w:pPr>
      <w:r>
        <w:rPr>
          <w:rFonts w:ascii="Arial" w:cs="Arial" w:eastAsia="Arial" w:hAnsi="Arial"/>
          <w:sz w:val="11"/>
          <w:szCs w:val="11"/>
          <w:color w:val="333333"/>
        </w:rPr>
        <w:t>The grant date fair value of equity awards represents the total of the amounts reported in the Stock Awards and Option Awards columns in the Summary Compensation Table for the applicable year.</w:t>
      </w:r>
    </w:p>
    <w:p>
      <w:pPr>
        <w:spacing w:after="0" w:line="75" w:lineRule="exact"/>
        <w:rPr>
          <w:rFonts w:ascii="Arial" w:cs="Arial" w:eastAsia="Arial" w:hAnsi="Arial"/>
          <w:sz w:val="11"/>
          <w:szCs w:val="11"/>
          <w:color w:val="333333"/>
        </w:rPr>
      </w:pPr>
    </w:p>
    <w:p>
      <w:pPr>
        <w:ind w:left="1740" w:hanging="353"/>
        <w:spacing w:after="0"/>
        <w:tabs>
          <w:tab w:leader="none" w:pos="1740" w:val="left"/>
        </w:tabs>
        <w:numPr>
          <w:ilvl w:val="0"/>
          <w:numId w:val="89"/>
        </w:numPr>
        <w:rPr>
          <w:rFonts w:ascii="Arial" w:cs="Arial" w:eastAsia="Arial" w:hAnsi="Arial"/>
          <w:sz w:val="11"/>
          <w:szCs w:val="11"/>
          <w:color w:val="333333"/>
        </w:rPr>
      </w:pPr>
      <w:r>
        <w:rPr>
          <w:rFonts w:ascii="Arial" w:cs="Arial" w:eastAsia="Arial" w:hAnsi="Arial"/>
          <w:sz w:val="11"/>
          <w:szCs w:val="11"/>
          <w:color w:val="333333"/>
        </w:rPr>
        <w:t>The amounts deducted or added in calculating the total average equity award adjustments are as follows:</w:t>
      </w:r>
    </w:p>
    <w:p>
      <w:pPr>
        <w:spacing w:after="0" w:line="179"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2"/>
            <w:vMerge w:val="restart"/>
          </w:tcPr>
          <w:p>
            <w:pPr>
              <w:jc w:val="right"/>
              <w:ind w:right="106"/>
              <w:spacing w:after="0"/>
              <w:rPr>
                <w:sz w:val="20"/>
                <w:szCs w:val="20"/>
                <w:color w:val="auto"/>
              </w:rPr>
            </w:pPr>
            <w:r>
              <w:rPr>
                <w:rFonts w:ascii="Arial" w:cs="Arial" w:eastAsia="Arial" w:hAnsi="Arial"/>
                <w:sz w:val="11"/>
                <w:szCs w:val="11"/>
                <w:b w:val="1"/>
                <w:bCs w:val="1"/>
                <w:color w:val="auto"/>
              </w:rPr>
              <w:t>YEAR OVER YEAR</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jc w:val="right"/>
              <w:ind w:right="107"/>
              <w:spacing w:after="0"/>
              <w:rPr>
                <w:sz w:val="20"/>
                <w:szCs w:val="20"/>
                <w:color w:val="auto"/>
              </w:rPr>
            </w:pPr>
            <w:r>
              <w:rPr>
                <w:rFonts w:ascii="Arial" w:cs="Arial" w:eastAsia="Arial" w:hAnsi="Arial"/>
                <w:sz w:val="11"/>
                <w:szCs w:val="11"/>
                <w:b w:val="1"/>
                <w:bCs w:val="1"/>
                <w:color w:val="auto"/>
              </w:rPr>
              <w:t>YEAR OVER</w:t>
            </w:r>
          </w:p>
        </w:tc>
        <w:tc>
          <w:tcPr>
            <w:tcW w:w="200" w:type="dxa"/>
            <w:vAlign w:val="bottom"/>
          </w:tcPr>
          <w:p>
            <w:pPr>
              <w:spacing w:after="0"/>
              <w:rPr>
                <w:sz w:val="10"/>
                <w:szCs w:val="10"/>
                <w:color w:val="auto"/>
              </w:rPr>
            </w:pPr>
          </w:p>
        </w:tc>
        <w:tc>
          <w:tcPr>
            <w:tcW w:w="9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93"/>
              </w:rPr>
              <w:t>FAIR VALUE AT</w:t>
            </w:r>
          </w:p>
        </w:tc>
        <w:tc>
          <w:tcPr>
            <w:tcW w:w="220" w:type="dxa"/>
            <w:vAlign w:val="bottom"/>
          </w:tcPr>
          <w:p>
            <w:pPr>
              <w:spacing w:after="0"/>
              <w:rPr>
                <w:sz w:val="10"/>
                <w:szCs w:val="10"/>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b w:val="1"/>
                <w:bCs w:val="1"/>
                <w:color w:val="auto"/>
              </w:rPr>
              <w:t>VALUE OF</w:t>
            </w: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106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rPr>
              <w:t>YEAR END FAIR</w:t>
            </w:r>
          </w:p>
        </w:tc>
        <w:tc>
          <w:tcPr>
            <w:tcW w:w="13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jc w:val="right"/>
              <w:ind w:right="107"/>
              <w:spacing w:after="0" w:line="113" w:lineRule="exact"/>
              <w:rPr>
                <w:sz w:val="20"/>
                <w:szCs w:val="20"/>
                <w:color w:val="auto"/>
              </w:rPr>
            </w:pPr>
            <w:r>
              <w:rPr>
                <w:rFonts w:ascii="Arial" w:cs="Arial" w:eastAsia="Arial" w:hAnsi="Arial"/>
                <w:sz w:val="11"/>
                <w:szCs w:val="11"/>
                <w:b w:val="1"/>
                <w:bCs w:val="1"/>
                <w:color w:val="auto"/>
              </w:rPr>
              <w:t>YEAR CHANGE</w:t>
            </w: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rPr>
              <w:t>DIVIDENDS OR</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jc w:val="right"/>
              <w:ind w:right="106"/>
              <w:spacing w:after="0" w:line="113" w:lineRule="exact"/>
              <w:rPr>
                <w:sz w:val="20"/>
                <w:szCs w:val="20"/>
                <w:color w:val="auto"/>
              </w:rPr>
            </w:pPr>
            <w:r>
              <w:rPr>
                <w:rFonts w:ascii="Arial" w:cs="Arial" w:eastAsia="Arial" w:hAnsi="Arial"/>
                <w:sz w:val="11"/>
                <w:szCs w:val="11"/>
                <w:b w:val="1"/>
                <w:bCs w:val="1"/>
                <w:color w:val="auto"/>
                <w:w w:val="97"/>
              </w:rPr>
              <w:t>CHANGE IN FAIR</w:t>
            </w:r>
          </w:p>
        </w:tc>
        <w:tc>
          <w:tcPr>
            <w:tcW w:w="1220" w:type="dxa"/>
            <w:vAlign w:val="bottom"/>
            <w:gridSpan w:val="2"/>
            <w:vMerge w:val="restart"/>
          </w:tcPr>
          <w:p>
            <w:pPr>
              <w:jc w:val="right"/>
              <w:ind w:right="66"/>
              <w:spacing w:after="0"/>
              <w:rPr>
                <w:sz w:val="20"/>
                <w:szCs w:val="20"/>
                <w:color w:val="auto"/>
              </w:rPr>
            </w:pPr>
            <w:r>
              <w:rPr>
                <w:rFonts w:ascii="Arial" w:cs="Arial" w:eastAsia="Arial" w:hAnsi="Arial"/>
                <w:sz w:val="11"/>
                <w:szCs w:val="11"/>
                <w:b w:val="1"/>
                <w:bCs w:val="1"/>
                <w:color w:val="auto"/>
              </w:rPr>
              <w:t>FAIR VALUE AS OF</w:t>
            </w:r>
          </w:p>
        </w:tc>
        <w:tc>
          <w:tcPr>
            <w:tcW w:w="1080" w:type="dxa"/>
            <w:vAlign w:val="bottom"/>
          </w:tcPr>
          <w:p>
            <w:pPr>
              <w:jc w:val="right"/>
              <w:ind w:right="107"/>
              <w:spacing w:after="0" w:line="113" w:lineRule="exact"/>
              <w:rPr>
                <w:sz w:val="20"/>
                <w:szCs w:val="20"/>
                <w:color w:val="auto"/>
              </w:rPr>
            </w:pPr>
            <w:r>
              <w:rPr>
                <w:rFonts w:ascii="Arial" w:cs="Arial" w:eastAsia="Arial" w:hAnsi="Arial"/>
                <w:sz w:val="11"/>
                <w:szCs w:val="11"/>
                <w:b w:val="1"/>
                <w:bCs w:val="1"/>
                <w:color w:val="auto"/>
              </w:rPr>
              <w:t>IN FAIR VALUE</w:t>
            </w:r>
          </w:p>
        </w:tc>
        <w:tc>
          <w:tcPr>
            <w:tcW w:w="1140" w:type="dxa"/>
            <w:vAlign w:val="bottom"/>
            <w:gridSpan w:val="2"/>
          </w:tcPr>
          <w:p>
            <w:pPr>
              <w:jc w:val="right"/>
              <w:ind w:right="86"/>
              <w:spacing w:after="0" w:line="113" w:lineRule="exact"/>
              <w:rPr>
                <w:sz w:val="20"/>
                <w:szCs w:val="20"/>
                <w:color w:val="auto"/>
              </w:rPr>
            </w:pPr>
            <w:r>
              <w:rPr>
                <w:rFonts w:ascii="Arial" w:cs="Arial" w:eastAsia="Arial" w:hAnsi="Arial"/>
                <w:sz w:val="11"/>
                <w:szCs w:val="11"/>
                <w:b w:val="1"/>
                <w:bCs w:val="1"/>
                <w:color w:val="auto"/>
              </w:rPr>
              <w:t>THE END OF THE</w:t>
            </w:r>
          </w:p>
        </w:tc>
        <w:tc>
          <w:tcPr>
            <w:tcW w:w="220" w:type="dxa"/>
            <w:vAlign w:val="bottom"/>
          </w:tcPr>
          <w:p>
            <w:pPr>
              <w:spacing w:after="0"/>
              <w:rPr>
                <w:sz w:val="9"/>
                <w:szCs w:val="9"/>
                <w:color w:val="auto"/>
              </w:rPr>
            </w:pPr>
          </w:p>
        </w:tc>
        <w:tc>
          <w:tcPr>
            <w:tcW w:w="110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w w:val="94"/>
              </w:rPr>
              <w:t>OTHER EARNINGS</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rPr>
              <w:t>VALUE OF</w:t>
            </w:r>
          </w:p>
        </w:tc>
        <w:tc>
          <w:tcPr>
            <w:tcW w:w="260" w:type="dxa"/>
            <w:vAlign w:val="bottom"/>
          </w:tcPr>
          <w:p>
            <w:pPr>
              <w:spacing w:after="0"/>
              <w:rPr>
                <w:sz w:val="9"/>
                <w:szCs w:val="9"/>
                <w:color w:val="auto"/>
              </w:rPr>
            </w:pPr>
          </w:p>
        </w:tc>
        <w:tc>
          <w:tcPr>
            <w:tcW w:w="1060" w:type="dxa"/>
            <w:vAlign w:val="bottom"/>
          </w:tcPr>
          <w:p>
            <w:pPr>
              <w:jc w:val="right"/>
              <w:ind w:right="106"/>
              <w:spacing w:after="0" w:line="113" w:lineRule="exact"/>
              <w:rPr>
                <w:sz w:val="20"/>
                <w:szCs w:val="20"/>
                <w:color w:val="auto"/>
              </w:rPr>
            </w:pPr>
            <w:r>
              <w:rPr>
                <w:rFonts w:ascii="Arial" w:cs="Arial" w:eastAsia="Arial" w:hAnsi="Arial"/>
                <w:sz w:val="11"/>
                <w:szCs w:val="11"/>
                <w:b w:val="1"/>
                <w:bCs w:val="1"/>
                <w:color w:val="auto"/>
              </w:rPr>
              <w:t>VALUE OF</w:t>
            </w:r>
          </w:p>
        </w:tc>
        <w:tc>
          <w:tcPr>
            <w:tcW w:w="1220" w:type="dxa"/>
            <w:vAlign w:val="bottom"/>
            <w:gridSpan w:val="2"/>
            <w:vMerge w:val="continue"/>
          </w:tcPr>
          <w:p>
            <w:pPr>
              <w:spacing w:after="0"/>
              <w:rPr>
                <w:sz w:val="9"/>
                <w:szCs w:val="9"/>
                <w:color w:val="auto"/>
              </w:rPr>
            </w:pPr>
          </w:p>
        </w:tc>
        <w:tc>
          <w:tcPr>
            <w:tcW w:w="1080" w:type="dxa"/>
            <w:vAlign w:val="bottom"/>
          </w:tcPr>
          <w:p>
            <w:pPr>
              <w:jc w:val="right"/>
              <w:ind w:right="107"/>
              <w:spacing w:after="0" w:line="113" w:lineRule="exact"/>
              <w:rPr>
                <w:sz w:val="20"/>
                <w:szCs w:val="20"/>
                <w:color w:val="auto"/>
              </w:rPr>
            </w:pPr>
            <w:r>
              <w:rPr>
                <w:rFonts w:ascii="Arial" w:cs="Arial" w:eastAsia="Arial" w:hAnsi="Arial"/>
                <w:sz w:val="11"/>
                <w:szCs w:val="11"/>
                <w:b w:val="1"/>
                <w:bCs w:val="1"/>
                <w:color w:val="auto"/>
              </w:rPr>
              <w:t>OF EQUITY</w:t>
            </w:r>
          </w:p>
        </w:tc>
        <w:tc>
          <w:tcPr>
            <w:tcW w:w="1140" w:type="dxa"/>
            <w:vAlign w:val="bottom"/>
            <w:gridSpan w:val="2"/>
          </w:tcPr>
          <w:p>
            <w:pPr>
              <w:jc w:val="right"/>
              <w:ind w:right="86"/>
              <w:spacing w:after="0" w:line="113" w:lineRule="exact"/>
              <w:rPr>
                <w:sz w:val="20"/>
                <w:szCs w:val="20"/>
                <w:color w:val="auto"/>
              </w:rPr>
            </w:pPr>
            <w:r>
              <w:rPr>
                <w:rFonts w:ascii="Arial" w:cs="Arial" w:eastAsia="Arial" w:hAnsi="Arial"/>
                <w:sz w:val="11"/>
                <w:szCs w:val="11"/>
                <w:b w:val="1"/>
                <w:bCs w:val="1"/>
                <w:color w:val="auto"/>
              </w:rPr>
              <w:t>PRIOR YEAR OF</w:t>
            </w:r>
          </w:p>
        </w:tc>
        <w:tc>
          <w:tcPr>
            <w:tcW w:w="1320" w:type="dxa"/>
            <w:vAlign w:val="bottom"/>
            <w:gridSpan w:val="2"/>
          </w:tcPr>
          <w:p>
            <w:pPr>
              <w:jc w:val="right"/>
              <w:ind w:right="86"/>
              <w:spacing w:after="0" w:line="113" w:lineRule="exact"/>
              <w:rPr>
                <w:sz w:val="20"/>
                <w:szCs w:val="20"/>
                <w:color w:val="auto"/>
              </w:rPr>
            </w:pPr>
            <w:r>
              <w:rPr>
                <w:rFonts w:ascii="Arial" w:cs="Arial" w:eastAsia="Arial" w:hAnsi="Arial"/>
                <w:sz w:val="11"/>
                <w:szCs w:val="11"/>
                <w:b w:val="1"/>
                <w:bCs w:val="1"/>
                <w:color w:val="auto"/>
              </w:rPr>
              <w:t>PAID ON STOCK OR</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rPr>
              <w:t>UNVESTED</w:t>
            </w:r>
          </w:p>
        </w:tc>
        <w:tc>
          <w:tcPr>
            <w:tcW w:w="1320" w:type="dxa"/>
            <w:vAlign w:val="bottom"/>
            <w:gridSpan w:val="2"/>
          </w:tcPr>
          <w:p>
            <w:pPr>
              <w:jc w:val="right"/>
              <w:ind w:right="106"/>
              <w:spacing w:after="0" w:line="113" w:lineRule="exact"/>
              <w:rPr>
                <w:sz w:val="20"/>
                <w:szCs w:val="20"/>
                <w:color w:val="auto"/>
              </w:rPr>
            </w:pPr>
            <w:r>
              <w:rPr>
                <w:rFonts w:ascii="Arial" w:cs="Arial" w:eastAsia="Arial" w:hAnsi="Arial"/>
                <w:sz w:val="11"/>
                <w:szCs w:val="11"/>
                <w:b w:val="1"/>
                <w:bCs w:val="1"/>
                <w:color w:val="auto"/>
              </w:rPr>
              <w:t>OUTSTANDING AND</w:t>
            </w:r>
          </w:p>
        </w:tc>
        <w:tc>
          <w:tcPr>
            <w:tcW w:w="1220" w:type="dxa"/>
            <w:vAlign w:val="bottom"/>
            <w:gridSpan w:val="2"/>
          </w:tcPr>
          <w:p>
            <w:pPr>
              <w:jc w:val="right"/>
              <w:ind w:right="66"/>
              <w:spacing w:after="0" w:line="113" w:lineRule="exact"/>
              <w:rPr>
                <w:sz w:val="20"/>
                <w:szCs w:val="20"/>
                <w:color w:val="auto"/>
              </w:rPr>
            </w:pPr>
            <w:r>
              <w:rPr>
                <w:rFonts w:ascii="Arial" w:cs="Arial" w:eastAsia="Arial" w:hAnsi="Arial"/>
                <w:sz w:val="11"/>
                <w:szCs w:val="11"/>
                <w:b w:val="1"/>
                <w:bCs w:val="1"/>
                <w:color w:val="auto"/>
              </w:rPr>
              <w:t>VESTING DATE OF</w:t>
            </w:r>
          </w:p>
        </w:tc>
        <w:tc>
          <w:tcPr>
            <w:tcW w:w="1080" w:type="dxa"/>
            <w:vAlign w:val="bottom"/>
          </w:tcPr>
          <w:p>
            <w:pPr>
              <w:jc w:val="right"/>
              <w:ind w:right="107"/>
              <w:spacing w:after="0" w:line="113" w:lineRule="exact"/>
              <w:rPr>
                <w:sz w:val="20"/>
                <w:szCs w:val="20"/>
                <w:color w:val="auto"/>
              </w:rPr>
            </w:pPr>
            <w:r>
              <w:rPr>
                <w:rFonts w:ascii="Arial" w:cs="Arial" w:eastAsia="Arial" w:hAnsi="Arial"/>
                <w:sz w:val="11"/>
                <w:szCs w:val="11"/>
                <w:b w:val="1"/>
                <w:bCs w:val="1"/>
                <w:color w:val="auto"/>
              </w:rPr>
              <w:t>AWARDS</w:t>
            </w:r>
          </w:p>
        </w:tc>
        <w:tc>
          <w:tcPr>
            <w:tcW w:w="1140" w:type="dxa"/>
            <w:vAlign w:val="bottom"/>
            <w:gridSpan w:val="2"/>
          </w:tcPr>
          <w:p>
            <w:pPr>
              <w:jc w:val="right"/>
              <w:ind w:right="86"/>
              <w:spacing w:after="0" w:line="113" w:lineRule="exact"/>
              <w:rPr>
                <w:sz w:val="20"/>
                <w:szCs w:val="20"/>
                <w:color w:val="auto"/>
              </w:rPr>
            </w:pPr>
            <w:r>
              <w:rPr>
                <w:rFonts w:ascii="Arial" w:cs="Arial" w:eastAsia="Arial" w:hAnsi="Arial"/>
                <w:sz w:val="11"/>
                <w:szCs w:val="11"/>
                <w:b w:val="1"/>
                <w:bCs w:val="1"/>
                <w:color w:val="auto"/>
              </w:rPr>
              <w:t>EQUITY AWARDS</w:t>
            </w:r>
          </w:p>
        </w:tc>
        <w:tc>
          <w:tcPr>
            <w:tcW w:w="220" w:type="dxa"/>
            <w:vAlign w:val="bottom"/>
          </w:tcPr>
          <w:p>
            <w:pPr>
              <w:spacing w:after="0"/>
              <w:rPr>
                <w:sz w:val="9"/>
                <w:szCs w:val="9"/>
                <w:color w:val="auto"/>
              </w:rPr>
            </w:pPr>
          </w:p>
        </w:tc>
        <w:tc>
          <w:tcPr>
            <w:tcW w:w="110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w w:val="99"/>
              </w:rPr>
              <w:t>OPTION AWARDS</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rPr>
              <w:t>EQUITY</w:t>
            </w:r>
          </w:p>
        </w:tc>
        <w:tc>
          <w:tcPr>
            <w:tcW w:w="1320" w:type="dxa"/>
            <w:vAlign w:val="bottom"/>
            <w:gridSpan w:val="2"/>
          </w:tcPr>
          <w:p>
            <w:pPr>
              <w:jc w:val="right"/>
              <w:ind w:right="106"/>
              <w:spacing w:after="0" w:line="113" w:lineRule="exact"/>
              <w:rPr>
                <w:sz w:val="20"/>
                <w:szCs w:val="20"/>
                <w:color w:val="auto"/>
              </w:rPr>
            </w:pPr>
            <w:r>
              <w:rPr>
                <w:rFonts w:ascii="Arial" w:cs="Arial" w:eastAsia="Arial" w:hAnsi="Arial"/>
                <w:sz w:val="11"/>
                <w:szCs w:val="11"/>
                <w:b w:val="1"/>
                <w:bCs w:val="1"/>
                <w:color w:val="auto"/>
              </w:rPr>
              <w:t>UNVESTED EQUITY</w:t>
            </w:r>
          </w:p>
        </w:tc>
        <w:tc>
          <w:tcPr>
            <w:tcW w:w="200" w:type="dxa"/>
            <w:vAlign w:val="bottom"/>
          </w:tcPr>
          <w:p>
            <w:pPr>
              <w:spacing w:after="0"/>
              <w:rPr>
                <w:sz w:val="9"/>
                <w:szCs w:val="9"/>
                <w:color w:val="auto"/>
              </w:rPr>
            </w:pPr>
          </w:p>
        </w:tc>
        <w:tc>
          <w:tcPr>
            <w:tcW w:w="102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w w:val="94"/>
              </w:rPr>
              <w:t>EQUITY AWARDS</w:t>
            </w:r>
          </w:p>
        </w:tc>
        <w:tc>
          <w:tcPr>
            <w:tcW w:w="1080" w:type="dxa"/>
            <w:vAlign w:val="bottom"/>
          </w:tcPr>
          <w:p>
            <w:pPr>
              <w:jc w:val="right"/>
              <w:ind w:right="107"/>
              <w:spacing w:after="0" w:line="113" w:lineRule="exact"/>
              <w:rPr>
                <w:sz w:val="20"/>
                <w:szCs w:val="20"/>
                <w:color w:val="auto"/>
              </w:rPr>
            </w:pPr>
            <w:r>
              <w:rPr>
                <w:rFonts w:ascii="Arial" w:cs="Arial" w:eastAsia="Arial" w:hAnsi="Arial"/>
                <w:sz w:val="11"/>
                <w:szCs w:val="11"/>
                <w:b w:val="1"/>
                <w:bCs w:val="1"/>
                <w:color w:val="auto"/>
              </w:rPr>
              <w:t>GRANTED IN</w:t>
            </w:r>
          </w:p>
        </w:tc>
        <w:tc>
          <w:tcPr>
            <w:tcW w:w="1140" w:type="dxa"/>
            <w:vAlign w:val="bottom"/>
            <w:gridSpan w:val="2"/>
          </w:tcPr>
          <w:p>
            <w:pPr>
              <w:jc w:val="right"/>
              <w:ind w:right="86"/>
              <w:spacing w:after="0" w:line="113" w:lineRule="exact"/>
              <w:rPr>
                <w:sz w:val="20"/>
                <w:szCs w:val="20"/>
                <w:color w:val="auto"/>
              </w:rPr>
            </w:pPr>
            <w:r>
              <w:rPr>
                <w:rFonts w:ascii="Arial" w:cs="Arial" w:eastAsia="Arial" w:hAnsi="Arial"/>
                <w:sz w:val="11"/>
                <w:szCs w:val="11"/>
                <w:b w:val="1"/>
                <w:bCs w:val="1"/>
                <w:color w:val="auto"/>
              </w:rPr>
              <w:t>THAT FAILED TO</w:t>
            </w:r>
          </w:p>
        </w:tc>
        <w:tc>
          <w:tcPr>
            <w:tcW w:w="220" w:type="dxa"/>
            <w:vAlign w:val="bottom"/>
          </w:tcPr>
          <w:p>
            <w:pPr>
              <w:spacing w:after="0"/>
              <w:rPr>
                <w:sz w:val="9"/>
                <w:szCs w:val="9"/>
                <w:color w:val="auto"/>
              </w:rPr>
            </w:pPr>
          </w:p>
        </w:tc>
        <w:tc>
          <w:tcPr>
            <w:tcW w:w="110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rPr>
              <w:t>NOT OTHERWISE</w:t>
            </w:r>
          </w:p>
        </w:tc>
        <w:tc>
          <w:tcPr>
            <w:tcW w:w="106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TOTAL EQUITY</w:t>
            </w: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rPr>
              <w:t>AWARDS</w:t>
            </w:r>
          </w:p>
        </w:tc>
        <w:tc>
          <w:tcPr>
            <w:tcW w:w="260" w:type="dxa"/>
            <w:vAlign w:val="bottom"/>
          </w:tcPr>
          <w:p>
            <w:pPr>
              <w:spacing w:after="0"/>
              <w:rPr>
                <w:sz w:val="9"/>
                <w:szCs w:val="9"/>
                <w:color w:val="auto"/>
              </w:rPr>
            </w:pPr>
          </w:p>
        </w:tc>
        <w:tc>
          <w:tcPr>
            <w:tcW w:w="1060" w:type="dxa"/>
            <w:vAlign w:val="bottom"/>
          </w:tcPr>
          <w:p>
            <w:pPr>
              <w:jc w:val="right"/>
              <w:ind w:right="106"/>
              <w:spacing w:after="0" w:line="113" w:lineRule="exact"/>
              <w:rPr>
                <w:sz w:val="20"/>
                <w:szCs w:val="20"/>
                <w:color w:val="auto"/>
              </w:rPr>
            </w:pPr>
            <w:r>
              <w:rPr>
                <w:rFonts w:ascii="Arial" w:cs="Arial" w:eastAsia="Arial" w:hAnsi="Arial"/>
                <w:sz w:val="11"/>
                <w:szCs w:val="11"/>
                <w:b w:val="1"/>
                <w:bCs w:val="1"/>
                <w:color w:val="auto"/>
              </w:rPr>
              <w:t>AWARDS</w:t>
            </w:r>
          </w:p>
        </w:tc>
        <w:tc>
          <w:tcPr>
            <w:tcW w:w="200" w:type="dxa"/>
            <w:vAlign w:val="bottom"/>
          </w:tcPr>
          <w:p>
            <w:pPr>
              <w:spacing w:after="0"/>
              <w:rPr>
                <w:sz w:val="9"/>
                <w:szCs w:val="9"/>
                <w:color w:val="auto"/>
              </w:rPr>
            </w:pPr>
          </w:p>
        </w:tc>
        <w:tc>
          <w:tcPr>
            <w:tcW w:w="102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rPr>
              <w:t>GRANTED AND</w:t>
            </w:r>
          </w:p>
        </w:tc>
        <w:tc>
          <w:tcPr>
            <w:tcW w:w="1080" w:type="dxa"/>
            <w:vAlign w:val="bottom"/>
          </w:tcPr>
          <w:p>
            <w:pPr>
              <w:jc w:val="right"/>
              <w:ind w:right="107"/>
              <w:spacing w:after="0" w:line="113" w:lineRule="exact"/>
              <w:rPr>
                <w:sz w:val="20"/>
                <w:szCs w:val="20"/>
                <w:color w:val="auto"/>
              </w:rPr>
            </w:pPr>
            <w:r>
              <w:rPr>
                <w:rFonts w:ascii="Arial" w:cs="Arial" w:eastAsia="Arial" w:hAnsi="Arial"/>
                <w:sz w:val="11"/>
                <w:szCs w:val="11"/>
                <w:b w:val="1"/>
                <w:bCs w:val="1"/>
                <w:color w:val="auto"/>
              </w:rPr>
              <w:t>PRIOR YEARS</w:t>
            </w:r>
          </w:p>
        </w:tc>
        <w:tc>
          <w:tcPr>
            <w:tcW w:w="200" w:type="dxa"/>
            <w:vAlign w:val="bottom"/>
          </w:tcPr>
          <w:p>
            <w:pPr>
              <w:spacing w:after="0"/>
              <w:rPr>
                <w:sz w:val="9"/>
                <w:szCs w:val="9"/>
                <w:color w:val="auto"/>
              </w:rPr>
            </w:pPr>
          </w:p>
        </w:tc>
        <w:tc>
          <w:tcPr>
            <w:tcW w:w="94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w w:val="95"/>
              </w:rPr>
              <w:t>MEET VESTING</w:t>
            </w:r>
          </w:p>
        </w:tc>
        <w:tc>
          <w:tcPr>
            <w:tcW w:w="1320" w:type="dxa"/>
            <w:vAlign w:val="bottom"/>
            <w:gridSpan w:val="2"/>
          </w:tcPr>
          <w:p>
            <w:pPr>
              <w:jc w:val="right"/>
              <w:ind w:right="86"/>
              <w:spacing w:after="0" w:line="113" w:lineRule="exact"/>
              <w:rPr>
                <w:sz w:val="20"/>
                <w:szCs w:val="20"/>
                <w:color w:val="auto"/>
              </w:rPr>
            </w:pPr>
            <w:r>
              <w:rPr>
                <w:rFonts w:ascii="Arial" w:cs="Arial" w:eastAsia="Arial" w:hAnsi="Arial"/>
                <w:sz w:val="11"/>
                <w:szCs w:val="11"/>
                <w:b w:val="1"/>
                <w:bCs w:val="1"/>
                <w:color w:val="auto"/>
              </w:rPr>
              <w:t>REFLECTED IN FAIR</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620" w:type="dxa"/>
            <w:vAlign w:val="bottom"/>
            <w:vMerge w:val="restart"/>
          </w:tcPr>
          <w:p>
            <w:pPr>
              <w:jc w:val="right"/>
              <w:ind w:right="224"/>
              <w:spacing w:after="0"/>
              <w:rPr>
                <w:sz w:val="20"/>
                <w:szCs w:val="20"/>
                <w:color w:val="auto"/>
              </w:rPr>
            </w:pPr>
            <w:r>
              <w:rPr>
                <w:rFonts w:ascii="Arial" w:cs="Arial" w:eastAsia="Arial" w:hAnsi="Arial"/>
                <w:sz w:val="11"/>
                <w:szCs w:val="11"/>
                <w:b w:val="1"/>
                <w:bCs w:val="1"/>
                <w:color w:val="auto"/>
                <w:w w:val="81"/>
              </w:rPr>
              <w:t>  YEAR</w:t>
            </w:r>
          </w:p>
        </w:tc>
        <w:tc>
          <w:tcPr>
            <w:tcW w:w="220" w:type="dxa"/>
            <w:vAlign w:val="bottom"/>
          </w:tcPr>
          <w:p>
            <w:pPr>
              <w:spacing w:after="0"/>
              <w:rPr>
                <w:sz w:val="9"/>
                <w:szCs w:val="9"/>
                <w:color w:val="auto"/>
              </w:rPr>
            </w:pPr>
          </w:p>
        </w:tc>
        <w:tc>
          <w:tcPr>
            <w:tcW w:w="84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rPr>
              <w:t>GRANTED IN</w:t>
            </w:r>
          </w:p>
        </w:tc>
        <w:tc>
          <w:tcPr>
            <w:tcW w:w="260" w:type="dxa"/>
            <w:vAlign w:val="bottom"/>
          </w:tcPr>
          <w:p>
            <w:pPr>
              <w:spacing w:after="0"/>
              <w:rPr>
                <w:sz w:val="9"/>
                <w:szCs w:val="9"/>
                <w:color w:val="auto"/>
              </w:rPr>
            </w:pPr>
          </w:p>
        </w:tc>
        <w:tc>
          <w:tcPr>
            <w:tcW w:w="1060" w:type="dxa"/>
            <w:vAlign w:val="bottom"/>
          </w:tcPr>
          <w:p>
            <w:pPr>
              <w:jc w:val="right"/>
              <w:ind w:right="106"/>
              <w:spacing w:after="0" w:line="113" w:lineRule="exact"/>
              <w:rPr>
                <w:sz w:val="20"/>
                <w:szCs w:val="20"/>
                <w:color w:val="auto"/>
              </w:rPr>
            </w:pPr>
            <w:r>
              <w:rPr>
                <w:rFonts w:ascii="Arial" w:cs="Arial" w:eastAsia="Arial" w:hAnsi="Arial"/>
                <w:sz w:val="11"/>
                <w:szCs w:val="11"/>
                <w:b w:val="1"/>
                <w:bCs w:val="1"/>
                <w:color w:val="auto"/>
              </w:rPr>
              <w:t>GRANTED IN</w:t>
            </w:r>
          </w:p>
        </w:tc>
        <w:tc>
          <w:tcPr>
            <w:tcW w:w="200" w:type="dxa"/>
            <w:vAlign w:val="bottom"/>
          </w:tcPr>
          <w:p>
            <w:pPr>
              <w:spacing w:after="0"/>
              <w:rPr>
                <w:sz w:val="9"/>
                <w:szCs w:val="9"/>
                <w:color w:val="auto"/>
              </w:rPr>
            </w:pPr>
          </w:p>
        </w:tc>
        <w:tc>
          <w:tcPr>
            <w:tcW w:w="1020" w:type="dxa"/>
            <w:vAlign w:val="bottom"/>
          </w:tcPr>
          <w:p>
            <w:pPr>
              <w:jc w:val="right"/>
              <w:ind w:right="66"/>
              <w:spacing w:after="0" w:line="113" w:lineRule="exact"/>
              <w:rPr>
                <w:sz w:val="20"/>
                <w:szCs w:val="20"/>
                <w:color w:val="auto"/>
              </w:rPr>
            </w:pPr>
            <w:r>
              <w:rPr>
                <w:rFonts w:ascii="Arial" w:cs="Arial" w:eastAsia="Arial" w:hAnsi="Arial"/>
                <w:sz w:val="11"/>
                <w:szCs w:val="11"/>
                <w:b w:val="1"/>
                <w:bCs w:val="1"/>
                <w:color w:val="auto"/>
              </w:rPr>
              <w:t>VESTED IN THE</w:t>
            </w:r>
          </w:p>
        </w:tc>
        <w:tc>
          <w:tcPr>
            <w:tcW w:w="1080" w:type="dxa"/>
            <w:vAlign w:val="bottom"/>
          </w:tcPr>
          <w:p>
            <w:pPr>
              <w:jc w:val="right"/>
              <w:ind w:right="107"/>
              <w:spacing w:after="0" w:line="113" w:lineRule="exact"/>
              <w:rPr>
                <w:sz w:val="20"/>
                <w:szCs w:val="20"/>
                <w:color w:val="auto"/>
              </w:rPr>
            </w:pPr>
            <w:r>
              <w:rPr>
                <w:rFonts w:ascii="Arial" w:cs="Arial" w:eastAsia="Arial" w:hAnsi="Arial"/>
                <w:sz w:val="11"/>
                <w:szCs w:val="11"/>
                <w:b w:val="1"/>
                <w:bCs w:val="1"/>
                <w:color w:val="auto"/>
              </w:rPr>
              <w:t>THAT VESTED</w:t>
            </w:r>
          </w:p>
        </w:tc>
        <w:tc>
          <w:tcPr>
            <w:tcW w:w="200" w:type="dxa"/>
            <w:vAlign w:val="bottom"/>
          </w:tcPr>
          <w:p>
            <w:pPr>
              <w:spacing w:after="0"/>
              <w:rPr>
                <w:sz w:val="9"/>
                <w:szCs w:val="9"/>
                <w:color w:val="auto"/>
              </w:rPr>
            </w:pPr>
          </w:p>
        </w:tc>
        <w:tc>
          <w:tcPr>
            <w:tcW w:w="94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w w:val="93"/>
              </w:rPr>
              <w:t>CONDITIONS IN</w:t>
            </w:r>
          </w:p>
        </w:tc>
        <w:tc>
          <w:tcPr>
            <w:tcW w:w="220" w:type="dxa"/>
            <w:vAlign w:val="bottom"/>
          </w:tcPr>
          <w:p>
            <w:pPr>
              <w:spacing w:after="0"/>
              <w:rPr>
                <w:sz w:val="9"/>
                <w:szCs w:val="9"/>
                <w:color w:val="auto"/>
              </w:rPr>
            </w:pPr>
          </w:p>
        </w:tc>
        <w:tc>
          <w:tcPr>
            <w:tcW w:w="110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w w:val="97"/>
              </w:rPr>
              <w:t>VALUE OR TOTAL</w:t>
            </w:r>
          </w:p>
        </w:tc>
        <w:tc>
          <w:tcPr>
            <w:tcW w:w="1060" w:type="dxa"/>
            <w:vAlign w:val="bottom"/>
          </w:tcPr>
          <w:p>
            <w:pPr>
              <w:jc w:val="right"/>
              <w:ind w:right="86"/>
              <w:spacing w:after="0" w:line="113" w:lineRule="exact"/>
              <w:rPr>
                <w:sz w:val="20"/>
                <w:szCs w:val="20"/>
                <w:color w:val="auto"/>
              </w:rPr>
            </w:pPr>
            <w:r>
              <w:rPr>
                <w:rFonts w:ascii="Arial" w:cs="Arial" w:eastAsia="Arial" w:hAnsi="Arial"/>
                <w:sz w:val="11"/>
                <w:szCs w:val="11"/>
                <w:b w:val="1"/>
                <w:bCs w:val="1"/>
                <w:color w:val="auto"/>
              </w:rPr>
              <w:t>AWARD</w:t>
            </w:r>
          </w:p>
        </w:tc>
        <w:tc>
          <w:tcPr>
            <w:tcW w:w="0" w:type="dxa"/>
            <w:vAlign w:val="bottom"/>
          </w:tcPr>
          <w:p>
            <w:pPr>
              <w:spacing w:after="0"/>
              <w:rPr>
                <w:sz w:val="1"/>
                <w:szCs w:val="1"/>
                <w:color w:val="auto"/>
              </w:rPr>
            </w:pPr>
          </w:p>
        </w:tc>
      </w:tr>
      <w:tr>
        <w:trPr>
          <w:trHeight w:val="151"/>
        </w:trPr>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b w:val="1"/>
                <w:bCs w:val="1"/>
                <w:color w:val="auto"/>
              </w:rPr>
              <w:t>THE YEAR</w:t>
            </w:r>
          </w:p>
        </w:tc>
        <w:tc>
          <w:tcPr>
            <w:tcW w:w="260" w:type="dxa"/>
            <w:vAlign w:val="bottom"/>
          </w:tcPr>
          <w:p>
            <w:pPr>
              <w:spacing w:after="0"/>
              <w:rPr>
                <w:sz w:val="13"/>
                <w:szCs w:val="13"/>
                <w:color w:val="auto"/>
              </w:rPr>
            </w:pPr>
          </w:p>
        </w:tc>
        <w:tc>
          <w:tcPr>
            <w:tcW w:w="1060" w:type="dxa"/>
            <w:vAlign w:val="bottom"/>
          </w:tcPr>
          <w:p>
            <w:pPr>
              <w:jc w:val="right"/>
              <w:ind w:right="106"/>
              <w:spacing w:after="0"/>
              <w:rPr>
                <w:sz w:val="20"/>
                <w:szCs w:val="20"/>
                <w:color w:val="auto"/>
              </w:rPr>
            </w:pPr>
            <w:r>
              <w:rPr>
                <w:rFonts w:ascii="Arial" w:cs="Arial" w:eastAsia="Arial" w:hAnsi="Arial"/>
                <w:sz w:val="11"/>
                <w:szCs w:val="11"/>
                <w:b w:val="1"/>
                <w:bCs w:val="1"/>
                <w:color w:val="auto"/>
              </w:rPr>
              <w:t>PRIOR YEARS</w:t>
            </w:r>
          </w:p>
        </w:tc>
        <w:tc>
          <w:tcPr>
            <w:tcW w:w="200" w:type="dxa"/>
            <w:vAlign w:val="bottom"/>
          </w:tcPr>
          <w:p>
            <w:pPr>
              <w:spacing w:after="0"/>
              <w:rPr>
                <w:sz w:val="13"/>
                <w:szCs w:val="13"/>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b w:val="1"/>
                <w:bCs w:val="1"/>
                <w:color w:val="auto"/>
              </w:rPr>
              <w:t>YEAR</w:t>
            </w:r>
          </w:p>
        </w:tc>
        <w:tc>
          <w:tcPr>
            <w:tcW w:w="1080" w:type="dxa"/>
            <w:vAlign w:val="bottom"/>
          </w:tcPr>
          <w:p>
            <w:pPr>
              <w:jc w:val="right"/>
              <w:ind w:right="107"/>
              <w:spacing w:after="0"/>
              <w:rPr>
                <w:sz w:val="20"/>
                <w:szCs w:val="20"/>
                <w:color w:val="auto"/>
              </w:rPr>
            </w:pPr>
            <w:r>
              <w:rPr>
                <w:rFonts w:ascii="Arial" w:cs="Arial" w:eastAsia="Arial" w:hAnsi="Arial"/>
                <w:sz w:val="11"/>
                <w:szCs w:val="11"/>
                <w:b w:val="1"/>
                <w:bCs w:val="1"/>
                <w:color w:val="auto"/>
              </w:rPr>
              <w:t>IN THE YEAR</w:t>
            </w:r>
          </w:p>
        </w:tc>
        <w:tc>
          <w:tcPr>
            <w:tcW w:w="200" w:type="dxa"/>
            <w:vAlign w:val="bottom"/>
          </w:tcPr>
          <w:p>
            <w:pPr>
              <w:spacing w:after="0"/>
              <w:rPr>
                <w:sz w:val="13"/>
                <w:szCs w:val="13"/>
                <w:color w:val="auto"/>
              </w:rPr>
            </w:pPr>
          </w:p>
        </w:tc>
        <w:tc>
          <w:tcPr>
            <w:tcW w:w="940" w:type="dxa"/>
            <w:vAlign w:val="bottom"/>
          </w:tcPr>
          <w:p>
            <w:pPr>
              <w:jc w:val="right"/>
              <w:ind w:right="86"/>
              <w:spacing w:after="0"/>
              <w:rPr>
                <w:sz w:val="20"/>
                <w:szCs w:val="20"/>
                <w:color w:val="auto"/>
              </w:rPr>
            </w:pPr>
            <w:r>
              <w:rPr>
                <w:rFonts w:ascii="Arial" w:cs="Arial" w:eastAsia="Arial" w:hAnsi="Arial"/>
                <w:sz w:val="11"/>
                <w:szCs w:val="11"/>
                <w:b w:val="1"/>
                <w:bCs w:val="1"/>
                <w:color w:val="auto"/>
              </w:rPr>
              <w:t>THE YEAR</w:t>
            </w:r>
          </w:p>
        </w:tc>
        <w:tc>
          <w:tcPr>
            <w:tcW w:w="220" w:type="dxa"/>
            <w:vAlign w:val="bottom"/>
          </w:tcPr>
          <w:p>
            <w:pPr>
              <w:spacing w:after="0"/>
              <w:rPr>
                <w:sz w:val="13"/>
                <w:szCs w:val="13"/>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b w:val="1"/>
                <w:bCs w:val="1"/>
                <w:color w:val="auto"/>
              </w:rPr>
              <w:t>COMPENSATION</w:t>
            </w:r>
          </w:p>
        </w:tc>
        <w:tc>
          <w:tcPr>
            <w:tcW w:w="1060" w:type="dxa"/>
            <w:vAlign w:val="bottom"/>
          </w:tcPr>
          <w:p>
            <w:pPr>
              <w:jc w:val="right"/>
              <w:ind w:right="86"/>
              <w:spacing w:after="0"/>
              <w:rPr>
                <w:sz w:val="20"/>
                <w:szCs w:val="20"/>
                <w:color w:val="auto"/>
              </w:rPr>
            </w:pPr>
            <w:r>
              <w:rPr>
                <w:rFonts w:ascii="Arial" w:cs="Arial" w:eastAsia="Arial" w:hAnsi="Arial"/>
                <w:sz w:val="11"/>
                <w:szCs w:val="11"/>
                <w:b w:val="1"/>
                <w:bCs w:val="1"/>
                <w:color w:val="auto"/>
              </w:rPr>
              <w:t>ADJUSTMENTS</w:t>
            </w: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620" w:type="dxa"/>
            <w:vAlign w:val="bottom"/>
            <w:shd w:val="clear" w:color="auto" w:fill="E8F4FF"/>
          </w:tcPr>
          <w:p>
            <w:pPr>
              <w:jc w:val="right"/>
              <w:ind w:right="244"/>
              <w:spacing w:after="0"/>
              <w:rPr>
                <w:sz w:val="20"/>
                <w:szCs w:val="20"/>
                <w:color w:val="auto"/>
              </w:rPr>
            </w:pPr>
            <w:r>
              <w:rPr>
                <w:rFonts w:ascii="Arial" w:cs="Arial" w:eastAsia="Arial" w:hAnsi="Arial"/>
                <w:sz w:val="12"/>
                <w:szCs w:val="12"/>
                <w:b w:val="1"/>
                <w:bCs w:val="1"/>
                <w:color w:val="2393FF"/>
              </w:rPr>
              <w:t>2025</w:t>
            </w:r>
          </w:p>
        </w:tc>
        <w:tc>
          <w:tcPr>
            <w:tcW w:w="22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E8F4FF"/>
          </w:tcPr>
          <w:p>
            <w:pPr>
              <w:jc w:val="right"/>
              <w:ind w:right="66"/>
              <w:spacing w:after="0"/>
              <w:rPr>
                <w:sz w:val="20"/>
                <w:szCs w:val="20"/>
                <w:color w:val="auto"/>
              </w:rPr>
            </w:pPr>
            <w:r>
              <w:rPr>
                <w:rFonts w:ascii="Arial" w:cs="Arial" w:eastAsia="Arial" w:hAnsi="Arial"/>
                <w:sz w:val="12"/>
                <w:szCs w:val="12"/>
                <w:color w:val="auto"/>
              </w:rPr>
              <w:t>4,488,511</w:t>
            </w:r>
          </w:p>
        </w:tc>
        <w:tc>
          <w:tcPr>
            <w:tcW w:w="26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8F4FF"/>
          </w:tcPr>
          <w:p>
            <w:pPr>
              <w:jc w:val="right"/>
              <w:ind w:right="66"/>
              <w:spacing w:after="0"/>
              <w:rPr>
                <w:sz w:val="20"/>
                <w:szCs w:val="20"/>
                <w:color w:val="auto"/>
              </w:rPr>
            </w:pPr>
            <w:r>
              <w:rPr>
                <w:rFonts w:ascii="Arial" w:cs="Arial" w:eastAsia="Arial" w:hAnsi="Arial"/>
                <w:sz w:val="12"/>
                <w:szCs w:val="12"/>
                <w:color w:val="auto"/>
              </w:rPr>
              <w:t>861,121)</w:t>
            </w:r>
          </w:p>
        </w:tc>
        <w:tc>
          <w:tcPr>
            <w:tcW w:w="20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E8F4FF"/>
          </w:tcPr>
          <w:p>
            <w:pPr>
              <w:jc w:val="right"/>
              <w:ind w:right="66"/>
              <w:spacing w:after="0"/>
              <w:rPr>
                <w:sz w:val="20"/>
                <w:szCs w:val="20"/>
                <w:color w:val="auto"/>
              </w:rPr>
            </w:pPr>
            <w:r>
              <w:rPr>
                <w:rFonts w:ascii="Arial" w:cs="Arial" w:eastAsia="Arial" w:hAnsi="Arial"/>
                <w:sz w:val="12"/>
                <w:szCs w:val="12"/>
                <w:color w:val="auto"/>
              </w:rPr>
              <w:t>0</w:t>
            </w:r>
          </w:p>
        </w:tc>
        <w:tc>
          <w:tcPr>
            <w:tcW w:w="1080" w:type="dxa"/>
            <w:vAlign w:val="bottom"/>
            <w:shd w:val="clear" w:color="auto" w:fill="E8F4FF"/>
          </w:tcPr>
          <w:p>
            <w:pPr>
              <w:jc w:val="right"/>
              <w:ind w:right="67"/>
              <w:spacing w:after="0"/>
              <w:rPr>
                <w:sz w:val="20"/>
                <w:szCs w:val="20"/>
                <w:color w:val="auto"/>
              </w:rPr>
            </w:pPr>
            <w:r>
              <w:rPr>
                <w:rFonts w:ascii="Arial" w:cs="Arial" w:eastAsia="Arial" w:hAnsi="Arial"/>
                <w:sz w:val="12"/>
                <w:szCs w:val="12"/>
                <w:color w:val="auto"/>
              </w:rPr>
              <w:t>($  1,223,734)</w:t>
            </w:r>
          </w:p>
        </w:tc>
        <w:tc>
          <w:tcPr>
            <w:tcW w:w="20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8F4FF"/>
          </w:tcPr>
          <w:p>
            <w:pPr>
              <w:jc w:val="right"/>
              <w:ind w:right="86"/>
              <w:spacing w:after="0"/>
              <w:rPr>
                <w:sz w:val="20"/>
                <w:szCs w:val="20"/>
                <w:color w:val="auto"/>
              </w:rPr>
            </w:pPr>
            <w:r>
              <w:rPr>
                <w:rFonts w:ascii="Arial" w:cs="Arial" w:eastAsia="Arial" w:hAnsi="Arial"/>
                <w:sz w:val="12"/>
                <w:szCs w:val="12"/>
                <w:color w:val="auto"/>
              </w:rPr>
              <w:t>0</w:t>
            </w:r>
          </w:p>
        </w:tc>
        <w:tc>
          <w:tcPr>
            <w:tcW w:w="220" w:type="dxa"/>
            <w:vAlign w:val="bottom"/>
            <w:shd w:val="clear" w:color="auto" w:fill="E8F4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8F4FF"/>
          </w:tcPr>
          <w:p>
            <w:pPr>
              <w:jc w:val="right"/>
              <w:ind w:right="86"/>
              <w:spacing w:after="0"/>
              <w:rPr>
                <w:sz w:val="20"/>
                <w:szCs w:val="20"/>
                <w:color w:val="auto"/>
              </w:rPr>
            </w:pPr>
            <w:r>
              <w:rPr>
                <w:rFonts w:ascii="Arial" w:cs="Arial" w:eastAsia="Arial" w:hAnsi="Arial"/>
                <w:sz w:val="12"/>
                <w:szCs w:val="12"/>
                <w:color w:val="auto"/>
              </w:rPr>
              <w:t>0</w:t>
            </w:r>
          </w:p>
        </w:tc>
        <w:tc>
          <w:tcPr>
            <w:tcW w:w="1060" w:type="dxa"/>
            <w:vAlign w:val="bottom"/>
            <w:shd w:val="clear" w:color="auto" w:fill="E8F4FF"/>
          </w:tcPr>
          <w:p>
            <w:pPr>
              <w:jc w:val="right"/>
              <w:ind w:right="86"/>
              <w:spacing w:after="0"/>
              <w:rPr>
                <w:sz w:val="20"/>
                <w:szCs w:val="20"/>
                <w:color w:val="auto"/>
              </w:rPr>
            </w:pPr>
            <w:r>
              <w:rPr>
                <w:rFonts w:ascii="Arial" w:cs="Arial" w:eastAsia="Arial" w:hAnsi="Arial"/>
                <w:sz w:val="12"/>
                <w:szCs w:val="12"/>
                <w:color w:val="auto"/>
              </w:rPr>
              <w:t>$   2,403,656</w:t>
            </w:r>
          </w:p>
        </w:tc>
        <w:tc>
          <w:tcPr>
            <w:tcW w:w="0" w:type="dxa"/>
            <w:vAlign w:val="bottom"/>
          </w:tcPr>
          <w:p>
            <w:pPr>
              <w:spacing w:after="0"/>
              <w:rPr>
                <w:sz w:val="1"/>
                <w:szCs w:val="1"/>
                <w:color w:val="auto"/>
              </w:rPr>
            </w:pPr>
          </w:p>
        </w:tc>
      </w:tr>
      <w:tr>
        <w:trPr>
          <w:trHeight w:val="69"/>
        </w:trPr>
        <w:tc>
          <w:tcPr>
            <w:tcW w:w="620" w:type="dxa"/>
            <w:vAlign w:val="bottom"/>
            <w:tcBorders>
              <w:bottom w:val="single" w:sz="8" w:color="2393FF"/>
            </w:tcBorders>
            <w:shd w:val="clear" w:color="auto" w:fill="E8F4FF"/>
          </w:tcPr>
          <w:p>
            <w:pPr>
              <w:spacing w:after="0"/>
              <w:rPr>
                <w:sz w:val="5"/>
                <w:szCs w:val="5"/>
                <w:color w:val="auto"/>
              </w:rPr>
            </w:pPr>
          </w:p>
        </w:tc>
        <w:tc>
          <w:tcPr>
            <w:tcW w:w="220" w:type="dxa"/>
            <w:vAlign w:val="bottom"/>
            <w:tcBorders>
              <w:bottom w:val="single" w:sz="8" w:color="2393FF"/>
            </w:tcBorders>
            <w:shd w:val="clear" w:color="auto" w:fill="E8F4FF"/>
          </w:tcPr>
          <w:p>
            <w:pPr>
              <w:spacing w:after="0"/>
              <w:rPr>
                <w:sz w:val="5"/>
                <w:szCs w:val="5"/>
                <w:color w:val="auto"/>
              </w:rPr>
            </w:pPr>
          </w:p>
        </w:tc>
        <w:tc>
          <w:tcPr>
            <w:tcW w:w="840" w:type="dxa"/>
            <w:vAlign w:val="bottom"/>
            <w:tcBorders>
              <w:bottom w:val="single" w:sz="8" w:color="2393FF"/>
            </w:tcBorders>
            <w:shd w:val="clear" w:color="auto" w:fill="E8F4FF"/>
          </w:tcPr>
          <w:p>
            <w:pPr>
              <w:spacing w:after="0"/>
              <w:rPr>
                <w:sz w:val="5"/>
                <w:szCs w:val="5"/>
                <w:color w:val="auto"/>
              </w:rPr>
            </w:pPr>
          </w:p>
        </w:tc>
        <w:tc>
          <w:tcPr>
            <w:tcW w:w="260" w:type="dxa"/>
            <w:vAlign w:val="bottom"/>
            <w:tcBorders>
              <w:bottom w:val="single" w:sz="8" w:color="2393FF"/>
            </w:tcBorders>
            <w:shd w:val="clear" w:color="auto" w:fill="E8F4FF"/>
          </w:tcPr>
          <w:p>
            <w:pPr>
              <w:spacing w:after="0"/>
              <w:rPr>
                <w:sz w:val="5"/>
                <w:szCs w:val="5"/>
                <w:color w:val="auto"/>
              </w:rPr>
            </w:pPr>
          </w:p>
        </w:tc>
        <w:tc>
          <w:tcPr>
            <w:tcW w:w="1060" w:type="dxa"/>
            <w:vAlign w:val="bottom"/>
            <w:tcBorders>
              <w:bottom w:val="single" w:sz="8" w:color="2393FF"/>
            </w:tcBorders>
            <w:shd w:val="clear" w:color="auto" w:fill="E8F4FF"/>
          </w:tcPr>
          <w:p>
            <w:pPr>
              <w:spacing w:after="0"/>
              <w:rPr>
                <w:sz w:val="5"/>
                <w:szCs w:val="5"/>
                <w:color w:val="auto"/>
              </w:rPr>
            </w:pPr>
          </w:p>
        </w:tc>
        <w:tc>
          <w:tcPr>
            <w:tcW w:w="200" w:type="dxa"/>
            <w:vAlign w:val="bottom"/>
            <w:tcBorders>
              <w:bottom w:val="single" w:sz="8" w:color="2393FF"/>
            </w:tcBorders>
            <w:shd w:val="clear" w:color="auto" w:fill="E8F4FF"/>
          </w:tcPr>
          <w:p>
            <w:pPr>
              <w:spacing w:after="0"/>
              <w:rPr>
                <w:sz w:val="5"/>
                <w:szCs w:val="5"/>
                <w:color w:val="auto"/>
              </w:rPr>
            </w:pPr>
          </w:p>
        </w:tc>
        <w:tc>
          <w:tcPr>
            <w:tcW w:w="1020" w:type="dxa"/>
            <w:vAlign w:val="bottom"/>
            <w:tcBorders>
              <w:bottom w:val="single" w:sz="8" w:color="2393FF"/>
            </w:tcBorders>
            <w:shd w:val="clear" w:color="auto" w:fill="E8F4FF"/>
          </w:tcPr>
          <w:p>
            <w:pPr>
              <w:spacing w:after="0"/>
              <w:rPr>
                <w:sz w:val="5"/>
                <w:szCs w:val="5"/>
                <w:color w:val="auto"/>
              </w:rPr>
            </w:pPr>
          </w:p>
        </w:tc>
        <w:tc>
          <w:tcPr>
            <w:tcW w:w="1080" w:type="dxa"/>
            <w:vAlign w:val="bottom"/>
            <w:tcBorders>
              <w:bottom w:val="single" w:sz="8" w:color="2393FF"/>
            </w:tcBorders>
            <w:shd w:val="clear" w:color="auto" w:fill="E8F4FF"/>
          </w:tcPr>
          <w:p>
            <w:pPr>
              <w:spacing w:after="0"/>
              <w:rPr>
                <w:sz w:val="5"/>
                <w:szCs w:val="5"/>
                <w:color w:val="auto"/>
              </w:rPr>
            </w:pPr>
          </w:p>
        </w:tc>
        <w:tc>
          <w:tcPr>
            <w:tcW w:w="200" w:type="dxa"/>
            <w:vAlign w:val="bottom"/>
            <w:tcBorders>
              <w:bottom w:val="single" w:sz="8" w:color="2393FF"/>
            </w:tcBorders>
            <w:shd w:val="clear" w:color="auto" w:fill="E8F4FF"/>
          </w:tcPr>
          <w:p>
            <w:pPr>
              <w:spacing w:after="0"/>
              <w:rPr>
                <w:sz w:val="5"/>
                <w:szCs w:val="5"/>
                <w:color w:val="auto"/>
              </w:rPr>
            </w:pPr>
          </w:p>
        </w:tc>
        <w:tc>
          <w:tcPr>
            <w:tcW w:w="940" w:type="dxa"/>
            <w:vAlign w:val="bottom"/>
            <w:tcBorders>
              <w:bottom w:val="single" w:sz="8" w:color="2393FF"/>
            </w:tcBorders>
            <w:shd w:val="clear" w:color="auto" w:fill="E8F4FF"/>
          </w:tcPr>
          <w:p>
            <w:pPr>
              <w:spacing w:after="0"/>
              <w:rPr>
                <w:sz w:val="5"/>
                <w:szCs w:val="5"/>
                <w:color w:val="auto"/>
              </w:rPr>
            </w:pPr>
          </w:p>
        </w:tc>
        <w:tc>
          <w:tcPr>
            <w:tcW w:w="220" w:type="dxa"/>
            <w:vAlign w:val="bottom"/>
            <w:tcBorders>
              <w:bottom w:val="single" w:sz="8" w:color="2393FF"/>
            </w:tcBorders>
            <w:shd w:val="clear" w:color="auto" w:fill="E8F4FF"/>
          </w:tcPr>
          <w:p>
            <w:pPr>
              <w:spacing w:after="0"/>
              <w:rPr>
                <w:sz w:val="5"/>
                <w:szCs w:val="5"/>
                <w:color w:val="auto"/>
              </w:rPr>
            </w:pPr>
          </w:p>
        </w:tc>
        <w:tc>
          <w:tcPr>
            <w:tcW w:w="1100" w:type="dxa"/>
            <w:vAlign w:val="bottom"/>
            <w:tcBorders>
              <w:bottom w:val="single" w:sz="8" w:color="2393FF"/>
            </w:tcBorders>
            <w:shd w:val="clear" w:color="auto" w:fill="E8F4FF"/>
          </w:tcPr>
          <w:p>
            <w:pPr>
              <w:spacing w:after="0"/>
              <w:rPr>
                <w:sz w:val="5"/>
                <w:szCs w:val="5"/>
                <w:color w:val="auto"/>
              </w:rPr>
            </w:pPr>
          </w:p>
        </w:tc>
        <w:tc>
          <w:tcPr>
            <w:tcW w:w="1060" w:type="dxa"/>
            <w:vAlign w:val="bottom"/>
            <w:tcBorders>
              <w:bottom w:val="single" w:sz="8" w:color="2393FF"/>
            </w:tcBorders>
            <w:shd w:val="clear" w:color="auto" w:fill="E8F4FF"/>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80" w:right="100" w:hanging="353"/>
        <w:spacing w:after="0" w:line="302" w:lineRule="auto"/>
        <w:tabs>
          <w:tab w:leader="none" w:pos="1380" w:val="left"/>
        </w:tabs>
        <w:numPr>
          <w:ilvl w:val="0"/>
          <w:numId w:val="90"/>
        </w:numPr>
        <w:rPr>
          <w:rFonts w:ascii="Arial" w:cs="Arial" w:eastAsia="Arial" w:hAnsi="Arial"/>
          <w:sz w:val="9"/>
          <w:szCs w:val="9"/>
          <w:color w:val="333333"/>
        </w:rPr>
      </w:pPr>
      <w:r>
        <w:rPr>
          <w:rFonts w:ascii="Arial" w:cs="Arial" w:eastAsia="Arial" w:hAnsi="Arial"/>
          <w:sz w:val="9"/>
          <w:szCs w:val="9"/>
          <w:color w:val="333333"/>
        </w:rPr>
        <w:t>The dollar amounts reported in column (f) represent our cumulative total shareholder return (TSR). Cumulative TSR is calculated by dividing the sum of the cumulative amount of dividends for the measurement period, assuming dividend reinvestment, and the difference between the price per share of our common stock at the end and the beginning of the measurement period by the price per share of our common stock at the beginning of the measurement period. For this purpose, the measurement period begins at the initial public offering in May 2021.</w:t>
      </w:r>
    </w:p>
    <w:p>
      <w:pPr>
        <w:spacing w:after="0" w:line="14" w:lineRule="exact"/>
        <w:rPr>
          <w:rFonts w:ascii="Arial" w:cs="Arial" w:eastAsia="Arial" w:hAnsi="Arial"/>
          <w:sz w:val="9"/>
          <w:szCs w:val="9"/>
          <w:color w:val="333333"/>
        </w:rPr>
      </w:pPr>
    </w:p>
    <w:p>
      <w:pPr>
        <w:ind w:left="1380" w:hanging="353"/>
        <w:spacing w:after="0"/>
        <w:tabs>
          <w:tab w:leader="none" w:pos="1380" w:val="left"/>
        </w:tabs>
        <w:numPr>
          <w:ilvl w:val="0"/>
          <w:numId w:val="90"/>
        </w:numPr>
        <w:rPr>
          <w:rFonts w:ascii="Arial" w:cs="Arial" w:eastAsia="Arial" w:hAnsi="Arial"/>
          <w:sz w:val="11"/>
          <w:szCs w:val="11"/>
          <w:color w:val="333333"/>
        </w:rPr>
      </w:pPr>
      <w:r>
        <w:rPr>
          <w:rFonts w:ascii="Arial" w:cs="Arial" w:eastAsia="Arial" w:hAnsi="Arial"/>
          <w:sz w:val="11"/>
          <w:szCs w:val="11"/>
          <w:color w:val="333333"/>
        </w:rPr>
        <w:t>The peer group used for purposes of column (g) is the S&amp;P 500—Information Technology index.</w:t>
      </w:r>
    </w:p>
    <w:p>
      <w:pPr>
        <w:spacing w:after="0" w:line="53" w:lineRule="exact"/>
        <w:rPr>
          <w:rFonts w:ascii="Arial" w:cs="Arial" w:eastAsia="Arial" w:hAnsi="Arial"/>
          <w:sz w:val="11"/>
          <w:szCs w:val="11"/>
          <w:color w:val="333333"/>
        </w:rPr>
      </w:pPr>
    </w:p>
    <w:p>
      <w:pPr>
        <w:ind w:left="1380" w:hanging="353"/>
        <w:spacing w:after="0"/>
        <w:tabs>
          <w:tab w:leader="none" w:pos="1380" w:val="left"/>
        </w:tabs>
        <w:numPr>
          <w:ilvl w:val="0"/>
          <w:numId w:val="90"/>
        </w:numPr>
        <w:rPr>
          <w:rFonts w:ascii="Arial" w:cs="Arial" w:eastAsia="Arial" w:hAnsi="Arial"/>
          <w:sz w:val="11"/>
          <w:szCs w:val="11"/>
          <w:color w:val="333333"/>
        </w:rPr>
      </w:pPr>
      <w:r>
        <w:rPr>
          <w:rFonts w:ascii="Arial" w:cs="Arial" w:eastAsia="Arial" w:hAnsi="Arial"/>
          <w:sz w:val="11"/>
          <w:szCs w:val="11"/>
          <w:color w:val="333333"/>
        </w:rPr>
        <w:t>The dollar amounts reported represent the amount of net income (loss) reflected in our audited financial statements for the applicable year.</w:t>
      </w:r>
    </w:p>
    <w:p>
      <w:pPr>
        <w:spacing w:after="0" w:line="53" w:lineRule="exact"/>
        <w:rPr>
          <w:rFonts w:ascii="Arial" w:cs="Arial" w:eastAsia="Arial" w:hAnsi="Arial"/>
          <w:sz w:val="11"/>
          <w:szCs w:val="11"/>
          <w:color w:val="333333"/>
        </w:rPr>
      </w:pPr>
    </w:p>
    <w:p>
      <w:pPr>
        <w:ind w:left="1380" w:right="40" w:hanging="353"/>
        <w:spacing w:after="0" w:line="223" w:lineRule="auto"/>
        <w:tabs>
          <w:tab w:leader="none" w:pos="1380" w:val="left"/>
        </w:tabs>
        <w:numPr>
          <w:ilvl w:val="0"/>
          <w:numId w:val="90"/>
        </w:numPr>
        <w:rPr>
          <w:rFonts w:ascii="Arial" w:cs="Arial" w:eastAsia="Arial" w:hAnsi="Arial"/>
          <w:sz w:val="11"/>
          <w:szCs w:val="11"/>
          <w:color w:val="333333"/>
        </w:rPr>
      </w:pPr>
      <w:r>
        <w:rPr>
          <w:rFonts w:ascii="Arial" w:cs="Arial" w:eastAsia="Arial" w:hAnsi="Arial"/>
          <w:sz w:val="11"/>
          <w:szCs w:val="11"/>
          <w:color w:val="333333"/>
        </w:rPr>
        <w:t>Our People &amp; Compensation Committee utilized Revenue Less Ancillary Services (FXN) growth rate for the year ended December 31, 2025 of 16.4%. Our Revenue Less Ancillary Services (FXN) growth rate for the year ended December 31, 2024 was 24%. Although we use numerous financial and non-financial performance measures for the purpose of evaluating performance for our compensation programs, we have determined that Revenue Less Ancillary Services (FXN) growth rate is the financial performance measure that, in our assessment, represents the most important performance measure (that is not otherwise required to be disclosed in the table) used by us to link compensation actually paid to our NEOs, for the most recently completed fiscal year, to our performance.</w:t>
      </w:r>
    </w:p>
    <w:p>
      <w:pPr>
        <w:spacing w:after="0" w:line="100"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46 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FINANCIAL PERFORMANCE MEASURES</w:t>
      </w:r>
    </w:p>
    <w:p>
      <w:pPr>
        <w:spacing w:after="0" w:line="143" w:lineRule="exact"/>
        <w:rPr>
          <w:sz w:val="20"/>
          <w:szCs w:val="20"/>
          <w:color w:val="auto"/>
        </w:rPr>
      </w:pPr>
    </w:p>
    <w:p>
      <w:pPr>
        <w:ind w:left="1020" w:right="140"/>
        <w:spacing w:after="0"/>
        <w:rPr>
          <w:sz w:val="20"/>
          <w:szCs w:val="20"/>
          <w:color w:val="auto"/>
        </w:rPr>
      </w:pPr>
      <w:r>
        <w:rPr>
          <w:rFonts w:ascii="Arial" w:cs="Arial" w:eastAsia="Arial" w:hAnsi="Arial"/>
          <w:sz w:val="14"/>
          <w:szCs w:val="14"/>
          <w:color w:val="auto"/>
        </w:rPr>
        <w:t>As described in greater detail in the section “Executive Compensation – Compensation Discussion and Analysis” above, our executive compensation program reflects a pay for performance philosophy. Annual performance-based cash bonuses are tied primarily to achievement of corporate short-term financial goals and, for certain executives, individual performance. Long term incentive awards deliver value based on the performance of our common stock. The most important financial performance measures used by us to link executive compensation actually paid to our NEOs, for the most recently completed fiscal year, to our performance are as follows:</w:t>
      </w:r>
    </w:p>
    <w:p>
      <w:pPr>
        <w:spacing w:after="0" w:line="164" w:lineRule="exact"/>
        <w:rPr>
          <w:sz w:val="20"/>
          <w:szCs w:val="20"/>
          <w:color w:val="auto"/>
        </w:rPr>
      </w:pPr>
    </w:p>
    <w:p>
      <w:pPr>
        <w:ind w:left="1920" w:hanging="352"/>
        <w:spacing w:after="0"/>
        <w:tabs>
          <w:tab w:leader="none" w:pos="19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Revenue Less Ancillary Services (FXN) growth rate; and</w:t>
      </w:r>
    </w:p>
    <w:p>
      <w:pPr>
        <w:spacing w:after="0" w:line="177" w:lineRule="exact"/>
        <w:rPr>
          <w:rFonts w:ascii="Arial" w:cs="Arial" w:eastAsia="Arial" w:hAnsi="Arial"/>
          <w:sz w:val="14"/>
          <w:szCs w:val="14"/>
          <w:color w:val="auto"/>
        </w:rPr>
      </w:pPr>
    </w:p>
    <w:p>
      <w:pPr>
        <w:ind w:left="1920" w:hanging="352"/>
        <w:spacing w:after="0"/>
        <w:tabs>
          <w:tab w:leader="none" w:pos="19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Adjusted EBITDA margin.</w:t>
      </w:r>
    </w:p>
    <w:p>
      <w:pPr>
        <w:spacing w:after="0" w:line="16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ANALYSIS OF THE INFORMATION PRESENTED IN THE PAY VERSUS PERFORMANCE TABLE</w:t>
      </w:r>
    </w:p>
    <w:p>
      <w:pPr>
        <w:spacing w:after="0" w:line="141" w:lineRule="exact"/>
        <w:rPr>
          <w:sz w:val="20"/>
          <w:szCs w:val="20"/>
          <w:color w:val="auto"/>
        </w:rPr>
      </w:pPr>
    </w:p>
    <w:p>
      <w:pPr>
        <w:ind w:left="1020" w:right="40"/>
        <w:spacing w:after="0" w:line="239" w:lineRule="auto"/>
        <w:rPr>
          <w:sz w:val="20"/>
          <w:szCs w:val="20"/>
          <w:color w:val="auto"/>
        </w:rPr>
      </w:pPr>
      <w:r>
        <w:rPr>
          <w:rFonts w:ascii="Arial" w:cs="Arial" w:eastAsia="Arial" w:hAnsi="Arial"/>
          <w:sz w:val="14"/>
          <w:szCs w:val="14"/>
          <w:color w:val="auto"/>
        </w:rPr>
        <w:t>As described in more detail in the section “Executive Compensation – Compensation Discussion and Analysis” above, our executive compensation program reflects a pay for performance philosophy. While we utilize several performance measures to align executive compensation with our performance, all of those measures are not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ACTUALLY PAID AND CUMULATIVE TSR</w:t>
      </w:r>
    </w:p>
    <w:p>
      <w:pPr>
        <w:spacing w:after="0" w:line="155" w:lineRule="exact"/>
        <w:rPr>
          <w:sz w:val="20"/>
          <w:szCs w:val="20"/>
          <w:color w:val="auto"/>
        </w:rPr>
      </w:pPr>
    </w:p>
    <w:p>
      <w:pPr>
        <w:ind w:left="1020"/>
        <w:spacing w:after="0" w:line="239" w:lineRule="auto"/>
        <w:rPr>
          <w:sz w:val="20"/>
          <w:szCs w:val="20"/>
          <w:color w:val="auto"/>
        </w:rPr>
      </w:pPr>
      <w:r>
        <w:rPr>
          <w:rFonts w:ascii="Arial" w:cs="Arial" w:eastAsia="Arial" w:hAnsi="Arial"/>
          <w:sz w:val="14"/>
          <w:szCs w:val="14"/>
          <w:color w:val="auto"/>
        </w:rPr>
        <w:t>As demonstrated by the following graph, the amount of compensation actually paid (CAP) to Mr. Massaro and the average amount of compensation actually paid to our NEOs as a group (excluding Mr. Massaro) is aligned with our cumulative TSR over the five years presented in the table. The alignment of compensation actually paid with our cumulative TSR over the period presented is because a significant portion of the compensation actually paid to Mr. Massaro and to the other NEOs is comprised of equity awards. As described in more detail in the section “Executive Compensation – Compensation Discussion and Analysis” above, in Fiscal 2025, we granted an average of over 80% of our NEOs’ target direct compensation as equity-based compensation in the form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154305</wp:posOffset>
            </wp:positionV>
            <wp:extent cx="3777615" cy="20605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77615" cy="2060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47 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60"/>
          </w:cols>
          <w:pgMar w:left="320" w:top="425" w:right="1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ACTUALLY PAID AND NET INCOME (LOSS)</w:t>
      </w:r>
    </w:p>
    <w:p>
      <w:pPr>
        <w:spacing w:after="0" w:line="143" w:lineRule="exact"/>
        <w:rPr>
          <w:sz w:val="20"/>
          <w:szCs w:val="20"/>
          <w:color w:val="auto"/>
        </w:rPr>
      </w:pPr>
    </w:p>
    <w:p>
      <w:pPr>
        <w:ind w:left="1020" w:right="139"/>
        <w:spacing w:after="0" w:line="242" w:lineRule="auto"/>
        <w:rPr>
          <w:sz w:val="20"/>
          <w:szCs w:val="20"/>
          <w:color w:val="auto"/>
        </w:rPr>
      </w:pPr>
      <w:r>
        <w:rPr>
          <w:rFonts w:ascii="Arial" w:cs="Arial" w:eastAsia="Arial" w:hAnsi="Arial"/>
          <w:sz w:val="14"/>
          <w:szCs w:val="14"/>
          <w:color w:val="auto"/>
        </w:rPr>
        <w:t>As demonstrated by the following table, the amount of compensation actually paid (CAP) to Mr. Massaro and the average amount of compensation actually paid to our NEOs as a group (excluding Mr. Massaro) is generally aligned with our net income (loss) over the five years presented in the table. Due to the emphasis we place on equity compensation, stock return is the primary driver of CAP for the five years shown in the chart. Equity compensation is sensitive to stock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152400</wp:posOffset>
            </wp:positionV>
            <wp:extent cx="3777615" cy="2067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77615"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COMPENSATION ACTUALLY PAID AND REVENUE LESS ANCILLARY SERVICES (FXN) GROWTH RATE</w:t>
      </w:r>
    </w:p>
    <w:p>
      <w:pPr>
        <w:spacing w:after="0" w:line="143" w:lineRule="exact"/>
        <w:rPr>
          <w:sz w:val="20"/>
          <w:szCs w:val="20"/>
          <w:color w:val="auto"/>
        </w:rPr>
      </w:pPr>
    </w:p>
    <w:p>
      <w:pPr>
        <w:jc w:val="both"/>
        <w:ind w:left="1020" w:right="199"/>
        <w:spacing w:after="0" w:line="242" w:lineRule="auto"/>
        <w:rPr>
          <w:sz w:val="20"/>
          <w:szCs w:val="20"/>
          <w:color w:val="auto"/>
        </w:rPr>
      </w:pPr>
      <w:r>
        <w:rPr>
          <w:rFonts w:ascii="Arial" w:cs="Arial" w:eastAsia="Arial" w:hAnsi="Arial"/>
          <w:sz w:val="14"/>
          <w:szCs w:val="14"/>
          <w:color w:val="auto"/>
        </w:rPr>
        <w:t>As demonstrated by the following graph, the amount of compensation actually paid to Mr. Massaro and the average amount of compensation actually paid to our NEOs as a group (excluding Mr. Massaro) is not aligned with our Revenue Less Ancillary Services (FXN) growth rate, as modified by our People &amp; Compensation Committee, over the five years presented in the table. This is largely due to the emphasis we place on equity compensation, which is sensitive to stock price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152400</wp:posOffset>
            </wp:positionV>
            <wp:extent cx="3777615" cy="2067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777615"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48 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39"/>
          </w:cols>
          <w:pgMar w:left="320" w:top="42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OUR CUMULATIVE TSR AND CUMULATIVE TSR OF THE PEER GROUP</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As demonstrated by the following graph, our cumulative TSR over the five-year period presented in the table was -41.0%, while the cumulative TSR of the peer group presented for this purpose, S&amp;P 500 – Information Technology Sector, was 133.7% over the five years presented in the table. Our cumulative TSR underperformed the S&amp;P 500 – Information Technology Sector during the five years presented in the table. For more information regarding our performance and the peer group of companies that our People &amp; Compensation Committee considers when determining compensation, refer to 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153670</wp:posOffset>
            </wp:positionV>
            <wp:extent cx="3749040" cy="2432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749040" cy="243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49 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right="979"/>
        <w:spacing w:after="0" w:line="289" w:lineRule="auto"/>
        <w:rPr>
          <w:sz w:val="20"/>
          <w:szCs w:val="20"/>
          <w:color w:val="auto"/>
        </w:rPr>
      </w:pPr>
      <w:r>
        <w:rPr>
          <w:rFonts w:ascii="Arial" w:cs="Arial" w:eastAsia="Arial" w:hAnsi="Arial"/>
          <w:sz w:val="42"/>
          <w:szCs w:val="42"/>
          <w:b w:val="1"/>
          <w:bCs w:val="1"/>
          <w:color w:val="2393FF"/>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39370</wp:posOffset>
            </wp:positionV>
            <wp:extent cx="58381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following table sets forth certain information with respect to the beneficial ownership of our voting common stock as of April 8, 2026 for:</w:t>
      </w:r>
    </w:p>
    <w:p>
      <w:pPr>
        <w:spacing w:after="0" w:line="177" w:lineRule="exact"/>
        <w:rPr>
          <w:sz w:val="20"/>
          <w:szCs w:val="20"/>
          <w:color w:val="auto"/>
        </w:rPr>
      </w:pPr>
    </w:p>
    <w:p>
      <w:pPr>
        <w:ind w:left="1740" w:hanging="353"/>
        <w:spacing w:after="0"/>
        <w:tabs>
          <w:tab w:leader="none" w:pos="17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of our current directors;</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all of our current executive officers and directors as a group; and</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stockholder known by us to be the beneficial owner of more than 5% of our outstanding shares of voting common stock</w:t>
      </w:r>
    </w:p>
    <w:p>
      <w:pPr>
        <w:spacing w:after="0" w:line="143" w:lineRule="exact"/>
        <w:rPr>
          <w:sz w:val="20"/>
          <w:szCs w:val="20"/>
          <w:color w:val="auto"/>
        </w:rPr>
      </w:pPr>
    </w:p>
    <w:p>
      <w:pPr>
        <w:ind w:left="1020" w:right="239"/>
        <w:spacing w:after="0" w:line="258" w:lineRule="auto"/>
        <w:rPr>
          <w:sz w:val="20"/>
          <w:szCs w:val="20"/>
          <w:color w:val="auto"/>
        </w:rPr>
      </w:pPr>
      <w:r>
        <w:rPr>
          <w:rFonts w:ascii="Arial" w:cs="Arial" w:eastAsia="Arial" w:hAnsi="Arial"/>
          <w:sz w:val="14"/>
          <w:szCs w:val="14"/>
          <w:color w:val="auto"/>
        </w:rPr>
        <w:t>The table below is based upon information supplied by officers, directors and principal stockholders and Schedule 13Gs and 13Ds filed with the SEC through April 8, 2026.</w:t>
      </w:r>
    </w:p>
    <w:p>
      <w:pPr>
        <w:spacing w:after="0" w:line="116" w:lineRule="exact"/>
        <w:rPr>
          <w:sz w:val="20"/>
          <w:szCs w:val="20"/>
          <w:color w:val="auto"/>
        </w:rPr>
      </w:pPr>
    </w:p>
    <w:p>
      <w:pPr>
        <w:ind w:left="1020" w:right="19"/>
        <w:spacing w:after="0" w:line="242" w:lineRule="auto"/>
        <w:rPr>
          <w:sz w:val="20"/>
          <w:szCs w:val="20"/>
          <w:color w:val="auto"/>
        </w:rPr>
      </w:pPr>
      <w:r>
        <w:rPr>
          <w:rFonts w:ascii="Arial" w:cs="Arial" w:eastAsia="Arial" w:hAnsi="Arial"/>
          <w:sz w:val="14"/>
          <w:szCs w:val="14"/>
          <w:color w:val="auto"/>
        </w:rPr>
        <w:t>The percentage ownership is based upon 121,465,195 shares of voting common stock outstanding as of April 8, 2026. For purposes of the table below, we deem shares of common stock subject to options that are currently exercisable or exercisable within sixty (60) days of April 8, 2026 and common stock subject to restricted stock unit awards that will vest within sixty (60) days of April 8, 2026 to be outstanding and to be beneficially owned by the person holding the options or restricted stock unit award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Certain stockholders listed in the table also hold non-voting common stock, which are not entitled to vote at the Annual Meeting, as described in the relevant footnotes to the table below. Unless otherwise indicated, the address of each beneficial owner listed in the table below is c/o Flywire Corporation, 141 Tremont St., 10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Floor, Boston, Massachusetts 02111.</w:t>
      </w:r>
    </w:p>
    <w:p>
      <w:pPr>
        <w:spacing w:after="0" w:line="9"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50 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39"/>
          </w:cols>
          <w:pgMar w:left="320" w:top="42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COMMON STOCK</w:t>
      </w:r>
    </w:p>
    <w:p>
      <w:pPr>
        <w:spacing w:after="0" w:line="22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2400" w:type="dxa"/>
            <w:vAlign w:val="bottom"/>
          </w:tcPr>
          <w:p>
            <w:pPr>
              <w:jc w:val="center"/>
              <w:ind w:left="41"/>
              <w:spacing w:after="0"/>
              <w:rPr>
                <w:sz w:val="20"/>
                <w:szCs w:val="20"/>
                <w:color w:val="auto"/>
              </w:rPr>
            </w:pPr>
            <w:r>
              <w:rPr>
                <w:rFonts w:ascii="Arial" w:cs="Arial" w:eastAsia="Arial" w:hAnsi="Arial"/>
                <w:sz w:val="11"/>
                <w:szCs w:val="11"/>
                <w:b w:val="1"/>
                <w:bCs w:val="1"/>
                <w:color w:val="auto"/>
                <w:w w:val="95"/>
              </w:rPr>
              <w:t>NUMBER OF SHARES</w:t>
            </w:r>
          </w:p>
        </w:tc>
        <w:tc>
          <w:tcPr>
            <w:tcW w:w="2380" w:type="dxa"/>
            <w:vAlign w:val="bottom"/>
          </w:tcPr>
          <w:p>
            <w:pPr>
              <w:spacing w:after="0"/>
              <w:rPr>
                <w:sz w:val="10"/>
                <w:szCs w:val="10"/>
                <w:color w:val="auto"/>
              </w:rPr>
            </w:pPr>
          </w:p>
        </w:tc>
      </w:tr>
      <w:tr>
        <w:trPr>
          <w:trHeight w:val="113"/>
        </w:trPr>
        <w:tc>
          <w:tcPr>
            <w:tcW w:w="4420" w:type="dxa"/>
            <w:vAlign w:val="bottom"/>
          </w:tcPr>
          <w:p>
            <w:pPr>
              <w:spacing w:after="0"/>
              <w:rPr>
                <w:sz w:val="9"/>
                <w:szCs w:val="9"/>
                <w:color w:val="auto"/>
              </w:rPr>
            </w:pPr>
          </w:p>
        </w:tc>
        <w:tc>
          <w:tcPr>
            <w:tcW w:w="2400" w:type="dxa"/>
            <w:vAlign w:val="bottom"/>
          </w:tcPr>
          <w:p>
            <w:pPr>
              <w:jc w:val="center"/>
              <w:ind w:left="41"/>
              <w:spacing w:after="0" w:line="113" w:lineRule="exact"/>
              <w:rPr>
                <w:sz w:val="20"/>
                <w:szCs w:val="20"/>
                <w:color w:val="auto"/>
              </w:rPr>
            </w:pPr>
            <w:r>
              <w:rPr>
                <w:rFonts w:ascii="Arial" w:cs="Arial" w:eastAsia="Arial" w:hAnsi="Arial"/>
                <w:sz w:val="11"/>
                <w:szCs w:val="11"/>
                <w:b w:val="1"/>
                <w:bCs w:val="1"/>
                <w:color w:val="auto"/>
                <w:w w:val="95"/>
              </w:rPr>
              <w:t>OF VOTING</w:t>
            </w:r>
          </w:p>
        </w:tc>
        <w:tc>
          <w:tcPr>
            <w:tcW w:w="2380" w:type="dxa"/>
            <w:vAlign w:val="bottom"/>
          </w:tcPr>
          <w:p>
            <w:pPr>
              <w:spacing w:after="0"/>
              <w:rPr>
                <w:sz w:val="9"/>
                <w:szCs w:val="9"/>
                <w:color w:val="auto"/>
              </w:rPr>
            </w:pPr>
          </w:p>
        </w:tc>
      </w:tr>
      <w:tr>
        <w:trPr>
          <w:trHeight w:val="113"/>
        </w:trPr>
        <w:tc>
          <w:tcPr>
            <w:tcW w:w="4420" w:type="dxa"/>
            <w:vAlign w:val="bottom"/>
          </w:tcPr>
          <w:p>
            <w:pPr>
              <w:spacing w:after="0"/>
              <w:rPr>
                <w:sz w:val="9"/>
                <w:szCs w:val="9"/>
                <w:color w:val="auto"/>
              </w:rPr>
            </w:pPr>
          </w:p>
        </w:tc>
        <w:tc>
          <w:tcPr>
            <w:tcW w:w="2400" w:type="dxa"/>
            <w:vAlign w:val="bottom"/>
          </w:tcPr>
          <w:p>
            <w:pPr>
              <w:jc w:val="center"/>
              <w:ind w:left="21"/>
              <w:spacing w:after="0" w:line="113" w:lineRule="exact"/>
              <w:rPr>
                <w:sz w:val="20"/>
                <w:szCs w:val="20"/>
                <w:color w:val="auto"/>
              </w:rPr>
            </w:pPr>
            <w:r>
              <w:rPr>
                <w:rFonts w:ascii="Arial" w:cs="Arial" w:eastAsia="Arial" w:hAnsi="Arial"/>
                <w:sz w:val="11"/>
                <w:szCs w:val="11"/>
                <w:b w:val="1"/>
                <w:bCs w:val="1"/>
                <w:color w:val="auto"/>
                <w:w w:val="93"/>
              </w:rPr>
              <w:t>COMMON</w:t>
            </w:r>
          </w:p>
        </w:tc>
        <w:tc>
          <w:tcPr>
            <w:tcW w:w="2380" w:type="dxa"/>
            <w:vAlign w:val="bottom"/>
          </w:tcPr>
          <w:p>
            <w:pPr>
              <w:spacing w:after="0"/>
              <w:rPr>
                <w:sz w:val="9"/>
                <w:szCs w:val="9"/>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1"/>
                <w:szCs w:val="11"/>
                <w:b w:val="1"/>
                <w:bCs w:val="1"/>
                <w:color w:val="auto"/>
              </w:rPr>
              <w:t>  NAME OF BENEFICIAL OWNER</w:t>
            </w:r>
          </w:p>
        </w:tc>
        <w:tc>
          <w:tcPr>
            <w:tcW w:w="2400" w:type="dxa"/>
            <w:vAlign w:val="bottom"/>
          </w:tcPr>
          <w:p>
            <w:pPr>
              <w:jc w:val="center"/>
              <w:ind w:left="21"/>
              <w:spacing w:after="0"/>
              <w:rPr>
                <w:sz w:val="20"/>
                <w:szCs w:val="20"/>
                <w:color w:val="auto"/>
              </w:rPr>
            </w:pPr>
            <w:r>
              <w:rPr>
                <w:rFonts w:ascii="Arial" w:cs="Arial" w:eastAsia="Arial" w:hAnsi="Arial"/>
                <w:sz w:val="11"/>
                <w:szCs w:val="11"/>
                <w:b w:val="1"/>
                <w:bCs w:val="1"/>
                <w:color w:val="auto"/>
                <w:w w:val="93"/>
              </w:rPr>
              <w:t>STOCK</w:t>
            </w:r>
          </w:p>
        </w:tc>
        <w:tc>
          <w:tcPr>
            <w:tcW w:w="2380" w:type="dxa"/>
            <w:vAlign w:val="bottom"/>
          </w:tcPr>
          <w:p>
            <w:pPr>
              <w:ind w:left="600"/>
              <w:spacing w:after="0"/>
              <w:rPr>
                <w:sz w:val="20"/>
                <w:szCs w:val="20"/>
                <w:color w:val="auto"/>
              </w:rPr>
            </w:pPr>
            <w:r>
              <w:rPr>
                <w:rFonts w:ascii="Arial" w:cs="Arial" w:eastAsia="Arial" w:hAnsi="Arial"/>
                <w:sz w:val="11"/>
                <w:szCs w:val="11"/>
                <w:b w:val="1"/>
                <w:bCs w:val="1"/>
                <w:color w:val="auto"/>
              </w:rPr>
              <w:t>PERCENTAGE OF CLASS</w:t>
            </w:r>
          </w:p>
        </w:tc>
      </w:tr>
      <w:tr>
        <w:trPr>
          <w:trHeight w:val="30"/>
        </w:trPr>
        <w:tc>
          <w:tcPr>
            <w:tcW w:w="4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13"/>
        </w:trPr>
        <w:tc>
          <w:tcPr>
            <w:tcW w:w="4420" w:type="dxa"/>
            <w:vAlign w:val="bottom"/>
            <w:shd w:val="clear" w:color="auto" w:fill="2393FF"/>
          </w:tcPr>
          <w:p>
            <w:pPr>
              <w:ind w:left="60"/>
              <w:spacing w:after="0"/>
              <w:rPr>
                <w:sz w:val="20"/>
                <w:szCs w:val="20"/>
                <w:color w:val="auto"/>
              </w:rPr>
            </w:pPr>
            <w:r>
              <w:rPr>
                <w:rFonts w:ascii="Arial" w:cs="Arial" w:eastAsia="Arial" w:hAnsi="Arial"/>
                <w:sz w:val="12"/>
                <w:szCs w:val="12"/>
                <w:b w:val="1"/>
                <w:bCs w:val="1"/>
                <w:color w:val="FFFFFF"/>
              </w:rPr>
              <w:t>5% or Greater Stockholders</w:t>
            </w:r>
          </w:p>
        </w:tc>
        <w:tc>
          <w:tcPr>
            <w:tcW w:w="2400" w:type="dxa"/>
            <w:vAlign w:val="bottom"/>
            <w:shd w:val="clear" w:color="auto" w:fill="2393FF"/>
          </w:tcPr>
          <w:p>
            <w:pPr>
              <w:spacing w:after="0"/>
              <w:rPr>
                <w:sz w:val="18"/>
                <w:szCs w:val="18"/>
                <w:color w:val="auto"/>
              </w:rPr>
            </w:pPr>
          </w:p>
        </w:tc>
        <w:tc>
          <w:tcPr>
            <w:tcW w:w="2380" w:type="dxa"/>
            <w:vAlign w:val="bottom"/>
            <w:shd w:val="clear" w:color="auto" w:fill="2393FF"/>
          </w:tcPr>
          <w:p>
            <w:pPr>
              <w:spacing w:after="0"/>
              <w:rPr>
                <w:sz w:val="18"/>
                <w:szCs w:val="18"/>
                <w:color w:val="auto"/>
              </w:rPr>
            </w:pPr>
          </w:p>
        </w:tc>
      </w:tr>
      <w:tr>
        <w:trPr>
          <w:trHeight w:val="69"/>
        </w:trPr>
        <w:tc>
          <w:tcPr>
            <w:tcW w:w="4420" w:type="dxa"/>
            <w:vAlign w:val="bottom"/>
            <w:shd w:val="clear" w:color="auto" w:fill="2393FF"/>
          </w:tcPr>
          <w:p>
            <w:pPr>
              <w:spacing w:after="0"/>
              <w:rPr>
                <w:sz w:val="5"/>
                <w:szCs w:val="5"/>
                <w:color w:val="auto"/>
              </w:rPr>
            </w:pPr>
          </w:p>
        </w:tc>
        <w:tc>
          <w:tcPr>
            <w:tcW w:w="2400" w:type="dxa"/>
            <w:vAlign w:val="bottom"/>
            <w:shd w:val="clear" w:color="auto" w:fill="2393FF"/>
          </w:tcPr>
          <w:p>
            <w:pPr>
              <w:spacing w:after="0"/>
              <w:rPr>
                <w:sz w:val="5"/>
                <w:szCs w:val="5"/>
                <w:color w:val="auto"/>
              </w:rPr>
            </w:pPr>
          </w:p>
        </w:tc>
        <w:tc>
          <w:tcPr>
            <w:tcW w:w="2380" w:type="dxa"/>
            <w:vAlign w:val="bottom"/>
            <w:shd w:val="clear" w:color="auto" w:fill="2393FF"/>
          </w:tcPr>
          <w:p>
            <w:pPr>
              <w:spacing w:after="0"/>
              <w:rPr>
                <w:sz w:val="5"/>
                <w:szCs w:val="5"/>
                <w:color w:val="auto"/>
              </w:rPr>
            </w:pP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Entities affiliated with Voss Capital</w:t>
            </w:r>
            <w:r>
              <w:rPr>
                <w:rFonts w:ascii="Arial" w:cs="Arial" w:eastAsia="Arial" w:hAnsi="Arial"/>
                <w:sz w:val="18"/>
                <w:szCs w:val="18"/>
                <w:b w:val="1"/>
                <w:bCs w:val="1"/>
                <w:color w:val="2393FF"/>
                <w:vertAlign w:val="superscript"/>
              </w:rPr>
              <w:t>(1)</w:t>
            </w:r>
          </w:p>
        </w:tc>
        <w:tc>
          <w:tcPr>
            <w:tcW w:w="2400" w:type="dxa"/>
            <w:vAlign w:val="bottom"/>
          </w:tcPr>
          <w:p>
            <w:pPr>
              <w:jc w:val="center"/>
              <w:ind w:left="41"/>
              <w:spacing w:after="0"/>
              <w:rPr>
                <w:sz w:val="20"/>
                <w:szCs w:val="20"/>
                <w:color w:val="auto"/>
              </w:rPr>
            </w:pPr>
            <w:r>
              <w:rPr>
                <w:rFonts w:ascii="Arial" w:cs="Arial" w:eastAsia="Arial" w:hAnsi="Arial"/>
                <w:sz w:val="12"/>
                <w:szCs w:val="12"/>
                <w:color w:val="auto"/>
              </w:rPr>
              <w:t>2,682,235</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w w:val="99"/>
              </w:rPr>
              <w:t>10.1%</w:t>
            </w:r>
          </w:p>
        </w:tc>
      </w:tr>
      <w:tr>
        <w:trPr>
          <w:trHeight w:val="270"/>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Cadian Capital Management, LP</w:t>
            </w:r>
            <w:r>
              <w:rPr>
                <w:rFonts w:ascii="Arial" w:cs="Arial" w:eastAsia="Arial" w:hAnsi="Arial"/>
                <w:sz w:val="18"/>
                <w:szCs w:val="18"/>
                <w:b w:val="1"/>
                <w:bCs w:val="1"/>
                <w:color w:val="2393FF"/>
                <w:vertAlign w:val="superscript"/>
              </w:rPr>
              <w:t>(2)</w:t>
            </w:r>
          </w:p>
        </w:tc>
        <w:tc>
          <w:tcPr>
            <w:tcW w:w="2400" w:type="dxa"/>
            <w:vAlign w:val="bottom"/>
            <w:shd w:val="clear" w:color="auto" w:fill="E8F4FF"/>
          </w:tcPr>
          <w:p>
            <w:pPr>
              <w:jc w:val="center"/>
              <w:ind w:left="41"/>
              <w:spacing w:after="0"/>
              <w:rPr>
                <w:sz w:val="20"/>
                <w:szCs w:val="20"/>
                <w:color w:val="auto"/>
              </w:rPr>
            </w:pPr>
            <w:r>
              <w:rPr>
                <w:rFonts w:ascii="Arial" w:cs="Arial" w:eastAsia="Arial" w:hAnsi="Arial"/>
                <w:sz w:val="12"/>
                <w:szCs w:val="12"/>
                <w:color w:val="auto"/>
              </w:rPr>
              <w:t>7,927,159</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w w:val="94"/>
              </w:rPr>
              <w:t>6.5%</w:t>
            </w: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 xml:space="preserve">BlackRock, Inc. </w:t>
            </w:r>
            <w:r>
              <w:rPr>
                <w:rFonts w:ascii="Arial" w:cs="Arial" w:eastAsia="Arial" w:hAnsi="Arial"/>
                <w:sz w:val="18"/>
                <w:szCs w:val="18"/>
                <w:b w:val="1"/>
                <w:bCs w:val="1"/>
                <w:color w:val="2393FF"/>
                <w:vertAlign w:val="superscript"/>
              </w:rPr>
              <w:t>(3)</w:t>
            </w:r>
          </w:p>
        </w:tc>
        <w:tc>
          <w:tcPr>
            <w:tcW w:w="2400" w:type="dxa"/>
            <w:vAlign w:val="bottom"/>
          </w:tcPr>
          <w:p>
            <w:pPr>
              <w:jc w:val="center"/>
              <w:ind w:left="41"/>
              <w:spacing w:after="0"/>
              <w:rPr>
                <w:sz w:val="20"/>
                <w:szCs w:val="20"/>
                <w:color w:val="auto"/>
              </w:rPr>
            </w:pPr>
            <w:r>
              <w:rPr>
                <w:rFonts w:ascii="Arial" w:cs="Arial" w:eastAsia="Arial" w:hAnsi="Arial"/>
                <w:sz w:val="12"/>
                <w:szCs w:val="12"/>
                <w:color w:val="auto"/>
              </w:rPr>
              <w:t>7,770,569</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w w:val="94"/>
              </w:rPr>
              <w:t>6.4%</w:t>
            </w:r>
          </w:p>
        </w:tc>
      </w:tr>
      <w:tr>
        <w:trPr>
          <w:trHeight w:val="270"/>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 xml:space="preserve">Ossa Investments Pte. Ltd. </w:t>
            </w:r>
            <w:r>
              <w:rPr>
                <w:rFonts w:ascii="Arial" w:cs="Arial" w:eastAsia="Arial" w:hAnsi="Arial"/>
                <w:sz w:val="18"/>
                <w:szCs w:val="18"/>
                <w:b w:val="1"/>
                <w:bCs w:val="1"/>
                <w:color w:val="2393FF"/>
                <w:vertAlign w:val="superscript"/>
              </w:rPr>
              <w:t>(4)</w:t>
            </w:r>
          </w:p>
        </w:tc>
        <w:tc>
          <w:tcPr>
            <w:tcW w:w="2400" w:type="dxa"/>
            <w:vAlign w:val="bottom"/>
            <w:shd w:val="clear" w:color="auto" w:fill="E8F4FF"/>
          </w:tcPr>
          <w:p>
            <w:pPr>
              <w:jc w:val="center"/>
              <w:ind w:left="41"/>
              <w:spacing w:after="0"/>
              <w:rPr>
                <w:sz w:val="20"/>
                <w:szCs w:val="20"/>
                <w:color w:val="auto"/>
              </w:rPr>
            </w:pPr>
            <w:r>
              <w:rPr>
                <w:rFonts w:ascii="Arial" w:cs="Arial" w:eastAsia="Arial" w:hAnsi="Arial"/>
                <w:sz w:val="12"/>
                <w:szCs w:val="12"/>
                <w:color w:val="auto"/>
              </w:rPr>
              <w:t>6,173,385</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w w:val="94"/>
              </w:rPr>
              <w:t>5.1%</w:t>
            </w:r>
          </w:p>
        </w:tc>
      </w:tr>
      <w:tr>
        <w:trPr>
          <w:trHeight w:val="202"/>
        </w:trPr>
        <w:tc>
          <w:tcPr>
            <w:tcW w:w="4420" w:type="dxa"/>
            <w:vAlign w:val="bottom"/>
            <w:shd w:val="clear" w:color="auto" w:fill="2393FF"/>
          </w:tcPr>
          <w:p>
            <w:pPr>
              <w:ind w:left="60"/>
              <w:spacing w:after="0"/>
              <w:rPr>
                <w:sz w:val="20"/>
                <w:szCs w:val="20"/>
                <w:color w:val="auto"/>
              </w:rPr>
            </w:pPr>
            <w:r>
              <w:rPr>
                <w:rFonts w:ascii="Arial" w:cs="Arial" w:eastAsia="Arial" w:hAnsi="Arial"/>
                <w:sz w:val="12"/>
                <w:szCs w:val="12"/>
                <w:b w:val="1"/>
                <w:bCs w:val="1"/>
                <w:color w:val="FFFFFF"/>
              </w:rPr>
              <w:t>Named Executive Officers and Directors</w:t>
            </w:r>
          </w:p>
        </w:tc>
        <w:tc>
          <w:tcPr>
            <w:tcW w:w="2400" w:type="dxa"/>
            <w:vAlign w:val="bottom"/>
            <w:shd w:val="clear" w:color="auto" w:fill="2393FF"/>
          </w:tcPr>
          <w:p>
            <w:pPr>
              <w:spacing w:after="0"/>
              <w:rPr>
                <w:sz w:val="17"/>
                <w:szCs w:val="17"/>
                <w:color w:val="auto"/>
              </w:rPr>
            </w:pPr>
          </w:p>
        </w:tc>
        <w:tc>
          <w:tcPr>
            <w:tcW w:w="2380" w:type="dxa"/>
            <w:vAlign w:val="bottom"/>
            <w:shd w:val="clear" w:color="auto" w:fill="2393FF"/>
          </w:tcPr>
          <w:p>
            <w:pPr>
              <w:spacing w:after="0"/>
              <w:rPr>
                <w:sz w:val="17"/>
                <w:szCs w:val="17"/>
                <w:color w:val="auto"/>
              </w:rPr>
            </w:pPr>
          </w:p>
        </w:tc>
      </w:tr>
      <w:tr>
        <w:trPr>
          <w:trHeight w:val="69"/>
        </w:trPr>
        <w:tc>
          <w:tcPr>
            <w:tcW w:w="4420" w:type="dxa"/>
            <w:vAlign w:val="bottom"/>
            <w:shd w:val="clear" w:color="auto" w:fill="2393FF"/>
          </w:tcPr>
          <w:p>
            <w:pPr>
              <w:spacing w:after="0"/>
              <w:rPr>
                <w:sz w:val="5"/>
                <w:szCs w:val="5"/>
                <w:color w:val="auto"/>
              </w:rPr>
            </w:pPr>
          </w:p>
        </w:tc>
        <w:tc>
          <w:tcPr>
            <w:tcW w:w="2400" w:type="dxa"/>
            <w:vAlign w:val="bottom"/>
            <w:shd w:val="clear" w:color="auto" w:fill="2393FF"/>
          </w:tcPr>
          <w:p>
            <w:pPr>
              <w:spacing w:after="0"/>
              <w:rPr>
                <w:sz w:val="5"/>
                <w:szCs w:val="5"/>
                <w:color w:val="auto"/>
              </w:rPr>
            </w:pPr>
          </w:p>
        </w:tc>
        <w:tc>
          <w:tcPr>
            <w:tcW w:w="2380" w:type="dxa"/>
            <w:vAlign w:val="bottom"/>
            <w:shd w:val="clear" w:color="auto" w:fill="2393FF"/>
          </w:tcPr>
          <w:p>
            <w:pPr>
              <w:spacing w:after="0"/>
              <w:rPr>
                <w:sz w:val="5"/>
                <w:szCs w:val="5"/>
                <w:color w:val="auto"/>
              </w:rPr>
            </w:pP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Michael Massaro</w:t>
            </w:r>
            <w:r>
              <w:rPr>
                <w:rFonts w:ascii="Arial" w:cs="Arial" w:eastAsia="Arial" w:hAnsi="Arial"/>
                <w:sz w:val="18"/>
                <w:szCs w:val="18"/>
                <w:b w:val="1"/>
                <w:bCs w:val="1"/>
                <w:color w:val="2393FF"/>
                <w:vertAlign w:val="superscript"/>
              </w:rPr>
              <w:t>(5)</w:t>
            </w:r>
          </w:p>
        </w:tc>
        <w:tc>
          <w:tcPr>
            <w:tcW w:w="2400" w:type="dxa"/>
            <w:vAlign w:val="bottom"/>
          </w:tcPr>
          <w:p>
            <w:pPr>
              <w:jc w:val="center"/>
              <w:ind w:left="41"/>
              <w:spacing w:after="0"/>
              <w:rPr>
                <w:sz w:val="20"/>
                <w:szCs w:val="20"/>
                <w:color w:val="auto"/>
              </w:rPr>
            </w:pPr>
            <w:r>
              <w:rPr>
                <w:rFonts w:ascii="Arial" w:cs="Arial" w:eastAsia="Arial" w:hAnsi="Arial"/>
                <w:sz w:val="12"/>
                <w:szCs w:val="12"/>
                <w:color w:val="auto"/>
              </w:rPr>
              <w:t>2,682,235</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w w:val="94"/>
              </w:rPr>
              <w:t>2.2%</w:t>
            </w:r>
          </w:p>
        </w:tc>
      </w:tr>
      <w:tr>
        <w:trPr>
          <w:trHeight w:val="270"/>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Robert Orgel</w:t>
            </w:r>
            <w:r>
              <w:rPr>
                <w:rFonts w:ascii="Arial" w:cs="Arial" w:eastAsia="Arial" w:hAnsi="Arial"/>
                <w:sz w:val="18"/>
                <w:szCs w:val="18"/>
                <w:b w:val="1"/>
                <w:bCs w:val="1"/>
                <w:color w:val="2393FF"/>
                <w:vertAlign w:val="superscript"/>
              </w:rPr>
              <w:t>(6)</w:t>
            </w:r>
          </w:p>
        </w:tc>
        <w:tc>
          <w:tcPr>
            <w:tcW w:w="2400" w:type="dxa"/>
            <w:vAlign w:val="bottom"/>
            <w:shd w:val="clear" w:color="auto" w:fill="E8F4FF"/>
          </w:tcPr>
          <w:p>
            <w:pPr>
              <w:jc w:val="center"/>
              <w:ind w:left="21"/>
              <w:spacing w:after="0"/>
              <w:rPr>
                <w:sz w:val="20"/>
                <w:szCs w:val="20"/>
                <w:color w:val="auto"/>
              </w:rPr>
            </w:pPr>
            <w:r>
              <w:rPr>
                <w:rFonts w:ascii="Arial" w:cs="Arial" w:eastAsia="Arial" w:hAnsi="Arial"/>
                <w:sz w:val="12"/>
                <w:szCs w:val="12"/>
                <w:color w:val="auto"/>
              </w:rPr>
              <w:t>974,098</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Cosmin Pitigoi</w:t>
            </w:r>
            <w:r>
              <w:rPr>
                <w:rFonts w:ascii="Arial" w:cs="Arial" w:eastAsia="Arial" w:hAnsi="Arial"/>
                <w:sz w:val="18"/>
                <w:szCs w:val="18"/>
                <w:b w:val="1"/>
                <w:bCs w:val="1"/>
                <w:color w:val="2393FF"/>
                <w:vertAlign w:val="superscript"/>
              </w:rPr>
              <w:t>(7)</w:t>
            </w:r>
          </w:p>
        </w:tc>
        <w:tc>
          <w:tcPr>
            <w:tcW w:w="2400" w:type="dxa"/>
            <w:vAlign w:val="bottom"/>
          </w:tcPr>
          <w:p>
            <w:pPr>
              <w:jc w:val="center"/>
              <w:ind w:left="21"/>
              <w:spacing w:after="0"/>
              <w:rPr>
                <w:sz w:val="20"/>
                <w:szCs w:val="20"/>
                <w:color w:val="auto"/>
              </w:rPr>
            </w:pPr>
            <w:r>
              <w:rPr>
                <w:rFonts w:ascii="Arial" w:cs="Arial" w:eastAsia="Arial" w:hAnsi="Arial"/>
                <w:sz w:val="12"/>
                <w:szCs w:val="12"/>
                <w:color w:val="auto"/>
              </w:rPr>
              <w:t>245,405</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Peter Butterfield</w:t>
            </w:r>
            <w:r>
              <w:rPr>
                <w:rFonts w:ascii="Arial" w:cs="Arial" w:eastAsia="Arial" w:hAnsi="Arial"/>
                <w:sz w:val="18"/>
                <w:szCs w:val="18"/>
                <w:b w:val="1"/>
                <w:bCs w:val="1"/>
                <w:color w:val="2393FF"/>
                <w:vertAlign w:val="superscript"/>
              </w:rPr>
              <w:t>(8)</w:t>
            </w:r>
          </w:p>
        </w:tc>
        <w:tc>
          <w:tcPr>
            <w:tcW w:w="2400" w:type="dxa"/>
            <w:vAlign w:val="bottom"/>
            <w:shd w:val="clear" w:color="auto" w:fill="E8F4FF"/>
          </w:tcPr>
          <w:p>
            <w:pPr>
              <w:jc w:val="center"/>
              <w:ind w:left="21"/>
              <w:spacing w:after="0"/>
              <w:rPr>
                <w:sz w:val="20"/>
                <w:szCs w:val="20"/>
                <w:color w:val="auto"/>
              </w:rPr>
            </w:pPr>
            <w:r>
              <w:rPr>
                <w:rFonts w:ascii="Arial" w:cs="Arial" w:eastAsia="Arial" w:hAnsi="Arial"/>
                <w:sz w:val="12"/>
                <w:szCs w:val="12"/>
                <w:color w:val="auto"/>
              </w:rPr>
              <w:t>486,074</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David King</w:t>
            </w:r>
            <w:r>
              <w:rPr>
                <w:rFonts w:ascii="Arial" w:cs="Arial" w:eastAsia="Arial" w:hAnsi="Arial"/>
                <w:sz w:val="18"/>
                <w:szCs w:val="18"/>
                <w:b w:val="1"/>
                <w:bCs w:val="1"/>
                <w:color w:val="2393FF"/>
                <w:vertAlign w:val="superscript"/>
              </w:rPr>
              <w:t>(9)</w:t>
            </w:r>
          </w:p>
        </w:tc>
        <w:tc>
          <w:tcPr>
            <w:tcW w:w="2400" w:type="dxa"/>
            <w:vAlign w:val="bottom"/>
          </w:tcPr>
          <w:p>
            <w:pPr>
              <w:jc w:val="center"/>
              <w:ind w:left="21"/>
              <w:spacing w:after="0"/>
              <w:rPr>
                <w:sz w:val="20"/>
                <w:szCs w:val="20"/>
                <w:color w:val="auto"/>
              </w:rPr>
            </w:pPr>
            <w:r>
              <w:rPr>
                <w:rFonts w:ascii="Arial" w:cs="Arial" w:eastAsia="Arial" w:hAnsi="Arial"/>
                <w:sz w:val="12"/>
                <w:szCs w:val="12"/>
                <w:color w:val="auto"/>
              </w:rPr>
              <w:t>836,202</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rPr>
              <w:t>*</w:t>
            </w:r>
          </w:p>
        </w:tc>
      </w:tr>
      <w:tr>
        <w:trPr>
          <w:trHeight w:val="202"/>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Patrick Blanc</w:t>
            </w:r>
          </w:p>
        </w:tc>
        <w:tc>
          <w:tcPr>
            <w:tcW w:w="2400" w:type="dxa"/>
            <w:vAlign w:val="bottom"/>
            <w:shd w:val="clear" w:color="auto" w:fill="E8F4FF"/>
          </w:tcPr>
          <w:p>
            <w:pPr>
              <w:jc w:val="center"/>
              <w:ind w:left="21"/>
              <w:spacing w:after="0"/>
              <w:rPr>
                <w:sz w:val="20"/>
                <w:szCs w:val="20"/>
                <w:color w:val="auto"/>
              </w:rPr>
            </w:pPr>
            <w:r>
              <w:rPr>
                <w:rFonts w:ascii="Arial" w:cs="Arial" w:eastAsia="Arial" w:hAnsi="Arial"/>
                <w:sz w:val="12"/>
                <w:szCs w:val="12"/>
                <w:color w:val="auto"/>
                <w:w w:val="99"/>
              </w:rPr>
              <w:t>—</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rPr>
              <w:t>*</w:t>
            </w:r>
          </w:p>
        </w:tc>
      </w:tr>
      <w:tr>
        <w:trPr>
          <w:trHeight w:val="69"/>
        </w:trPr>
        <w:tc>
          <w:tcPr>
            <w:tcW w:w="4420" w:type="dxa"/>
            <w:vAlign w:val="bottom"/>
            <w:shd w:val="clear" w:color="auto" w:fill="E8F4FF"/>
          </w:tcPr>
          <w:p>
            <w:pPr>
              <w:spacing w:after="0"/>
              <w:rPr>
                <w:sz w:val="5"/>
                <w:szCs w:val="5"/>
                <w:color w:val="auto"/>
              </w:rPr>
            </w:pPr>
          </w:p>
        </w:tc>
        <w:tc>
          <w:tcPr>
            <w:tcW w:w="2400" w:type="dxa"/>
            <w:vAlign w:val="bottom"/>
            <w:shd w:val="clear" w:color="auto" w:fill="E8F4FF"/>
          </w:tcPr>
          <w:p>
            <w:pPr>
              <w:spacing w:after="0"/>
              <w:rPr>
                <w:sz w:val="5"/>
                <w:szCs w:val="5"/>
                <w:color w:val="auto"/>
              </w:rPr>
            </w:pPr>
          </w:p>
        </w:tc>
        <w:tc>
          <w:tcPr>
            <w:tcW w:w="2380" w:type="dxa"/>
            <w:vAlign w:val="bottom"/>
            <w:shd w:val="clear" w:color="auto" w:fill="E8F4FF"/>
          </w:tcPr>
          <w:p>
            <w:pPr>
              <w:spacing w:after="0"/>
              <w:rPr>
                <w:sz w:val="5"/>
                <w:szCs w:val="5"/>
                <w:color w:val="auto"/>
              </w:rPr>
            </w:pP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Mohit Kansal</w:t>
            </w:r>
            <w:r>
              <w:rPr>
                <w:rFonts w:ascii="Arial" w:cs="Arial" w:eastAsia="Arial" w:hAnsi="Arial"/>
                <w:sz w:val="18"/>
                <w:szCs w:val="18"/>
                <w:b w:val="1"/>
                <w:bCs w:val="1"/>
                <w:color w:val="2393FF"/>
                <w:vertAlign w:val="superscript"/>
              </w:rPr>
              <w:t>(10)</w:t>
            </w:r>
          </w:p>
        </w:tc>
        <w:tc>
          <w:tcPr>
            <w:tcW w:w="2400" w:type="dxa"/>
            <w:vAlign w:val="bottom"/>
          </w:tcPr>
          <w:p>
            <w:pPr>
              <w:jc w:val="center"/>
              <w:ind w:left="21"/>
              <w:spacing w:after="0"/>
              <w:rPr>
                <w:sz w:val="20"/>
                <w:szCs w:val="20"/>
                <w:color w:val="auto"/>
              </w:rPr>
            </w:pPr>
            <w:r>
              <w:rPr>
                <w:rFonts w:ascii="Arial" w:cs="Arial" w:eastAsia="Arial" w:hAnsi="Arial"/>
                <w:sz w:val="12"/>
                <w:szCs w:val="12"/>
                <w:color w:val="auto"/>
              </w:rPr>
              <w:t>177,040</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Alex Finkelstein</w:t>
            </w:r>
            <w:r>
              <w:rPr>
                <w:rFonts w:ascii="Arial" w:cs="Arial" w:eastAsia="Arial" w:hAnsi="Arial"/>
                <w:sz w:val="18"/>
                <w:szCs w:val="18"/>
                <w:b w:val="1"/>
                <w:bCs w:val="1"/>
                <w:color w:val="2393FF"/>
                <w:vertAlign w:val="superscript"/>
              </w:rPr>
              <w:t>(11)</w:t>
            </w:r>
          </w:p>
        </w:tc>
        <w:tc>
          <w:tcPr>
            <w:tcW w:w="2400" w:type="dxa"/>
            <w:vAlign w:val="bottom"/>
            <w:shd w:val="clear" w:color="auto" w:fill="E8F4FF"/>
          </w:tcPr>
          <w:p>
            <w:pPr>
              <w:jc w:val="center"/>
              <w:ind w:left="21"/>
              <w:spacing w:after="0"/>
              <w:rPr>
                <w:sz w:val="20"/>
                <w:szCs w:val="20"/>
                <w:color w:val="auto"/>
              </w:rPr>
            </w:pPr>
            <w:r>
              <w:rPr>
                <w:rFonts w:ascii="Arial" w:cs="Arial" w:eastAsia="Arial" w:hAnsi="Arial"/>
                <w:sz w:val="12"/>
                <w:szCs w:val="12"/>
                <w:color w:val="auto"/>
              </w:rPr>
              <w:t>259,273</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Matthew Harris</w:t>
            </w:r>
            <w:r>
              <w:rPr>
                <w:rFonts w:ascii="Arial" w:cs="Arial" w:eastAsia="Arial" w:hAnsi="Arial"/>
                <w:sz w:val="18"/>
                <w:szCs w:val="18"/>
                <w:b w:val="1"/>
                <w:bCs w:val="1"/>
                <w:color w:val="2393FF"/>
                <w:vertAlign w:val="superscript"/>
              </w:rPr>
              <w:t>(12)</w:t>
            </w:r>
          </w:p>
        </w:tc>
        <w:tc>
          <w:tcPr>
            <w:tcW w:w="2400" w:type="dxa"/>
            <w:vAlign w:val="bottom"/>
          </w:tcPr>
          <w:p>
            <w:pPr>
              <w:jc w:val="center"/>
              <w:ind w:left="21"/>
              <w:spacing w:after="0"/>
              <w:rPr>
                <w:sz w:val="20"/>
                <w:szCs w:val="20"/>
                <w:color w:val="auto"/>
              </w:rPr>
            </w:pPr>
            <w:r>
              <w:rPr>
                <w:rFonts w:ascii="Arial" w:cs="Arial" w:eastAsia="Arial" w:hAnsi="Arial"/>
                <w:sz w:val="12"/>
                <w:szCs w:val="12"/>
                <w:color w:val="auto"/>
                <w:w w:val="97"/>
              </w:rPr>
              <w:t>27,456</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Gretchen Howard</w:t>
            </w:r>
            <w:r>
              <w:rPr>
                <w:rFonts w:ascii="Arial" w:cs="Arial" w:eastAsia="Arial" w:hAnsi="Arial"/>
                <w:sz w:val="18"/>
                <w:szCs w:val="18"/>
                <w:b w:val="1"/>
                <w:bCs w:val="1"/>
                <w:color w:val="2393FF"/>
                <w:vertAlign w:val="superscript"/>
              </w:rPr>
              <w:t>(13)</w:t>
            </w:r>
          </w:p>
        </w:tc>
        <w:tc>
          <w:tcPr>
            <w:tcW w:w="2400" w:type="dxa"/>
            <w:vAlign w:val="bottom"/>
            <w:shd w:val="clear" w:color="auto" w:fill="E8F4FF"/>
          </w:tcPr>
          <w:p>
            <w:pPr>
              <w:jc w:val="center"/>
              <w:ind w:left="21"/>
              <w:spacing w:after="0"/>
              <w:rPr>
                <w:sz w:val="20"/>
                <w:szCs w:val="20"/>
                <w:color w:val="auto"/>
              </w:rPr>
            </w:pPr>
            <w:r>
              <w:rPr>
                <w:rFonts w:ascii="Arial" w:cs="Arial" w:eastAsia="Arial" w:hAnsi="Arial"/>
                <w:sz w:val="12"/>
                <w:szCs w:val="12"/>
                <w:color w:val="auto"/>
                <w:w w:val="97"/>
              </w:rPr>
              <w:t>43,955</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Carleigh Jaques</w:t>
            </w:r>
            <w:r>
              <w:rPr>
                <w:rFonts w:ascii="Arial" w:cs="Arial" w:eastAsia="Arial" w:hAnsi="Arial"/>
                <w:sz w:val="18"/>
                <w:szCs w:val="18"/>
                <w:b w:val="1"/>
                <w:bCs w:val="1"/>
                <w:color w:val="2393FF"/>
                <w:vertAlign w:val="superscript"/>
              </w:rPr>
              <w:t>(14)</w:t>
            </w:r>
          </w:p>
        </w:tc>
        <w:tc>
          <w:tcPr>
            <w:tcW w:w="2400" w:type="dxa"/>
            <w:vAlign w:val="bottom"/>
          </w:tcPr>
          <w:p>
            <w:pPr>
              <w:jc w:val="center"/>
              <w:ind w:left="21"/>
              <w:spacing w:after="0"/>
              <w:rPr>
                <w:sz w:val="20"/>
                <w:szCs w:val="20"/>
                <w:color w:val="auto"/>
              </w:rPr>
            </w:pPr>
            <w:r>
              <w:rPr>
                <w:rFonts w:ascii="Arial" w:cs="Arial" w:eastAsia="Arial" w:hAnsi="Arial"/>
                <w:sz w:val="12"/>
                <w:szCs w:val="12"/>
                <w:color w:val="auto"/>
                <w:w w:val="97"/>
              </w:rPr>
              <w:t>22,191</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rPr>
              <w:t>*</w:t>
            </w:r>
          </w:p>
        </w:tc>
      </w:tr>
      <w:tr>
        <w:trPr>
          <w:trHeight w:val="202"/>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Christine Katziff</w:t>
            </w:r>
          </w:p>
        </w:tc>
        <w:tc>
          <w:tcPr>
            <w:tcW w:w="2400" w:type="dxa"/>
            <w:vAlign w:val="bottom"/>
            <w:shd w:val="clear" w:color="auto" w:fill="E8F4FF"/>
          </w:tcPr>
          <w:p>
            <w:pPr>
              <w:jc w:val="center"/>
              <w:ind w:left="21"/>
              <w:spacing w:after="0"/>
              <w:rPr>
                <w:sz w:val="20"/>
                <w:szCs w:val="20"/>
                <w:color w:val="auto"/>
              </w:rPr>
            </w:pPr>
            <w:r>
              <w:rPr>
                <w:rFonts w:ascii="Arial" w:cs="Arial" w:eastAsia="Arial" w:hAnsi="Arial"/>
                <w:sz w:val="12"/>
                <w:szCs w:val="12"/>
                <w:color w:val="auto"/>
                <w:w w:val="99"/>
              </w:rPr>
              <w:t>—</w:t>
            </w:r>
          </w:p>
        </w:tc>
        <w:tc>
          <w:tcPr>
            <w:tcW w:w="2380" w:type="dxa"/>
            <w:vAlign w:val="bottom"/>
            <w:shd w:val="clear" w:color="auto" w:fill="E8F4FF"/>
          </w:tcPr>
          <w:p>
            <w:pPr>
              <w:spacing w:after="0"/>
              <w:rPr>
                <w:sz w:val="17"/>
                <w:szCs w:val="17"/>
                <w:color w:val="auto"/>
              </w:rPr>
            </w:pPr>
          </w:p>
        </w:tc>
      </w:tr>
      <w:tr>
        <w:trPr>
          <w:trHeight w:val="69"/>
        </w:trPr>
        <w:tc>
          <w:tcPr>
            <w:tcW w:w="4420" w:type="dxa"/>
            <w:vAlign w:val="bottom"/>
            <w:shd w:val="clear" w:color="auto" w:fill="E8F4FF"/>
          </w:tcPr>
          <w:p>
            <w:pPr>
              <w:spacing w:after="0"/>
              <w:rPr>
                <w:sz w:val="5"/>
                <w:szCs w:val="5"/>
                <w:color w:val="auto"/>
              </w:rPr>
            </w:pPr>
          </w:p>
        </w:tc>
        <w:tc>
          <w:tcPr>
            <w:tcW w:w="2400" w:type="dxa"/>
            <w:vAlign w:val="bottom"/>
            <w:shd w:val="clear" w:color="auto" w:fill="E8F4FF"/>
          </w:tcPr>
          <w:p>
            <w:pPr>
              <w:spacing w:after="0"/>
              <w:rPr>
                <w:sz w:val="5"/>
                <w:szCs w:val="5"/>
                <w:color w:val="auto"/>
              </w:rPr>
            </w:pPr>
          </w:p>
        </w:tc>
        <w:tc>
          <w:tcPr>
            <w:tcW w:w="2380" w:type="dxa"/>
            <w:vAlign w:val="bottom"/>
            <w:shd w:val="clear" w:color="auto" w:fill="E8F4FF"/>
          </w:tcPr>
          <w:p>
            <w:pPr>
              <w:spacing w:after="0"/>
              <w:rPr>
                <w:sz w:val="5"/>
                <w:szCs w:val="5"/>
                <w:color w:val="auto"/>
              </w:rPr>
            </w:pP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Diane Offereins</w:t>
            </w:r>
            <w:r>
              <w:rPr>
                <w:rFonts w:ascii="Arial" w:cs="Arial" w:eastAsia="Arial" w:hAnsi="Arial"/>
                <w:sz w:val="18"/>
                <w:szCs w:val="18"/>
                <w:b w:val="1"/>
                <w:bCs w:val="1"/>
                <w:color w:val="2393FF"/>
                <w:vertAlign w:val="superscript"/>
              </w:rPr>
              <w:t>(15)</w:t>
            </w:r>
          </w:p>
        </w:tc>
        <w:tc>
          <w:tcPr>
            <w:tcW w:w="2400" w:type="dxa"/>
            <w:vAlign w:val="bottom"/>
          </w:tcPr>
          <w:p>
            <w:pPr>
              <w:jc w:val="center"/>
              <w:ind w:left="21"/>
              <w:spacing w:after="0"/>
              <w:rPr>
                <w:sz w:val="20"/>
                <w:szCs w:val="20"/>
                <w:color w:val="auto"/>
              </w:rPr>
            </w:pPr>
            <w:r>
              <w:rPr>
                <w:rFonts w:ascii="Arial" w:cs="Arial" w:eastAsia="Arial" w:hAnsi="Arial"/>
                <w:sz w:val="12"/>
                <w:szCs w:val="12"/>
                <w:color w:val="auto"/>
                <w:w w:val="97"/>
              </w:rPr>
              <w:t>47,219</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shd w:val="clear" w:color="auto" w:fill="E8F4FF"/>
          </w:tcPr>
          <w:p>
            <w:pPr>
              <w:ind w:left="60"/>
              <w:spacing w:after="0"/>
              <w:rPr>
                <w:sz w:val="20"/>
                <w:szCs w:val="20"/>
                <w:color w:val="auto"/>
              </w:rPr>
            </w:pPr>
            <w:r>
              <w:rPr>
                <w:rFonts w:ascii="Arial" w:cs="Arial" w:eastAsia="Arial" w:hAnsi="Arial"/>
                <w:sz w:val="12"/>
                <w:szCs w:val="12"/>
                <w:b w:val="1"/>
                <w:bCs w:val="1"/>
                <w:color w:val="2393FF"/>
              </w:rPr>
              <w:t>Phillip Riese</w:t>
            </w:r>
            <w:r>
              <w:rPr>
                <w:rFonts w:ascii="Arial" w:cs="Arial" w:eastAsia="Arial" w:hAnsi="Arial"/>
                <w:sz w:val="18"/>
                <w:szCs w:val="18"/>
                <w:b w:val="1"/>
                <w:bCs w:val="1"/>
                <w:color w:val="2393FF"/>
                <w:vertAlign w:val="superscript"/>
              </w:rPr>
              <w:t>(16)</w:t>
            </w:r>
          </w:p>
        </w:tc>
        <w:tc>
          <w:tcPr>
            <w:tcW w:w="2400" w:type="dxa"/>
            <w:vAlign w:val="bottom"/>
            <w:shd w:val="clear" w:color="auto" w:fill="E8F4FF"/>
          </w:tcPr>
          <w:p>
            <w:pPr>
              <w:jc w:val="center"/>
              <w:ind w:left="21"/>
              <w:spacing w:after="0"/>
              <w:rPr>
                <w:sz w:val="20"/>
                <w:szCs w:val="20"/>
                <w:color w:val="auto"/>
              </w:rPr>
            </w:pPr>
            <w:r>
              <w:rPr>
                <w:rFonts w:ascii="Arial" w:cs="Arial" w:eastAsia="Arial" w:hAnsi="Arial"/>
                <w:sz w:val="12"/>
                <w:szCs w:val="12"/>
                <w:color w:val="auto"/>
              </w:rPr>
              <w:t>415,414</w:t>
            </w:r>
          </w:p>
        </w:tc>
        <w:tc>
          <w:tcPr>
            <w:tcW w:w="2380" w:type="dxa"/>
            <w:vAlign w:val="bottom"/>
            <w:shd w:val="clear" w:color="auto" w:fill="E8F4FF"/>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tcPr>
          <w:p>
            <w:pPr>
              <w:ind w:left="60"/>
              <w:spacing w:after="0"/>
              <w:rPr>
                <w:sz w:val="20"/>
                <w:szCs w:val="20"/>
                <w:color w:val="auto"/>
              </w:rPr>
            </w:pPr>
            <w:r>
              <w:rPr>
                <w:rFonts w:ascii="Arial" w:cs="Arial" w:eastAsia="Arial" w:hAnsi="Arial"/>
                <w:sz w:val="12"/>
                <w:szCs w:val="12"/>
                <w:b w:val="1"/>
                <w:bCs w:val="1"/>
                <w:color w:val="2393FF"/>
              </w:rPr>
              <w:t>Edwin Santos</w:t>
            </w:r>
            <w:r>
              <w:rPr>
                <w:rFonts w:ascii="Arial" w:cs="Arial" w:eastAsia="Arial" w:hAnsi="Arial"/>
                <w:sz w:val="18"/>
                <w:szCs w:val="18"/>
                <w:b w:val="1"/>
                <w:bCs w:val="1"/>
                <w:color w:val="2393FF"/>
                <w:vertAlign w:val="superscript"/>
              </w:rPr>
              <w:t>(17)</w:t>
            </w:r>
          </w:p>
        </w:tc>
        <w:tc>
          <w:tcPr>
            <w:tcW w:w="2400" w:type="dxa"/>
            <w:vAlign w:val="bottom"/>
          </w:tcPr>
          <w:p>
            <w:pPr>
              <w:jc w:val="center"/>
              <w:ind w:left="21"/>
              <w:spacing w:after="0"/>
              <w:rPr>
                <w:sz w:val="20"/>
                <w:szCs w:val="20"/>
                <w:color w:val="auto"/>
              </w:rPr>
            </w:pPr>
            <w:r>
              <w:rPr>
                <w:rFonts w:ascii="Arial" w:cs="Arial" w:eastAsia="Arial" w:hAnsi="Arial"/>
                <w:sz w:val="12"/>
                <w:szCs w:val="12"/>
                <w:color w:val="auto"/>
                <w:w w:val="97"/>
              </w:rPr>
              <w:t>16,990</w:t>
            </w:r>
          </w:p>
        </w:tc>
        <w:tc>
          <w:tcPr>
            <w:tcW w:w="2380" w:type="dxa"/>
            <w:vAlign w:val="bottom"/>
          </w:tcPr>
          <w:p>
            <w:pPr>
              <w:jc w:val="center"/>
              <w:ind w:left="20"/>
              <w:spacing w:after="0"/>
              <w:rPr>
                <w:sz w:val="20"/>
                <w:szCs w:val="20"/>
                <w:color w:val="auto"/>
              </w:rPr>
            </w:pPr>
            <w:r>
              <w:rPr>
                <w:rFonts w:ascii="Arial" w:cs="Arial" w:eastAsia="Arial" w:hAnsi="Arial"/>
                <w:sz w:val="12"/>
                <w:szCs w:val="12"/>
                <w:color w:val="auto"/>
              </w:rPr>
              <w:t>*</w:t>
            </w:r>
          </w:p>
        </w:tc>
      </w:tr>
      <w:tr>
        <w:trPr>
          <w:trHeight w:val="270"/>
        </w:trPr>
        <w:tc>
          <w:tcPr>
            <w:tcW w:w="4420" w:type="dxa"/>
            <w:vAlign w:val="bottom"/>
            <w:tcBorders>
              <w:bottom w:val="single" w:sz="8" w:color="2393FF"/>
            </w:tcBorders>
            <w:shd w:val="clear" w:color="auto" w:fill="E8F4FF"/>
          </w:tcPr>
          <w:p>
            <w:pPr>
              <w:ind w:left="60"/>
              <w:spacing w:after="0"/>
              <w:rPr>
                <w:sz w:val="20"/>
                <w:szCs w:val="20"/>
                <w:color w:val="auto"/>
              </w:rPr>
            </w:pPr>
            <w:r>
              <w:rPr>
                <w:rFonts w:ascii="Arial" w:cs="Arial" w:eastAsia="Arial" w:hAnsi="Arial"/>
                <w:sz w:val="12"/>
                <w:szCs w:val="12"/>
                <w:b w:val="1"/>
                <w:bCs w:val="1"/>
                <w:color w:val="2393FF"/>
              </w:rPr>
              <w:t>All current executive officers and directors as a group (15 persons)</w:t>
            </w:r>
            <w:r>
              <w:rPr>
                <w:rFonts w:ascii="Arial" w:cs="Arial" w:eastAsia="Arial" w:hAnsi="Arial"/>
                <w:sz w:val="18"/>
                <w:szCs w:val="18"/>
                <w:b w:val="1"/>
                <w:bCs w:val="1"/>
                <w:color w:val="2393FF"/>
                <w:vertAlign w:val="superscript"/>
              </w:rPr>
              <w:t>(18)</w:t>
            </w:r>
          </w:p>
        </w:tc>
        <w:tc>
          <w:tcPr>
            <w:tcW w:w="2400" w:type="dxa"/>
            <w:vAlign w:val="bottom"/>
            <w:tcBorders>
              <w:bottom w:val="single" w:sz="8" w:color="2393FF"/>
            </w:tcBorders>
            <w:shd w:val="clear" w:color="auto" w:fill="E8F4FF"/>
          </w:tcPr>
          <w:p>
            <w:pPr>
              <w:jc w:val="center"/>
              <w:ind w:left="41"/>
              <w:spacing w:after="0"/>
              <w:rPr>
                <w:sz w:val="20"/>
                <w:szCs w:val="20"/>
                <w:color w:val="auto"/>
              </w:rPr>
            </w:pPr>
            <w:r>
              <w:rPr>
                <w:rFonts w:ascii="Arial" w:cs="Arial" w:eastAsia="Arial" w:hAnsi="Arial"/>
                <w:sz w:val="12"/>
                <w:szCs w:val="12"/>
                <w:color w:val="auto"/>
              </w:rPr>
              <w:t>6,233,552</w:t>
            </w:r>
          </w:p>
        </w:tc>
        <w:tc>
          <w:tcPr>
            <w:tcW w:w="2380" w:type="dxa"/>
            <w:vAlign w:val="bottom"/>
            <w:tcBorders>
              <w:bottom w:val="single" w:sz="8" w:color="2393FF"/>
            </w:tcBorders>
            <w:shd w:val="clear" w:color="auto" w:fill="E8F4FF"/>
          </w:tcPr>
          <w:p>
            <w:pPr>
              <w:jc w:val="center"/>
              <w:ind w:left="20"/>
              <w:spacing w:after="0"/>
              <w:rPr>
                <w:sz w:val="20"/>
                <w:szCs w:val="20"/>
                <w:color w:val="auto"/>
              </w:rPr>
            </w:pPr>
            <w:r>
              <w:rPr>
                <w:rFonts w:ascii="Arial" w:cs="Arial" w:eastAsia="Arial" w:hAnsi="Arial"/>
                <w:sz w:val="12"/>
                <w:szCs w:val="12"/>
                <w:color w:val="auto"/>
                <w:w w:val="94"/>
              </w:rPr>
              <w:t>5.0%</w:t>
            </w:r>
          </w:p>
        </w:tc>
      </w:tr>
    </w:tbl>
    <w:p>
      <w:pPr>
        <w:spacing w:after="0" w:line="53" w:lineRule="exact"/>
        <w:rPr>
          <w:sz w:val="20"/>
          <w:szCs w:val="20"/>
          <w:color w:val="auto"/>
        </w:rPr>
      </w:pPr>
    </w:p>
    <w:p>
      <w:pPr>
        <w:ind w:left="1480" w:hanging="453"/>
        <w:spacing w:after="0"/>
        <w:tabs>
          <w:tab w:leader="none" w:pos="1480" w:val="left"/>
        </w:tabs>
        <w:numPr>
          <w:ilvl w:val="0"/>
          <w:numId w:val="93"/>
        </w:numPr>
        <w:rPr>
          <w:rFonts w:ascii="Arial" w:cs="Arial" w:eastAsia="Arial" w:hAnsi="Arial"/>
          <w:sz w:val="11"/>
          <w:szCs w:val="11"/>
          <w:color w:val="333333"/>
        </w:rPr>
      </w:pPr>
      <w:r>
        <w:rPr>
          <w:rFonts w:ascii="Arial" w:cs="Arial" w:eastAsia="Arial" w:hAnsi="Arial"/>
          <w:sz w:val="11"/>
          <w:szCs w:val="11"/>
          <w:color w:val="333333"/>
        </w:rPr>
        <w:t>Less than 1% of the outstanding shares of voting common stock.</w:t>
      </w:r>
    </w:p>
    <w:p>
      <w:pPr>
        <w:spacing w:after="0" w:line="88" w:lineRule="exact"/>
        <w:rPr>
          <w:sz w:val="20"/>
          <w:szCs w:val="20"/>
          <w:color w:val="auto"/>
        </w:rPr>
      </w:pPr>
    </w:p>
    <w:p>
      <w:pPr>
        <w:ind w:left="1480" w:hanging="453"/>
        <w:spacing w:after="0" w:line="220" w:lineRule="auto"/>
        <w:tabs>
          <w:tab w:leader="none" w:pos="1480" w:val="left"/>
        </w:tabs>
        <w:numPr>
          <w:ilvl w:val="0"/>
          <w:numId w:val="94"/>
        </w:numPr>
        <w:rPr>
          <w:rFonts w:ascii="Arial" w:cs="Arial" w:eastAsia="Arial" w:hAnsi="Arial"/>
          <w:sz w:val="11"/>
          <w:szCs w:val="11"/>
          <w:color w:val="333333"/>
        </w:rPr>
      </w:pPr>
      <w:r>
        <w:rPr>
          <w:rFonts w:ascii="Arial" w:cs="Arial" w:eastAsia="Arial" w:hAnsi="Arial"/>
          <w:sz w:val="11"/>
          <w:szCs w:val="11"/>
          <w:color w:val="333333"/>
        </w:rPr>
        <w:t>Consists of (i) 2,275,000 shares of voting common stock beneficially owned by Voss Value Master Fund, L.P. (“Voss Value Master Fund”), (ii) 375,000 shares of voting common stock beneficially owned by Voss Value-Oriented Special Situations Fund, L.P. (“Voss Value-Oriented Special Situations Fund”) and (iii) 9,670,000 shares of voting common stock held in certain accounts (the “Voss Managed Accounts”) managed by Voss Capital, L.P. (“Voss Capital”).Voss Capital, as the investment manager of Voss Value Master Fund, Voss Value-Oriented Special Situations Fund and the Voss Managed Accounts, may be deemed the beneficial owner of the shares held by Voss Value Master Fund, Voss Value-Oriented Special Situations Fund and the Voss Managed Accounts. Travis W. Cocke, as the managing member of each of Voss Capital and Voss Advisors GP, LLC, may be deemed the beneficial owner of the shares held by Voss Value Master Fund, Voss Value-Oriented Special Situations Fund and the Voss Managed Accounts. The address of each of Mr. Cocke, Voss Value Master Fund, Voss Value-Oriented Special Situations Fund, Voss GP and Voss Capital is 3773 Richmond, Suite 850 Houston, Texas 77046. The foregoing information in this footnote is based on a Schedule 13G/A filed Voss Capital on January 7, 2026.</w:t>
      </w:r>
    </w:p>
    <w:p>
      <w:pPr>
        <w:spacing w:after="0" w:line="75" w:lineRule="exact"/>
        <w:rPr>
          <w:rFonts w:ascii="Arial" w:cs="Arial" w:eastAsia="Arial" w:hAnsi="Arial"/>
          <w:sz w:val="11"/>
          <w:szCs w:val="11"/>
          <w:color w:val="333333"/>
        </w:rPr>
      </w:pPr>
    </w:p>
    <w:p>
      <w:pPr>
        <w:ind w:left="1480" w:hanging="453"/>
        <w:spacing w:after="0" w:line="281" w:lineRule="auto"/>
        <w:tabs>
          <w:tab w:leader="none" w:pos="1480" w:val="left"/>
        </w:tabs>
        <w:numPr>
          <w:ilvl w:val="0"/>
          <w:numId w:val="94"/>
        </w:numPr>
        <w:rPr>
          <w:rFonts w:ascii="Arial" w:cs="Arial" w:eastAsia="Arial" w:hAnsi="Arial"/>
          <w:sz w:val="9"/>
          <w:szCs w:val="9"/>
          <w:color w:val="333333"/>
        </w:rPr>
      </w:pPr>
      <w:r>
        <w:rPr>
          <w:rFonts w:ascii="Arial" w:cs="Arial" w:eastAsia="Arial" w:hAnsi="Arial"/>
          <w:sz w:val="9"/>
          <w:szCs w:val="9"/>
          <w:color w:val="333333"/>
        </w:rPr>
        <w:t>Consists of shares of our common stock held by Cadian Master Fund L.P. and Cadian Opportunities Master Fund LP (collectively, the “Advisory Clients”), advisory clients of Cadian Capital Management, LP (the “Adviser”). Pursuant to Investment Management Agreements between the Advisory Clients and the Adviser, the Adviser exercises exclusive voting and investment power over securities directly held by the Advisory Clients. Cadian Capital Management GP, LLC is the general partner of the Adviser. Eric Bannasch is the sole managing member of Cadian Capital Management GP, LLC The business address of each of Cadian Capital Management, LP, Cadian Capital Management GP, LLC, and Eric Bannasch is 535 Madison Avenue, 36th Floor, New York, New York 10022. The foregoing information in this footnote is based on a Schedule 13G/A filed by the Adviser on February 17, 2026.</w:t>
      </w:r>
    </w:p>
    <w:p>
      <w:pPr>
        <w:spacing w:after="0" w:line="82"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51 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71" w:lineRule="exact"/>
        <w:rPr>
          <w:sz w:val="20"/>
          <w:szCs w:val="20"/>
          <w:color w:val="auto"/>
        </w:rPr>
      </w:pPr>
    </w:p>
    <w:p>
      <w:pPr>
        <w:ind w:left="1480" w:right="180" w:hanging="453"/>
        <w:spacing w:after="0" w:line="344" w:lineRule="auto"/>
        <w:tabs>
          <w:tab w:leader="none" w:pos="1480" w:val="left"/>
        </w:tabs>
        <w:numPr>
          <w:ilvl w:val="0"/>
          <w:numId w:val="95"/>
        </w:numPr>
        <w:rPr>
          <w:rFonts w:ascii="Arial" w:cs="Arial" w:eastAsia="Arial" w:hAnsi="Arial"/>
          <w:sz w:val="9"/>
          <w:szCs w:val="9"/>
          <w:color w:val="333333"/>
        </w:rPr>
      </w:pPr>
      <w:r>
        <w:rPr>
          <w:rFonts w:ascii="Arial" w:cs="Arial" w:eastAsia="Arial" w:hAnsi="Arial"/>
          <w:sz w:val="9"/>
          <w:szCs w:val="9"/>
          <w:color w:val="333333"/>
        </w:rPr>
        <w:t>Consists of shares of our common stock held by BlackRock, Inc. BlackRock, Inc. has the sole power to vote or direct the vote with respect to all of such shares. The business address of BlackRock, Inc. is 50 Hudson Yards New York, NY 10001. The foregoing information in this footnote is based on a Schedule 13G filed by BlackRock, Inc. on January 29, 2024.</w:t>
      </w:r>
    </w:p>
    <w:p>
      <w:pPr>
        <w:spacing w:after="0" w:line="30" w:lineRule="exact"/>
        <w:rPr>
          <w:rFonts w:ascii="Arial" w:cs="Arial" w:eastAsia="Arial" w:hAnsi="Arial"/>
          <w:sz w:val="9"/>
          <w:szCs w:val="9"/>
          <w:color w:val="333333"/>
        </w:rPr>
      </w:pPr>
    </w:p>
    <w:p>
      <w:pPr>
        <w:ind w:left="1480" w:right="140" w:hanging="453"/>
        <w:spacing w:after="0" w:line="222"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These securities are held by Ossa Investments Pte. Ltd. Ossa Investments Pte. Ltd. is a direct wholly-owned subsidiary of Hotham Investments Pte Ltd (Hotham), which in turn is a direct wholly-owned subsidiary of Fullerton Management Pte Ltd (Fullerton), which in turn is a direct wholly-owned subsidiary of Temasek Holdings (Private) Limited (Temasek). In such capacities, each of Hotham, Fullerton and Temasek may be deemed to have voting and dispositive power over the shares held by Ossa Investments Pte. Ltd. Ossa Investments Pte. Ltd. also owns 1,873,320 shares of our non-voting common stock. The address for Ossa Investments Pte. Ltd., Fullerton and Temasek is 60B Orchard Road #06-18 Tower 2, The Atrium@Orchard, Singapore 238891. The foregoing information in this footnote is based on a Schedule 13G/A filed by Ossa Investments Pte. Ltd, Temasek Holdings (Private) Limited, Hotham Investments Pte Ltd and Fullerton Management Pte Ltd, on January 30, 2026.</w:t>
      </w:r>
    </w:p>
    <w:p>
      <w:pPr>
        <w:spacing w:after="0" w:line="75" w:lineRule="exact"/>
        <w:rPr>
          <w:rFonts w:ascii="Arial" w:cs="Arial" w:eastAsia="Arial" w:hAnsi="Arial"/>
          <w:sz w:val="11"/>
          <w:szCs w:val="11"/>
          <w:color w:val="333333"/>
        </w:rPr>
      </w:pPr>
    </w:p>
    <w:p>
      <w:pPr>
        <w:ind w:left="1480" w:right="40" w:hanging="453"/>
        <w:spacing w:after="0" w:line="238"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options to purchase 847,050 shares of common stock held by Mr. Massaro that may be exercised within 60 days of the Record Date and 86,927 shares underlying restricted stock unit awards held by Mr. Massaro which may vest within 60 days of the Record Date.</w:t>
      </w:r>
    </w:p>
    <w:p>
      <w:pPr>
        <w:spacing w:after="0" w:line="75" w:lineRule="exact"/>
        <w:rPr>
          <w:rFonts w:ascii="Arial" w:cs="Arial" w:eastAsia="Arial" w:hAnsi="Arial"/>
          <w:sz w:val="11"/>
          <w:szCs w:val="11"/>
          <w:color w:val="333333"/>
        </w:rPr>
      </w:pPr>
    </w:p>
    <w:p>
      <w:pPr>
        <w:ind w:left="1480" w:right="200" w:hanging="453"/>
        <w:spacing w:after="0" w:line="238"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options to purchase 619,115 shares of common stock held by Mr. Orgel that may be exercised within 60 days of the Record Date and 49,573 shares underlying restricted stock unit awards held by Mr. Orgel which may vest within 60 days of the Record Date.</w:t>
      </w:r>
    </w:p>
    <w:p>
      <w:pPr>
        <w:spacing w:after="0" w:line="75" w:lineRule="exact"/>
        <w:rPr>
          <w:rFonts w:ascii="Arial" w:cs="Arial" w:eastAsia="Arial" w:hAnsi="Arial"/>
          <w:sz w:val="11"/>
          <w:szCs w:val="11"/>
          <w:color w:val="333333"/>
        </w:rPr>
      </w:pPr>
    </w:p>
    <w:p>
      <w:pPr>
        <w:ind w:left="1480" w:hanging="453"/>
        <w:spacing w:after="0"/>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42,610 shares underlying restricted stock unit awards held by Mr. Pitigoi which may vest within 60 days of the Record Date.</w:t>
      </w:r>
    </w:p>
    <w:p>
      <w:pPr>
        <w:spacing w:after="0" w:line="87" w:lineRule="exact"/>
        <w:rPr>
          <w:rFonts w:ascii="Arial" w:cs="Arial" w:eastAsia="Arial" w:hAnsi="Arial"/>
          <w:sz w:val="11"/>
          <w:szCs w:val="11"/>
          <w:color w:val="333333"/>
        </w:rPr>
      </w:pPr>
    </w:p>
    <w:p>
      <w:pPr>
        <w:ind w:left="1480" w:right="240" w:hanging="453"/>
        <w:spacing w:after="0" w:line="238"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options to purchase 159,673 shares of common stock held by Mr. Butterfield that may be exercised within 60 days of the Record Date and 20,034 shares underlying restricted stock unit awards held by Mr. Butterfield which may vest within 60 days of the Record Date.</w:t>
      </w:r>
    </w:p>
    <w:p>
      <w:pPr>
        <w:spacing w:after="0" w:line="75" w:lineRule="exact"/>
        <w:rPr>
          <w:rFonts w:ascii="Arial" w:cs="Arial" w:eastAsia="Arial" w:hAnsi="Arial"/>
          <w:sz w:val="11"/>
          <w:szCs w:val="11"/>
          <w:color w:val="333333"/>
        </w:rPr>
      </w:pPr>
    </w:p>
    <w:p>
      <w:pPr>
        <w:ind w:left="1480" w:right="140" w:hanging="453"/>
        <w:spacing w:after="0" w:line="238"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options to purchase 5,125 shares of common stock held by Mr. King that may be exercised within 60 days of the Record Date and 36,064 shares underlying restricted stock unit awards held by Mr. King which may vest within 60 days of the Record Date.</w:t>
      </w:r>
    </w:p>
    <w:p>
      <w:pPr>
        <w:spacing w:after="0" w:line="75" w:lineRule="exact"/>
        <w:rPr>
          <w:rFonts w:ascii="Arial" w:cs="Arial" w:eastAsia="Arial" w:hAnsi="Arial"/>
          <w:sz w:val="11"/>
          <w:szCs w:val="11"/>
          <w:color w:val="333333"/>
        </w:rPr>
      </w:pPr>
    </w:p>
    <w:p>
      <w:pPr>
        <w:ind w:left="1480" w:right="180" w:hanging="453"/>
        <w:spacing w:after="0" w:line="238"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options to purchase 11,989 shares of common stock held by Mr. Kansal that may be exercised within 60 days of the Record Date and 22,386 shares underlying restricted stock unit awards held by Mr. Kansal which may vest within 60 days of the Record Date.</w:t>
      </w:r>
    </w:p>
    <w:p>
      <w:pPr>
        <w:spacing w:after="0" w:line="75" w:lineRule="exact"/>
        <w:rPr>
          <w:rFonts w:ascii="Arial" w:cs="Arial" w:eastAsia="Arial" w:hAnsi="Arial"/>
          <w:sz w:val="11"/>
          <w:szCs w:val="11"/>
          <w:color w:val="333333"/>
        </w:rPr>
      </w:pPr>
    </w:p>
    <w:p>
      <w:pPr>
        <w:ind w:left="1480" w:hanging="453"/>
        <w:spacing w:after="0"/>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16,990 shares underlying restricted stock unit awards held by Mr. Finkelstein which may vest within 60 days of the Record Date.</w:t>
      </w:r>
    </w:p>
    <w:p>
      <w:pPr>
        <w:spacing w:after="0" w:line="87" w:lineRule="exact"/>
        <w:rPr>
          <w:rFonts w:ascii="Arial" w:cs="Arial" w:eastAsia="Arial" w:hAnsi="Arial"/>
          <w:sz w:val="11"/>
          <w:szCs w:val="11"/>
          <w:color w:val="333333"/>
        </w:rPr>
      </w:pPr>
    </w:p>
    <w:p>
      <w:pPr>
        <w:ind w:left="1480" w:hanging="453"/>
        <w:spacing w:after="0"/>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16,990 shares underlying restricted stock unit awards held by Mr. Harris which may vest within 60 days of the Record Date.</w:t>
      </w:r>
    </w:p>
    <w:p>
      <w:pPr>
        <w:spacing w:after="0" w:line="87" w:lineRule="exact"/>
        <w:rPr>
          <w:rFonts w:ascii="Arial" w:cs="Arial" w:eastAsia="Arial" w:hAnsi="Arial"/>
          <w:sz w:val="11"/>
          <w:szCs w:val="11"/>
          <w:color w:val="333333"/>
        </w:rPr>
      </w:pPr>
    </w:p>
    <w:p>
      <w:pPr>
        <w:ind w:left="1480" w:hanging="453"/>
        <w:spacing w:after="0"/>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16,990 shares underlying restricted stock unit awards held by Ms. Howard which may vest within 60 days of the Record Date.</w:t>
      </w:r>
    </w:p>
    <w:p>
      <w:pPr>
        <w:spacing w:after="0" w:line="87" w:lineRule="exact"/>
        <w:rPr>
          <w:rFonts w:ascii="Arial" w:cs="Arial" w:eastAsia="Arial" w:hAnsi="Arial"/>
          <w:sz w:val="11"/>
          <w:szCs w:val="11"/>
          <w:color w:val="333333"/>
        </w:rPr>
      </w:pPr>
    </w:p>
    <w:p>
      <w:pPr>
        <w:ind w:left="1480" w:hanging="453"/>
        <w:spacing w:after="0"/>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16,990 shares underlying restricted stock unit awards held by Ms. Jaques which may vest within 60 days of the Record Date.</w:t>
      </w:r>
    </w:p>
    <w:p>
      <w:pPr>
        <w:spacing w:after="0" w:line="87" w:lineRule="exact"/>
        <w:rPr>
          <w:rFonts w:ascii="Arial" w:cs="Arial" w:eastAsia="Arial" w:hAnsi="Arial"/>
          <w:sz w:val="11"/>
          <w:szCs w:val="11"/>
          <w:color w:val="333333"/>
        </w:rPr>
      </w:pPr>
    </w:p>
    <w:p>
      <w:pPr>
        <w:ind w:left="1480" w:hanging="453"/>
        <w:spacing w:after="0"/>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16,990 shares underlying restricted stock unit awards held by Ms. Offereins which may vest within 60 days of the Record Date.</w:t>
      </w:r>
    </w:p>
    <w:p>
      <w:pPr>
        <w:spacing w:after="0" w:line="87" w:lineRule="exact"/>
        <w:rPr>
          <w:rFonts w:ascii="Arial" w:cs="Arial" w:eastAsia="Arial" w:hAnsi="Arial"/>
          <w:sz w:val="11"/>
          <w:szCs w:val="11"/>
          <w:color w:val="333333"/>
        </w:rPr>
      </w:pPr>
    </w:p>
    <w:p>
      <w:pPr>
        <w:ind w:left="1480" w:right="180" w:hanging="453"/>
        <w:spacing w:after="0" w:line="238"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options to purchase 180,921 shares of common stock held by Mr. Riese that may be exercised within 60 days of the Record Date and 16,990 shares underlying restricted stock unit awards held by Mr. Riese which may vest within 60 days of the Record Date.</w:t>
      </w:r>
    </w:p>
    <w:p>
      <w:pPr>
        <w:spacing w:after="0" w:line="75" w:lineRule="exact"/>
        <w:rPr>
          <w:rFonts w:ascii="Arial" w:cs="Arial" w:eastAsia="Arial" w:hAnsi="Arial"/>
          <w:sz w:val="11"/>
          <w:szCs w:val="11"/>
          <w:color w:val="333333"/>
        </w:rPr>
      </w:pPr>
    </w:p>
    <w:p>
      <w:pPr>
        <w:ind w:left="1480" w:hanging="453"/>
        <w:spacing w:after="0"/>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16,990 shares underlying restricted stock unit awards held by Mr. Santos which may vest within 60 days of the Record Date.</w:t>
      </w:r>
    </w:p>
    <w:p>
      <w:pPr>
        <w:spacing w:after="0" w:line="87" w:lineRule="exact"/>
        <w:rPr>
          <w:rFonts w:ascii="Arial" w:cs="Arial" w:eastAsia="Arial" w:hAnsi="Arial"/>
          <w:sz w:val="11"/>
          <w:szCs w:val="11"/>
          <w:color w:val="333333"/>
        </w:rPr>
      </w:pPr>
    </w:p>
    <w:p>
      <w:pPr>
        <w:ind w:left="1480" w:hanging="453"/>
        <w:spacing w:after="0" w:line="238" w:lineRule="auto"/>
        <w:tabs>
          <w:tab w:leader="none" w:pos="1480" w:val="left"/>
        </w:tabs>
        <w:numPr>
          <w:ilvl w:val="0"/>
          <w:numId w:val="95"/>
        </w:numPr>
        <w:rPr>
          <w:rFonts w:ascii="Arial" w:cs="Arial" w:eastAsia="Arial" w:hAnsi="Arial"/>
          <w:sz w:val="11"/>
          <w:szCs w:val="11"/>
          <w:color w:val="333333"/>
        </w:rPr>
      </w:pPr>
      <w:r>
        <w:rPr>
          <w:rFonts w:ascii="Arial" w:cs="Arial" w:eastAsia="Arial" w:hAnsi="Arial"/>
          <w:sz w:val="11"/>
          <w:szCs w:val="11"/>
          <w:color w:val="333333"/>
        </w:rPr>
        <w:t>Includes options to purchase 1,823,873 shares of common stock that may be exercised within 60 days of the Record Date and 376,524 shares underlying restricted stock unit awards which may vest within 60 days of the Record Date.</w:t>
      </w:r>
    </w:p>
    <w:p>
      <w:pPr>
        <w:spacing w:after="0" w:line="98"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52 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right="1200"/>
        <w:spacing w:after="0" w:line="289" w:lineRule="auto"/>
        <w:rPr>
          <w:sz w:val="20"/>
          <w:szCs w:val="20"/>
          <w:color w:val="auto"/>
        </w:rPr>
      </w:pPr>
      <w:r>
        <w:rPr>
          <w:rFonts w:ascii="Arial" w:cs="Arial" w:eastAsia="Arial" w:hAnsi="Arial"/>
          <w:sz w:val="42"/>
          <w:szCs w:val="42"/>
          <w:b w:val="1"/>
          <w:bCs w:val="1"/>
          <w:color w:val="2393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24765</wp:posOffset>
            </wp:positionV>
            <wp:extent cx="583819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73" w:lineRule="exact"/>
        <w:rPr>
          <w:sz w:val="20"/>
          <w:szCs w:val="20"/>
          <w:color w:val="auto"/>
        </w:rPr>
      </w:pPr>
    </w:p>
    <w:p>
      <w:pPr>
        <w:ind w:left="1020" w:right="200"/>
        <w:spacing w:after="0" w:line="270" w:lineRule="auto"/>
        <w:rPr>
          <w:sz w:val="20"/>
          <w:szCs w:val="20"/>
          <w:color w:val="auto"/>
        </w:rPr>
      </w:pPr>
      <w:r>
        <w:rPr>
          <w:rFonts w:ascii="Arial" w:cs="Arial" w:eastAsia="Arial" w:hAnsi="Arial"/>
          <w:sz w:val="15"/>
          <w:szCs w:val="15"/>
          <w:color w:val="auto"/>
        </w:rPr>
        <w:t>In addition to the compensation arrangements with our directors and executive officers described elsewhere in this proxy statement, the following is a description of each transaction since January 1, 2025 and each currently proposed transaction in which:</w:t>
      </w:r>
    </w:p>
    <w:p>
      <w:pPr>
        <w:spacing w:after="0" w:line="135" w:lineRule="exact"/>
        <w:rPr>
          <w:sz w:val="20"/>
          <w:szCs w:val="20"/>
          <w:color w:val="auto"/>
        </w:rPr>
      </w:pPr>
    </w:p>
    <w:p>
      <w:pPr>
        <w:ind w:left="1740" w:hanging="353"/>
        <w:spacing w:after="0"/>
        <w:tabs>
          <w:tab w:leader="none" w:pos="17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we have been or are to be a participant;</w:t>
      </w:r>
    </w:p>
    <w:p>
      <w:pPr>
        <w:spacing w:after="0" w:line="177" w:lineRule="exact"/>
        <w:rPr>
          <w:rFonts w:ascii="Arial" w:cs="Arial" w:eastAsia="Arial" w:hAnsi="Arial"/>
          <w:sz w:val="14"/>
          <w:szCs w:val="14"/>
          <w:color w:val="auto"/>
        </w:rPr>
      </w:pPr>
    </w:p>
    <w:p>
      <w:pPr>
        <w:ind w:left="1740" w:hanging="353"/>
        <w:spacing w:after="0"/>
        <w:tabs>
          <w:tab w:leader="none" w:pos="17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amount involved exceeded or will exceed $120,000; and</w:t>
      </w:r>
    </w:p>
    <w:p>
      <w:pPr>
        <w:spacing w:after="0" w:line="177" w:lineRule="exact"/>
        <w:rPr>
          <w:rFonts w:ascii="Arial" w:cs="Arial" w:eastAsia="Arial" w:hAnsi="Arial"/>
          <w:sz w:val="14"/>
          <w:szCs w:val="14"/>
          <w:color w:val="auto"/>
        </w:rPr>
      </w:pPr>
    </w:p>
    <w:p>
      <w:pPr>
        <w:ind w:left="1740" w:right="80" w:hanging="353"/>
        <w:spacing w:after="0" w:line="341" w:lineRule="auto"/>
        <w:tabs>
          <w:tab w:leader="none" w:pos="17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any of our directors, executive officers or holders of more than 5% of our capital stock, or any immediate family member of or person sharing the household with any of these individuals (other than tenants or employees), had or will have a direct or indirect material interest.</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INDEMNIFICATION AGREEMENTS</w:t>
      </w:r>
    </w:p>
    <w:p>
      <w:pPr>
        <w:spacing w:after="0" w:line="143" w:lineRule="exact"/>
        <w:rPr>
          <w:sz w:val="20"/>
          <w:szCs w:val="20"/>
          <w:color w:val="auto"/>
        </w:rPr>
      </w:pPr>
    </w:p>
    <w:p>
      <w:pPr>
        <w:ind w:left="1020" w:right="20"/>
        <w:spacing w:after="0" w:line="239" w:lineRule="auto"/>
        <w:rPr>
          <w:sz w:val="20"/>
          <w:szCs w:val="20"/>
          <w:color w:val="auto"/>
        </w:rPr>
      </w:pPr>
      <w:r>
        <w:rPr>
          <w:rFonts w:ascii="Arial" w:cs="Arial" w:eastAsia="Arial" w:hAnsi="Arial"/>
          <w:sz w:val="14"/>
          <w:szCs w:val="14"/>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POLICIES AND PROCEDURES FOR RELATED PARTY TRANSACTIONS</w:t>
      </w:r>
    </w:p>
    <w:p>
      <w:pPr>
        <w:spacing w:after="0" w:line="143" w:lineRule="exact"/>
        <w:rPr>
          <w:sz w:val="20"/>
          <w:szCs w:val="20"/>
          <w:color w:val="auto"/>
        </w:rPr>
      </w:pPr>
    </w:p>
    <w:p>
      <w:pPr>
        <w:ind w:left="1020"/>
        <w:spacing w:after="0" w:line="284" w:lineRule="auto"/>
        <w:rPr>
          <w:sz w:val="20"/>
          <w:szCs w:val="20"/>
          <w:color w:val="auto"/>
        </w:rPr>
      </w:pPr>
      <w:r>
        <w:rPr>
          <w:rFonts w:ascii="Arial" w:cs="Arial" w:eastAsia="Arial" w:hAnsi="Arial"/>
          <w:sz w:val="12"/>
          <w:szCs w:val="12"/>
          <w:color w:val="auto"/>
        </w:rPr>
        <w:t>Pursuant to our Code of Conduct and amended and restated Audit Committee charter, any related party transaction or series of transactions with an executive officer, director, or any of such persons’ immediate family members or affiliates, in which the amount, either individually or in the aggregate, involved exceeds $120,000 must be presented to our Audit Committee for review, consideration and approval. All of our directors and executive officers are required to report to our Audit Committee any such related party transaction. In approving or rejecting the proposed transactions,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transactions that, in light of known circumstances, are not inconsistent with Flywire’s best interests, as our Audit Committee determines in the good faith exercise of its discretion.</w:t>
      </w:r>
    </w:p>
    <w:p>
      <w:pPr>
        <w:spacing w:after="0" w:line="238"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53 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220"/>
          </w:cols>
          <w:pgMar w:left="320" w:top="425" w:right="1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71" w:lineRule="exact"/>
        <w:rPr>
          <w:sz w:val="20"/>
          <w:szCs w:val="20"/>
          <w:color w:val="auto"/>
        </w:rPr>
      </w:pPr>
    </w:p>
    <w:p>
      <w:pPr>
        <w:ind w:left="1020" w:right="20"/>
        <w:spacing w:after="0" w:line="251" w:lineRule="auto"/>
        <w:rPr>
          <w:sz w:val="20"/>
          <w:szCs w:val="20"/>
          <w:color w:val="auto"/>
        </w:rPr>
      </w:pPr>
      <w:r>
        <w:rPr>
          <w:rFonts w:ascii="Arial" w:cs="Arial" w:eastAsia="Arial" w:hAnsi="Arial"/>
          <w:sz w:val="15"/>
          <w:szCs w:val="15"/>
          <w:i w:val="1"/>
          <w:iCs w:val="1"/>
          <w:color w:val="auto"/>
        </w:rPr>
        <w:t>The information contained in the following report of Flywire’s Audit Committee is not considered to be “soliciting material,” “filed” or incorporated by reference in any past or future filing by us under the Securities Exchange Act of 1934 or the Securities Act of 1933 unless and only to the extent that Flywire specifically incorporates it by reference.</w:t>
      </w:r>
    </w:p>
    <w:p>
      <w:pPr>
        <w:spacing w:after="0" w:line="11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REVIEW OF AUDITED FINANCIAL STATEMENTS FOR THE YEAR ENDED DECEMBER 31, 2025</w:t>
      </w:r>
    </w:p>
    <w:p>
      <w:pPr>
        <w:spacing w:after="0" w:line="143" w:lineRule="exact"/>
        <w:rPr>
          <w:sz w:val="20"/>
          <w:szCs w:val="20"/>
          <w:color w:val="auto"/>
        </w:rPr>
      </w:pPr>
    </w:p>
    <w:p>
      <w:pPr>
        <w:ind w:left="1020" w:right="40"/>
        <w:spacing w:after="0" w:line="246" w:lineRule="auto"/>
        <w:rPr>
          <w:sz w:val="20"/>
          <w:szCs w:val="20"/>
          <w:color w:val="auto"/>
        </w:rPr>
      </w:pPr>
      <w:r>
        <w:rPr>
          <w:rFonts w:ascii="Arial" w:cs="Arial" w:eastAsia="Arial" w:hAnsi="Arial"/>
          <w:sz w:val="14"/>
          <w:szCs w:val="14"/>
          <w:color w:val="auto"/>
        </w:rPr>
        <w:t>The Audit Committee has reviewed and discussed with Flywire’s management and PricewaterhouseCoopers LLP the audited financial statements of Flywire for the year ended December 31, 2025. The Audit Committee has also discussed with PricewaterhouseCoopers LLP the applicable requirements of the Public Company Accounting Oversight Board (PCAOB) and the SEC.</w:t>
      </w:r>
    </w:p>
    <w:p>
      <w:pPr>
        <w:spacing w:after="0" w:line="136" w:lineRule="exact"/>
        <w:rPr>
          <w:sz w:val="20"/>
          <w:szCs w:val="20"/>
          <w:color w:val="auto"/>
        </w:rPr>
      </w:pPr>
    </w:p>
    <w:p>
      <w:pPr>
        <w:ind w:left="1020" w:right="420"/>
        <w:spacing w:after="0" w:line="246" w:lineRule="auto"/>
        <w:rPr>
          <w:sz w:val="20"/>
          <w:szCs w:val="20"/>
          <w:color w:val="auto"/>
        </w:rPr>
      </w:pPr>
      <w:r>
        <w:rPr>
          <w:rFonts w:ascii="Arial" w:cs="Arial" w:eastAsia="Arial" w:hAnsi="Arial"/>
          <w:sz w:val="14"/>
          <w:szCs w:val="14"/>
          <w:color w:val="auto"/>
        </w:rPr>
        <w:t>The Audit Committee has received and reviewed the written disclosures and the letter from PricewaterhouseCoopers LLP required by applicable requirements of the PCAOB and the SEC regarding the independent registered public accounting firm’s communications with the Audit Committee concerning independence, and has discussed with PricewaterhouseCoopers LLP its independence from us.</w:t>
      </w:r>
    </w:p>
    <w:p>
      <w:pPr>
        <w:spacing w:after="0" w:line="125" w:lineRule="exact"/>
        <w:rPr>
          <w:sz w:val="20"/>
          <w:szCs w:val="20"/>
          <w:color w:val="auto"/>
        </w:rPr>
      </w:pPr>
    </w:p>
    <w:p>
      <w:pPr>
        <w:ind w:left="1020" w:right="660"/>
        <w:spacing w:after="0" w:line="258" w:lineRule="auto"/>
        <w:rPr>
          <w:sz w:val="20"/>
          <w:szCs w:val="20"/>
          <w:color w:val="auto"/>
        </w:rPr>
      </w:pPr>
      <w:r>
        <w:rPr>
          <w:rFonts w:ascii="Arial" w:cs="Arial" w:eastAsia="Arial" w:hAnsi="Arial"/>
          <w:sz w:val="14"/>
          <w:szCs w:val="14"/>
          <w:color w:val="auto"/>
        </w:rPr>
        <w:t>Based on the review and discussions referred to above, the Audit Committee recommended to the Board of Directors that the audited financial statements be included in the 2025 Annual Report for filing with the SEC.</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Submitted by the audit committee of the Board of Directors:</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Edwin Santos (Chair)</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Alex Finkelstein</w:t>
      </w:r>
    </w:p>
    <w:p>
      <w:pPr>
        <w:ind w:left="1020"/>
        <w:spacing w:after="0" w:line="235" w:lineRule="auto"/>
        <w:rPr>
          <w:sz w:val="20"/>
          <w:szCs w:val="20"/>
          <w:color w:val="auto"/>
        </w:rPr>
      </w:pPr>
      <w:r>
        <w:rPr>
          <w:rFonts w:ascii="Arial" w:cs="Arial" w:eastAsia="Arial" w:hAnsi="Arial"/>
          <w:sz w:val="14"/>
          <w:szCs w:val="14"/>
          <w:b w:val="1"/>
          <w:bCs w:val="1"/>
          <w:color w:val="auto"/>
        </w:rPr>
        <w:t>Carleigh Jaques</w:t>
      </w:r>
    </w:p>
    <w:p>
      <w:pPr>
        <w:ind w:left="1020"/>
        <w:spacing w:after="0" w:line="235" w:lineRule="auto"/>
        <w:rPr>
          <w:sz w:val="20"/>
          <w:szCs w:val="20"/>
          <w:color w:val="auto"/>
        </w:rPr>
      </w:pPr>
      <w:r>
        <w:rPr>
          <w:rFonts w:ascii="Arial" w:cs="Arial" w:eastAsia="Arial" w:hAnsi="Arial"/>
          <w:sz w:val="14"/>
          <w:szCs w:val="14"/>
          <w:b w:val="1"/>
          <w:bCs w:val="1"/>
          <w:color w:val="auto"/>
        </w:rPr>
        <w:t>Christine Katziff*</w:t>
      </w:r>
    </w:p>
    <w:p>
      <w:pPr>
        <w:ind w:left="1020"/>
        <w:spacing w:after="0"/>
        <w:rPr>
          <w:sz w:val="20"/>
          <w:szCs w:val="20"/>
          <w:color w:val="auto"/>
        </w:rPr>
      </w:pPr>
      <w:r>
        <w:rPr>
          <w:rFonts w:ascii="Arial" w:cs="Arial" w:eastAsia="Arial" w:hAnsi="Arial"/>
          <w:sz w:val="14"/>
          <w:szCs w:val="14"/>
          <w:b w:val="1"/>
          <w:bCs w:val="1"/>
          <w:color w:val="auto"/>
        </w:rPr>
        <w:t>Phillip Riese</w:t>
      </w:r>
    </w:p>
    <w:p>
      <w:pPr>
        <w:spacing w:after="0" w:line="138"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color w:val="auto"/>
        </w:rPr>
        <w:t>*Ms. Katziff was appointed to the Audit Committee effective March 25, 2026 and did not participate in the review of Flywire’s audited financial statements for the year ended December 31, 2025 or the recommendation to include such financial statements in the Form 10-K.</w:t>
      </w:r>
    </w:p>
    <w:p>
      <w:pPr>
        <w:spacing w:after="0" w:line="74"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54 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80"/>
          </w:cols>
          <w:pgMar w:left="320" w:top="425" w:right="13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73" w:lineRule="exact"/>
        <w:rPr>
          <w:sz w:val="20"/>
          <w:szCs w:val="20"/>
          <w:color w:val="auto"/>
        </w:rPr>
      </w:pPr>
    </w:p>
    <w:p>
      <w:pPr>
        <w:ind w:left="1020"/>
        <w:spacing w:after="0" w:line="296" w:lineRule="auto"/>
        <w:rPr>
          <w:sz w:val="20"/>
          <w:szCs w:val="20"/>
          <w:color w:val="auto"/>
        </w:rPr>
      </w:pPr>
      <w:r>
        <w:rPr>
          <w:rFonts w:ascii="Arial" w:cs="Arial" w:eastAsia="Arial" w:hAnsi="Arial"/>
          <w:sz w:val="12"/>
          <w:szCs w:val="12"/>
          <w:color w:val="auto"/>
        </w:rPr>
        <w:t>Section 16(a) of the Exchange Act requires our directors and certain of our officers and any person who beneficially owns more than 10% of our common stock to file with the SEC initial reports of beneficial ownership and reports of subsequent changes in their beneficial ownership of our common stock. Such directors, executive officers and stockholders are required by SEC regulation to furnish us with copies of all Section 16(a) forms they file. The SEC has designated specific due dates for these reports and we must identify in this proxy statement those filings that were not filed when due.</w:t>
      </w:r>
    </w:p>
    <w:p>
      <w:pPr>
        <w:spacing w:after="0" w:line="97" w:lineRule="exact"/>
        <w:rPr>
          <w:sz w:val="20"/>
          <w:szCs w:val="20"/>
          <w:color w:val="auto"/>
        </w:rPr>
      </w:pPr>
    </w:p>
    <w:p>
      <w:pPr>
        <w:ind w:left="1020" w:right="60"/>
        <w:spacing w:after="0" w:line="246" w:lineRule="auto"/>
        <w:rPr>
          <w:sz w:val="20"/>
          <w:szCs w:val="20"/>
          <w:color w:val="auto"/>
        </w:rPr>
      </w:pPr>
      <w:r>
        <w:rPr>
          <w:rFonts w:ascii="Arial" w:cs="Arial" w:eastAsia="Arial" w:hAnsi="Arial"/>
          <w:sz w:val="14"/>
          <w:szCs w:val="14"/>
          <w:color w:val="auto"/>
        </w:rPr>
        <w:t>To our knowledge, based solely on our review of copies of the reports filed with the SEC pursuant to Section 16(a) of the Exchange Act and the written representations of the reporting persons, we believe that all reporting requirements under Section 16(a) of the Exchange Act during 2025 were complied with by each of our directors and officers and each person who beneficially owned more than 10% of our common stock.</w:t>
      </w:r>
    </w:p>
    <w:p>
      <w:pPr>
        <w:spacing w:after="0" w:line="158" w:lineRule="exact"/>
        <w:rPr>
          <w:sz w:val="20"/>
          <w:szCs w:val="20"/>
          <w:color w:val="auto"/>
        </w:rPr>
      </w:pPr>
    </w:p>
    <w:p>
      <w:pPr>
        <w:ind w:left="1740" w:right="400" w:hanging="353"/>
        <w:spacing w:after="0" w:line="258" w:lineRule="auto"/>
        <w:tabs>
          <w:tab w:leader="none" w:pos="17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On December 30, 2025, a Form 4 for Mr. Riese was filed late due to an administrative error, to report the exercise of stock options and subsequent sales of those shares sold by Mr. Riese pursuant to a 10b5-1 trading plan on November 5, 2025.</w:t>
      </w:r>
    </w:p>
    <w:p>
      <w:pPr>
        <w:spacing w:after="0" w:line="89"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55 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60"/>
          </w:cols>
          <w:pgMar w:left="320" w:top="425" w:right="1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42"/>
          <w:szCs w:val="42"/>
          <w:b w:val="1"/>
          <w:bCs w:val="1"/>
          <w:color w:val="2393FF"/>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149225</wp:posOffset>
            </wp:positionV>
            <wp:extent cx="583819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73" w:lineRule="exact"/>
        <w:rPr>
          <w:sz w:val="20"/>
          <w:szCs w:val="20"/>
          <w:color w:val="auto"/>
        </w:rPr>
      </w:pPr>
    </w:p>
    <w:p>
      <w:pPr>
        <w:ind w:left="1020" w:right="120"/>
        <w:spacing w:after="0" w:line="258" w:lineRule="auto"/>
        <w:rPr>
          <w:sz w:val="20"/>
          <w:szCs w:val="20"/>
          <w:color w:val="auto"/>
        </w:rPr>
      </w:pPr>
      <w:r>
        <w:rPr>
          <w:rFonts w:ascii="Arial" w:cs="Arial" w:eastAsia="Arial" w:hAnsi="Arial"/>
          <w:sz w:val="14"/>
          <w:szCs w:val="14"/>
          <w:color w:val="auto"/>
        </w:rPr>
        <w:t>We know of no other matters to be submitted at the Annual Meeting. If any other matters properly come before the Annual Meeting, it is the intention of the persons named in the proxy card to vote the shares they represent as Flywire may recommend.</w:t>
      </w:r>
    </w:p>
    <w:p>
      <w:pPr>
        <w:spacing w:after="0" w:line="116" w:lineRule="exact"/>
        <w:rPr>
          <w:sz w:val="20"/>
          <w:szCs w:val="20"/>
          <w:color w:val="auto"/>
        </w:rPr>
      </w:pPr>
    </w:p>
    <w:p>
      <w:pPr>
        <w:ind w:left="1020"/>
        <w:spacing w:after="0" w:line="246" w:lineRule="auto"/>
        <w:rPr>
          <w:sz w:val="20"/>
          <w:szCs w:val="20"/>
          <w:color w:val="auto"/>
        </w:rPr>
      </w:pPr>
      <w:r>
        <w:rPr>
          <w:rFonts w:ascii="Arial" w:cs="Arial" w:eastAsia="Arial" w:hAnsi="Arial"/>
          <w:sz w:val="14"/>
          <w:szCs w:val="14"/>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THE BOARD OF DIRECTORS</w:t>
      </w:r>
    </w:p>
    <w:p>
      <w:pPr>
        <w:spacing w:after="0" w:line="6"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Boston, Massachusetts</w:t>
      </w:r>
    </w:p>
    <w:p>
      <w:pPr>
        <w:ind w:left="1020"/>
        <w:spacing w:after="0"/>
        <w:rPr>
          <w:sz w:val="20"/>
          <w:szCs w:val="20"/>
          <w:color w:val="auto"/>
        </w:rPr>
      </w:pPr>
      <w:r>
        <w:rPr>
          <w:rFonts w:ascii="Arial" w:cs="Arial" w:eastAsia="Arial" w:hAnsi="Arial"/>
          <w:sz w:val="14"/>
          <w:szCs w:val="14"/>
          <w:color w:val="auto"/>
        </w:rPr>
        <w:t>April 23, 2026</w:t>
      </w:r>
    </w:p>
    <w:p>
      <w:pPr>
        <w:spacing w:after="0" w:line="104" w:lineRule="exact"/>
        <w:rPr>
          <w:sz w:val="20"/>
          <w:szCs w:val="20"/>
          <w:color w:val="auto"/>
        </w:rPr>
      </w:pPr>
    </w:p>
    <w:p>
      <w:pPr>
        <w:ind w:left="4280"/>
        <w:spacing w:after="0"/>
        <w:tabs>
          <w:tab w:leader="none" w:pos="5860" w:val="left"/>
        </w:tabs>
        <w:rPr>
          <w:sz w:val="20"/>
          <w:szCs w:val="20"/>
          <w:color w:val="auto"/>
        </w:rPr>
      </w:pPr>
      <w:r>
        <w:rPr>
          <w:rFonts w:ascii="Arial" w:cs="Arial" w:eastAsia="Arial" w:hAnsi="Arial"/>
          <w:sz w:val="11"/>
          <w:szCs w:val="11"/>
          <w:b w:val="1"/>
          <w:bCs w:val="1"/>
          <w:color w:val="auto"/>
        </w:rPr>
        <w:t xml:space="preserve">Flywire Corporation       56    </w:t>
      </w:r>
      <w:r>
        <w:rPr>
          <w:sz w:val="20"/>
          <w:szCs w:val="20"/>
          <w:color w:val="auto"/>
        </w:rPr>
        <w:tab/>
      </w:r>
      <w:r>
        <w:rPr>
          <w:rFonts w:ascii="Arial" w:cs="Arial" w:eastAsia="Arial" w:hAnsi="Arial"/>
          <w:sz w:val="9"/>
          <w:szCs w:val="9"/>
          <w:b w:val="1"/>
          <w:bCs w:val="1"/>
          <w:color w:val="auto"/>
        </w:rPr>
        <w:t>2026 Proxy Statement</w:t>
      </w:r>
    </w:p>
    <w:p>
      <w:pPr>
        <w:sectPr>
          <w:pgSz w:w="11900" w:h="16838" w:orient="portrait"/>
          <w:cols w:equalWidth="0" w:num="1">
            <w:col w:w="10140"/>
          </w:cols>
          <w:pgMar w:left="320" w:top="425" w:right="1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188595</wp:posOffset>
            </wp:positionV>
            <wp:extent cx="5309235" cy="68687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09235" cy="6868795"/>
                    </a:xfrm>
                    <a:prstGeom prst="rect">
                      <a:avLst/>
                    </a:prstGeom>
                    <a:noFill/>
                  </pic:spPr>
                </pic:pic>
              </a:graphicData>
            </a:graphic>
          </wp:anchor>
        </w:drawing>
      </w:r>
    </w:p>
    <w:p>
      <w:pPr>
        <w:sectPr>
          <w:pgSz w:w="11900" w:h="16838" w:orient="portrait"/>
          <w:cols w:equalWidth="0" w:num="1">
            <w:col w:w="10139"/>
          </w:cols>
          <w:pgMar w:left="320" w:top="425"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48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4550" cy="482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188595</wp:posOffset>
            </wp:positionV>
            <wp:extent cx="5309235" cy="68687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09235" cy="6868795"/>
                    </a:xfrm>
                    <a:prstGeom prst="rect">
                      <a:avLst/>
                    </a:prstGeom>
                    <a:noFill/>
                  </pic:spPr>
                </pic:pic>
              </a:graphicData>
            </a:graphic>
          </wp:anchor>
        </w:drawing>
      </w:r>
    </w:p>
    <w:sectPr>
      <w:pgSz w:w="11900" w:h="16838" w:orient="portrait"/>
      <w:cols w:equalWidth="0" w:num="1">
        <w:col w:w="10139"/>
      </w:cols>
      <w:pgMar w:left="320" w:top="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bullet"/>
      <w:start w:val="1"/>
    </w:lvl>
  </w:abstractNum>
  <w:abstractNum w:abstractNumId="6">
    <w:nsid w:val="75C6C33A"/>
    <w:multiLevelType w:val="hybridMultilevel"/>
    <w:lvl w:ilvl="0">
      <w:lvlJc w:val="left"/>
      <w:lvlText w:val="2"/>
      <w:numFmt w:val="bullet"/>
      <w:start w:val="1"/>
    </w:lvl>
  </w:abstractNum>
  <w:abstractNum w:abstractNumId="7">
    <w:nsid w:val="12E685FB"/>
    <w:multiLevelType w:val="hybridMultilevel"/>
    <w:lvl w:ilvl="0">
      <w:lvlJc w:val="left"/>
      <w:lvlText w:val="%1:"/>
      <w:numFmt w:val="upperLetter"/>
      <w:start w:val="17"/>
    </w:lvl>
  </w:abstractNum>
  <w:abstractNum w:abstractNumId="8">
    <w:nsid w:val="70C6A529"/>
    <w:multiLevelType w:val="hybridMultilevel"/>
    <w:lvl w:ilvl="0">
      <w:lvlJc w:val="left"/>
      <w:lvlText w:val="%1:"/>
      <w:numFmt w:val="upperLetter"/>
      <w:start w:val="1"/>
    </w:lvl>
  </w:abstractNum>
  <w:abstractNum w:abstractNumId="9">
    <w:nsid w:val="520EEDD1"/>
    <w:multiLevelType w:val="hybridMultilevel"/>
    <w:lvl w:ilvl="0">
      <w:lvlJc w:val="left"/>
      <w:lvlText w:val="%1:"/>
      <w:numFmt w:val="upperLetter"/>
      <w:start w:val="17"/>
    </w:lvl>
  </w:abstractNum>
  <w:abstractNum w:abstractNumId="10">
    <w:nsid w:val="374A3FE6"/>
    <w:multiLevelType w:val="hybridMultilevel"/>
    <w:lvl w:ilvl="0">
      <w:lvlJc w:val="left"/>
      <w:lvlText w:val="%1:"/>
      <w:numFmt w:val="upperLetter"/>
      <w:start w:val="16"/>
    </w:lvl>
    <w:lvl w:ilvl="1">
      <w:lvlJc w:val="left"/>
      <w:lvlText w:val="•"/>
      <w:numFmt w:val="bullet"/>
      <w:start w:val="1"/>
    </w:lvl>
  </w:abstractNum>
  <w:abstractNum w:abstractNumId="11">
    <w:nsid w:val="4F4EF005"/>
    <w:multiLevelType w:val="hybridMultilevel"/>
    <w:lvl w:ilvl="0">
      <w:lvlJc w:val="left"/>
      <w:lvlText w:val="%1:"/>
      <w:numFmt w:val="upperLetter"/>
      <w:start w:val="1"/>
    </w:lvl>
  </w:abstractNum>
  <w:abstractNum w:abstractNumId="12">
    <w:nsid w:val="23F9C13C"/>
    <w:multiLevelType w:val="hybridMultilevel"/>
    <w:lvl w:ilvl="0">
      <w:lvlJc w:val="left"/>
      <w:lvlText w:val="%1:"/>
      <w:numFmt w:val="upperLetter"/>
      <w:start w:val="17"/>
    </w:lvl>
  </w:abstractNum>
  <w:abstractNum w:abstractNumId="13">
    <w:nsid w:val="649BB77C"/>
    <w:multiLevelType w:val="hybridMultilevel"/>
    <w:lvl w:ilvl="0">
      <w:lvlJc w:val="left"/>
      <w:lvlText w:val="%1:"/>
      <w:numFmt w:val="upperLetter"/>
      <w:start w:val="17"/>
    </w:lvl>
  </w:abstractNum>
  <w:abstractNum w:abstractNumId="14">
    <w:nsid w:val="275AC794"/>
    <w:multiLevelType w:val="hybridMultilevel"/>
    <w:lvl w:ilvl="0">
      <w:lvlJc w:val="left"/>
      <w:lvlText w:val="%1:"/>
      <w:numFmt w:val="upperLetter"/>
      <w:start w:val="1"/>
    </w:lvl>
  </w:abstractNum>
  <w:abstractNum w:abstractNumId="15">
    <w:nsid w:val="39386575"/>
    <w:multiLevelType w:val="hybridMultilevel"/>
    <w:lvl w:ilvl="0">
      <w:lvlJc w:val="left"/>
      <w:lvlText w:val="%1:"/>
      <w:numFmt w:val="upperLetter"/>
      <w:start w:val="17"/>
    </w:lvl>
  </w:abstractNum>
  <w:abstractNum w:abstractNumId="16">
    <w:nsid w:val="1CF10FD8"/>
    <w:multiLevelType w:val="hybridMultilevel"/>
    <w:lvl w:ilvl="0">
      <w:lvlJc w:val="left"/>
      <w:lvlText w:val="%1:"/>
      <w:numFmt w:val="upperLetter"/>
      <w:start w:val="1"/>
    </w:lvl>
  </w:abstractNum>
  <w:abstractNum w:abstractNumId="17">
    <w:nsid w:val="180115BE"/>
    <w:multiLevelType w:val="hybridMultilevel"/>
    <w:lvl w:ilvl="0">
      <w:lvlJc w:val="left"/>
      <w:lvlText w:val="%1:"/>
      <w:numFmt w:val="upperLetter"/>
      <w:start w:val="17"/>
    </w:lvl>
  </w:abstractNum>
  <w:abstractNum w:abstractNumId="18">
    <w:nsid w:val="235BA861"/>
    <w:multiLevelType w:val="hybridMultilevel"/>
    <w:lvl w:ilvl="0">
      <w:lvlJc w:val="left"/>
      <w:lvlText w:val="%1:"/>
      <w:numFmt w:val="upperLetter"/>
      <w:start w:val="1"/>
    </w:lvl>
  </w:abstractNum>
  <w:abstractNum w:abstractNumId="19">
    <w:nsid w:val="47398C89"/>
    <w:multiLevelType w:val="hybridMultilevel"/>
    <w:lvl w:ilvl="0">
      <w:lvlJc w:val="left"/>
      <w:lvlText w:val="%1:"/>
      <w:numFmt w:val="upperLetter"/>
      <w:start w:val="17"/>
    </w:lvl>
  </w:abstractNum>
  <w:abstractNum w:abstractNumId="20">
    <w:nsid w:val="354FE9F9"/>
    <w:multiLevelType w:val="hybridMultilevel"/>
    <w:lvl w:ilvl="0">
      <w:lvlJc w:val="left"/>
      <w:lvlText w:val="%1:"/>
      <w:numFmt w:val="upperLetter"/>
      <w:start w:val="1"/>
    </w:lvl>
  </w:abstractNum>
  <w:abstractNum w:abstractNumId="21">
    <w:nsid w:val="15B5AF5C"/>
    <w:multiLevelType w:val="hybridMultilevel"/>
    <w:lvl w:ilvl="0">
      <w:lvlJc w:val="left"/>
      <w:lvlText w:val="%1:"/>
      <w:numFmt w:val="upperLetter"/>
      <w:start w:val="17"/>
    </w:lvl>
  </w:abstractNum>
  <w:abstractNum w:abstractNumId="22">
    <w:nsid w:val="741226BB"/>
    <w:multiLevelType w:val="hybridMultilevel"/>
    <w:lvl w:ilvl="0">
      <w:lvlJc w:val="left"/>
      <w:lvlText w:val="%1:"/>
      <w:numFmt w:val="upperLetter"/>
      <w:start w:val="1"/>
    </w:lvl>
  </w:abstractNum>
  <w:abstractNum w:abstractNumId="23">
    <w:nsid w:val="D34B6A8"/>
    <w:multiLevelType w:val="hybridMultilevel"/>
    <w:lvl w:ilvl="0">
      <w:lvlJc w:val="left"/>
      <w:lvlText w:val="%1:"/>
      <w:numFmt w:val="upperLetter"/>
      <w:start w:val="17"/>
    </w:lvl>
  </w:abstractNum>
  <w:abstractNum w:abstractNumId="24">
    <w:nsid w:val="10233C99"/>
    <w:multiLevelType w:val="hybridMultilevel"/>
    <w:lvl w:ilvl="0">
      <w:lvlJc w:val="left"/>
      <w:lvlText w:val="%1:"/>
      <w:numFmt w:val="upperLetter"/>
      <w:start w:val="1"/>
    </w:lvl>
  </w:abstractNum>
  <w:abstractNum w:abstractNumId="25">
    <w:nsid w:val="3F6AB60F"/>
    <w:multiLevelType w:val="hybridMultilevel"/>
    <w:lvl w:ilvl="0">
      <w:lvlJc w:val="left"/>
      <w:lvlText w:val="%1:"/>
      <w:numFmt w:val="upperLetter"/>
      <w:start w:val="17"/>
    </w:lvl>
  </w:abstractNum>
  <w:abstractNum w:abstractNumId="26">
    <w:nsid w:val="61574095"/>
    <w:multiLevelType w:val="hybridMultilevel"/>
    <w:lvl w:ilvl="0">
      <w:lvlJc w:val="left"/>
      <w:lvlText w:val="%1:"/>
      <w:numFmt w:val="upperLetter"/>
      <w:start w:val="1"/>
    </w:lvl>
  </w:abstractNum>
  <w:abstractNum w:abstractNumId="27">
    <w:nsid w:val="7E0C57B1"/>
    <w:multiLevelType w:val="hybridMultilevel"/>
    <w:lvl w:ilvl="0">
      <w:lvlJc w:val="left"/>
      <w:lvlText w:val="%1:"/>
      <w:numFmt w:val="upperLetter"/>
      <w:start w:val="17"/>
    </w:lvl>
  </w:abstractNum>
  <w:abstractNum w:abstractNumId="28">
    <w:nsid w:val="77AE35EB"/>
    <w:multiLevelType w:val="hybridMultilevel"/>
    <w:lvl w:ilvl="0">
      <w:lvlJc w:val="left"/>
      <w:lvlText w:val="%1:"/>
      <w:numFmt w:val="upperLetter"/>
      <w:start w:val="1"/>
    </w:lvl>
    <w:lvl w:ilvl="1">
      <w:lvlJc w:val="left"/>
      <w:lvlText w:val="•"/>
      <w:numFmt w:val="bullet"/>
      <w:start w:val="1"/>
    </w:lvl>
  </w:abstractNum>
  <w:abstractNum w:abstractNumId="29">
    <w:nsid w:val="579BE4F1"/>
    <w:multiLevelType w:val="hybridMultilevel"/>
    <w:lvl w:ilvl="0">
      <w:lvlJc w:val="left"/>
      <w:lvlText w:val="%1:"/>
      <w:numFmt w:val="upperLetter"/>
      <w:start w:val="17"/>
    </w:lvl>
  </w:abstractNum>
  <w:abstractNum w:abstractNumId="30">
    <w:nsid w:val="310C50B3"/>
    <w:multiLevelType w:val="hybridMultilevel"/>
    <w:lvl w:ilvl="0">
      <w:lvlJc w:val="left"/>
      <w:lvlText w:val="%1:"/>
      <w:numFmt w:val="upperLetter"/>
      <w:start w:val="1"/>
    </w:lvl>
  </w:abstractNum>
  <w:abstractNum w:abstractNumId="31">
    <w:nsid w:val="5FF87E05"/>
    <w:multiLevelType w:val="hybridMultilevel"/>
    <w:lvl w:ilvl="0">
      <w:lvlJc w:val="left"/>
      <w:lvlText w:val="%1:"/>
      <w:numFmt w:val="upperLetter"/>
      <w:start w:val="17"/>
    </w:lvl>
  </w:abstractNum>
  <w:abstractNum w:abstractNumId="32">
    <w:nsid w:val="2F305DEF"/>
    <w:multiLevelType w:val="hybridMultilevel"/>
    <w:lvl w:ilvl="0">
      <w:lvlJc w:val="left"/>
      <w:lvlText w:val="%1:"/>
      <w:numFmt w:val="upperLetter"/>
      <w:start w:val="1"/>
    </w:lvl>
  </w:abstractNum>
  <w:abstractNum w:abstractNumId="33">
    <w:nsid w:val="25A70BF7"/>
    <w:multiLevelType w:val="hybridMultilevel"/>
    <w:lvl w:ilvl="0">
      <w:lvlJc w:val="left"/>
      <w:lvlText w:val="%1:"/>
      <w:numFmt w:val="upperLetter"/>
      <w:start w:val="17"/>
    </w:lvl>
  </w:abstractNum>
  <w:abstractNum w:abstractNumId="34">
    <w:nsid w:val="1DBABF00"/>
    <w:multiLevelType w:val="hybridMultilevel"/>
    <w:lvl w:ilvl="0">
      <w:lvlJc w:val="left"/>
      <w:lvlText w:val="%1:"/>
      <w:numFmt w:val="upperLetter"/>
      <w:start w:val="1"/>
    </w:lvl>
  </w:abstractNum>
  <w:abstractNum w:abstractNumId="35">
    <w:nsid w:val="4AD084E9"/>
    <w:multiLevelType w:val="hybridMultilevel"/>
    <w:lvl w:ilvl="0">
      <w:lvlJc w:val="left"/>
      <w:lvlText w:val="%1:"/>
      <w:numFmt w:val="upperLetter"/>
      <w:start w:val="17"/>
    </w:lvl>
  </w:abstractNum>
  <w:abstractNum w:abstractNumId="36">
    <w:nsid w:val="1F48EAA1"/>
    <w:multiLevelType w:val="hybridMultilevel"/>
    <w:lvl w:ilvl="0">
      <w:lvlJc w:val="left"/>
      <w:lvlText w:val="%1:"/>
      <w:numFmt w:val="upperLetter"/>
      <w:start w:val="1"/>
    </w:lvl>
  </w:abstractNum>
  <w:abstractNum w:abstractNumId="37">
    <w:nsid w:val="1381823A"/>
    <w:multiLevelType w:val="hybridMultilevel"/>
    <w:lvl w:ilvl="0">
      <w:lvlJc w:val="left"/>
      <w:lvlText w:val="%1:"/>
      <w:numFmt w:val="upperLetter"/>
      <w:start w:val="17"/>
    </w:lvl>
  </w:abstractNum>
  <w:abstractNum w:abstractNumId="38">
    <w:nsid w:val="5DB70AE5"/>
    <w:multiLevelType w:val="hybridMultilevel"/>
    <w:lvl w:ilvl="0">
      <w:lvlJc w:val="left"/>
      <w:lvlText w:val="%1:"/>
      <w:numFmt w:val="upperLetter"/>
      <w:start w:val="1"/>
    </w:lvl>
  </w:abstractNum>
  <w:abstractNum w:abstractNumId="39">
    <w:nsid w:val="100F8FCA"/>
    <w:multiLevelType w:val="hybridMultilevel"/>
    <w:lvl w:ilvl="0">
      <w:lvlJc w:val="left"/>
      <w:lvlText w:val="%1:"/>
      <w:numFmt w:val="upperLetter"/>
      <w:start w:val="17"/>
    </w:lvl>
  </w:abstractNum>
  <w:abstractNum w:abstractNumId="40">
    <w:nsid w:val="6590700B"/>
    <w:multiLevelType w:val="hybridMultilevel"/>
    <w:lvl w:ilvl="0">
      <w:lvlJc w:val="left"/>
      <w:lvlText w:val="%1:"/>
      <w:numFmt w:val="upperLetter"/>
      <w:start w:val="1"/>
    </w:lvl>
  </w:abstractNum>
  <w:abstractNum w:abstractNumId="41">
    <w:nsid w:val="15014ACB"/>
    <w:multiLevelType w:val="hybridMultilevel"/>
    <w:lvl w:ilvl="0">
      <w:lvlJc w:val="left"/>
      <w:lvlText w:val="%1:"/>
      <w:numFmt w:val="upperLetter"/>
      <w:start w:val="17"/>
    </w:lvl>
  </w:abstractNum>
  <w:abstractNum w:abstractNumId="42">
    <w:nsid w:val="5F5E7FD0"/>
    <w:multiLevelType w:val="hybridMultilevel"/>
    <w:lvl w:ilvl="0">
      <w:lvlJc w:val="left"/>
      <w:lvlText w:val="%1:"/>
      <w:numFmt w:val="upperLetter"/>
      <w:start w:val="1"/>
    </w:lvl>
  </w:abstractNum>
  <w:abstractNum w:abstractNumId="43">
    <w:nsid w:val="98A3148"/>
    <w:multiLevelType w:val="hybridMultilevel"/>
    <w:lvl w:ilvl="0">
      <w:lvlJc w:val="left"/>
      <w:lvlText w:val="%1:"/>
      <w:numFmt w:val="upperLetter"/>
      <w:start w:val="17"/>
    </w:lvl>
  </w:abstractNum>
  <w:abstractNum w:abstractNumId="44">
    <w:nsid w:val="799D0247"/>
    <w:multiLevelType w:val="hybridMultilevel"/>
    <w:lvl w:ilvl="0">
      <w:lvlJc w:val="left"/>
      <w:lvlText w:val="%1:"/>
      <w:numFmt w:val="upperLetter"/>
      <w:start w:val="1"/>
    </w:lvl>
  </w:abstractNum>
  <w:abstractNum w:abstractNumId="45">
    <w:nsid w:val="6B94764"/>
    <w:multiLevelType w:val="hybridMultilevel"/>
    <w:lvl w:ilvl="0">
      <w:lvlJc w:val="left"/>
      <w:lvlText w:val="%1:"/>
      <w:numFmt w:val="upperLetter"/>
      <w:start w:val="17"/>
    </w:lvl>
  </w:abstractNum>
  <w:abstractNum w:abstractNumId="46">
    <w:nsid w:val="42C296BD"/>
    <w:multiLevelType w:val="hybridMultilevel"/>
    <w:lvl w:ilvl="0">
      <w:lvlJc w:val="left"/>
      <w:lvlText w:val="%1:"/>
      <w:numFmt w:val="upperLetter"/>
      <w:start w:val="1"/>
    </w:lvl>
  </w:abstractNum>
  <w:abstractNum w:abstractNumId="47">
    <w:nsid w:val="168E121F"/>
    <w:multiLevelType w:val="hybridMultilevel"/>
    <w:lvl w:ilvl="0">
      <w:lvlJc w:val="left"/>
      <w:lvlText w:val="%1:"/>
      <w:numFmt w:val="upperLetter"/>
      <w:start w:val="17"/>
    </w:lvl>
  </w:abstractNum>
  <w:abstractNum w:abstractNumId="48">
    <w:nsid w:val="1EBA5D23"/>
    <w:multiLevelType w:val="hybridMultilevel"/>
    <w:lvl w:ilvl="0">
      <w:lvlJc w:val="left"/>
      <w:lvlText w:val="%1:"/>
      <w:numFmt w:val="upperLetter"/>
      <w:start w:val="1"/>
    </w:lvl>
  </w:abstractNum>
  <w:abstractNum w:abstractNumId="49">
    <w:nsid w:val="661E3F1E"/>
    <w:multiLevelType w:val="hybridMultilevel"/>
    <w:lvl w:ilvl="0">
      <w:lvlJc w:val="left"/>
      <w:lvlText w:val="%1:"/>
      <w:numFmt w:val="upperLetter"/>
      <w:start w:val="17"/>
    </w:lvl>
  </w:abstractNum>
  <w:abstractNum w:abstractNumId="50">
    <w:nsid w:val="5DC79EA8"/>
    <w:multiLevelType w:val="hybridMultilevel"/>
    <w:lvl w:ilvl="0">
      <w:lvlJc w:val="left"/>
      <w:lvlText w:val="%1:"/>
      <w:numFmt w:val="upperLetter"/>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decimal"/>
      <w:start w:val="3"/>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decimal"/>
    </w:lvl>
    <w:lvl w:ilvl="1">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lowerRoman"/>
      <w:start w:val="3"/>
    </w:lvl>
  </w:abstractNum>
  <w:abstractNum w:abstractNumId="69">
    <w:nsid w:val="71EA1109"/>
    <w:multiLevelType w:val="hybridMultilevel"/>
    <w:lvl w:ilvl="0">
      <w:lvlJc w:val="left"/>
      <w:lvlText w:val="(%1)"/>
      <w:numFmt w:val="lowerRoman"/>
      <w:start w:val="1"/>
    </w:lvl>
  </w:abstractNum>
  <w:abstractNum w:abstractNumId="70">
    <w:nsid w:val="100F59DC"/>
    <w:multiLevelType w:val="hybridMultilevel"/>
    <w:lvl w:ilvl="0">
      <w:lvlJc w:val="left"/>
      <w:lvlText w:val="(%1)"/>
      <w:numFmt w:val="lowerRoman"/>
      <w:start w:val="8"/>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lowerRoman"/>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decimal"/>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2"/>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1"/>
    </w:lvl>
    <w:lvl w:ilvl="1">
      <w:lvlJc w:val="left"/>
      <w:lvlText w:val="%2."/>
      <w:numFmt w:val="lowerLetter"/>
      <w:start w:val="1"/>
    </w:lvl>
  </w:abstractNum>
  <w:abstractNum w:abstractNumId="82">
    <w:nsid w:val="68EBC550"/>
    <w:multiLevelType w:val="hybridMultilevel"/>
    <w:lvl w:ilvl="0">
      <w:lvlJc w:val="left"/>
      <w:lvlText w:val="(%1)"/>
      <w:numFmt w:val="decimal"/>
      <w:start w:val="2"/>
    </w:lvl>
    <w:lvl w:ilvl="1">
      <w:lvlJc w:val="left"/>
      <w:lvlText w:val="%2."/>
      <w:numFmt w:val="lowerLetter"/>
      <w:start w:val="1"/>
    </w:lvl>
  </w:abstractNum>
  <w:abstractNum w:abstractNumId="83">
    <w:nsid w:val="2DF6D648"/>
    <w:multiLevelType w:val="hybridMultilevel"/>
    <w:lvl w:ilvl="0">
      <w:lvlJc w:val="left"/>
      <w:lvlText w:val="(%1)"/>
      <w:numFmt w:val="decimal"/>
      <w:start w:val="3"/>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decimal"/>
      <w:start w:val="3"/>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decimal"/>
      <w:start w:val="5"/>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decimal"/>
      <w:start w:val="3"/>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2026-04-23T16:08:41Z</dcterms:created>
  <dcterms:modified xsi:type="dcterms:W3CDTF">2026-04-23T16:08:41Z</dcterms:modified>
</cp:coreProperties>
</file>