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6489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64897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Harris Matthew C</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80"/>
        <w:spacing w:after="0" w:line="268" w:lineRule="auto"/>
        <w:rPr>
          <w:sz w:val="20"/>
          <w:szCs w:val="20"/>
          <w:color w:val="auto"/>
        </w:rPr>
      </w:pPr>
      <w:r>
        <w:rPr>
          <w:rFonts w:ascii="Arial" w:cs="Arial" w:eastAsia="Arial" w:hAnsi="Arial"/>
          <w:sz w:val="18"/>
          <w:szCs w:val="18"/>
          <w:color w:val="0000FF"/>
        </w:rPr>
        <w:t>C/O BAIN CAPITAL VENTURE INVESTORS, LLC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 CLARENDON STREET</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060" w:type="dxa"/>
            <w:vAlign w:val="bottom"/>
          </w:tcPr>
          <w:p>
            <w:pPr>
              <w:ind w:left="260"/>
              <w:spacing w:after="0"/>
              <w:rPr>
                <w:sz w:val="20"/>
                <w:szCs w:val="20"/>
                <w:color w:val="auto"/>
              </w:rPr>
            </w:pPr>
            <w:r>
              <w:rPr>
                <w:rFonts w:ascii="Arial" w:cs="Arial" w:eastAsia="Arial" w:hAnsi="Arial"/>
                <w:sz w:val="18"/>
                <w:szCs w:val="18"/>
                <w:color w:val="0000FF"/>
              </w:rPr>
              <w:t>MA</w:t>
            </w:r>
          </w:p>
        </w:tc>
        <w:tc>
          <w:tcPr>
            <w:tcW w:w="160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06/14/2023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2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22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6.</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540" w:type="dxa"/>
            <w:vAlign w:val="bottom"/>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2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040" w:type="dxa"/>
            <w:vAlign w:val="bottom"/>
            <w:vMerge w:val="restart"/>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40" w:type="dxa"/>
            <w:vAlign w:val="bottom"/>
            <w:vMerge w:val="restart"/>
          </w:tcPr>
          <w:p>
            <w:pPr>
              <w:ind w:left="120"/>
              <w:spacing w:after="0" w:line="136" w:lineRule="exact"/>
              <w:rPr>
                <w:sz w:val="20"/>
                <w:szCs w:val="20"/>
                <w:color w:val="auto"/>
              </w:rPr>
            </w:pPr>
            <w:r>
              <w:rPr>
                <w:rFonts w:ascii="Arial" w:cs="Arial" w:eastAsia="Arial" w:hAnsi="Arial"/>
                <w:sz w:val="12"/>
                <w:szCs w:val="12"/>
                <w:b w:val="1"/>
                <w:bCs w:val="1"/>
                <w:color w:val="auto"/>
              </w:rPr>
              <w:t>Indirect (I)</w:t>
            </w:r>
          </w:p>
        </w:tc>
        <w:tc>
          <w:tcPr>
            <w:tcW w:w="94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200"/>
              <w:spacing w:after="0" w:line="136" w:lineRule="exact"/>
              <w:rPr>
                <w:sz w:val="20"/>
                <w:szCs w:val="20"/>
                <w:color w:val="auto"/>
              </w:rPr>
            </w:pPr>
            <w:r>
              <w:rPr>
                <w:rFonts w:ascii="Arial" w:cs="Arial" w:eastAsia="Arial" w:hAnsi="Arial"/>
                <w:sz w:val="12"/>
                <w:szCs w:val="12"/>
                <w:b w:val="1"/>
                <w:bCs w:val="1"/>
                <w:color w:val="auto"/>
              </w:rPr>
              <w:t>(A)</w:t>
            </w:r>
          </w:p>
        </w:tc>
        <w:tc>
          <w:tcPr>
            <w:tcW w:w="102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0"/>
              <w:spacing w:after="0" w:line="136" w:lineRule="exact"/>
              <w:rPr>
                <w:sz w:val="20"/>
                <w:szCs w:val="20"/>
                <w:color w:val="auto"/>
              </w:rPr>
            </w:pPr>
            <w:r>
              <w:rPr>
                <w:rFonts w:ascii="Arial" w:cs="Arial" w:eastAsia="Arial" w:hAnsi="Arial"/>
                <w:sz w:val="12"/>
                <w:szCs w:val="12"/>
                <w:b w:val="1"/>
                <w:bCs w:val="1"/>
                <w:color w:val="auto"/>
              </w:rPr>
              <w:t>or</w:t>
            </w:r>
          </w:p>
        </w:tc>
        <w:tc>
          <w:tcPr>
            <w:tcW w:w="102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2"/>
                <w:szCs w:val="12"/>
                <w:b w:val="1"/>
                <w:bCs w:val="1"/>
                <w:color w:val="auto"/>
              </w:rPr>
              <w:t>(D)</w:t>
            </w:r>
          </w:p>
        </w:tc>
        <w:tc>
          <w:tcPr>
            <w:tcW w:w="10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2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vMerge w:val="restart"/>
          </w:tcPr>
          <w:p>
            <w:pPr>
              <w:ind w:left="180"/>
              <w:spacing w:after="0"/>
              <w:rPr>
                <w:sz w:val="20"/>
                <w:szCs w:val="20"/>
                <w:color w:val="auto"/>
              </w:rPr>
            </w:pPr>
            <w:r>
              <w:rPr>
                <w:rFonts w:ascii="Arial" w:cs="Arial" w:eastAsia="Arial" w:hAnsi="Arial"/>
                <w:sz w:val="18"/>
                <w:szCs w:val="18"/>
                <w:color w:val="0000FF"/>
              </w:rPr>
              <w:t>06/14/2023</w:t>
            </w:r>
          </w:p>
        </w:tc>
        <w:tc>
          <w:tcPr>
            <w:tcW w:w="820" w:type="dxa"/>
            <w:vAlign w:val="bottom"/>
          </w:tcPr>
          <w:p>
            <w:pPr>
              <w:spacing w:after="0"/>
              <w:rPr>
                <w:sz w:val="18"/>
                <w:szCs w:val="18"/>
                <w:color w:val="auto"/>
              </w:rPr>
            </w:pPr>
          </w:p>
        </w:tc>
        <w:tc>
          <w:tcPr>
            <w:tcW w:w="740" w:type="dxa"/>
            <w:vAlign w:val="bottom"/>
            <w:vMerge w:val="restart"/>
          </w:tcPr>
          <w:p>
            <w:pPr>
              <w:ind w:left="500"/>
              <w:spacing w:after="0"/>
              <w:rPr>
                <w:sz w:val="20"/>
                <w:szCs w:val="20"/>
                <w:color w:val="auto"/>
              </w:rPr>
            </w:pPr>
            <w:r>
              <w:rPr>
                <w:rFonts w:ascii="Arial" w:cs="Arial" w:eastAsia="Arial" w:hAnsi="Arial"/>
                <w:sz w:val="27"/>
                <w:szCs w:val="27"/>
                <w:color w:val="0000FF"/>
                <w:w w:val="97"/>
                <w:vertAlign w:val="subscript"/>
              </w:rPr>
              <w:t>J</w:t>
            </w:r>
            <w:r>
              <w:rPr>
                <w:rFonts w:ascii="Arial" w:cs="Arial" w:eastAsia="Arial" w:hAnsi="Arial"/>
                <w:sz w:val="11"/>
                <w:szCs w:val="11"/>
                <w:color w:val="008000"/>
                <w:w w:val="97"/>
              </w:rPr>
              <w:t>(3)</w:t>
            </w:r>
          </w:p>
        </w:tc>
        <w:tc>
          <w:tcPr>
            <w:tcW w:w="1460" w:type="dxa"/>
            <w:vAlign w:val="bottom"/>
            <w:gridSpan w:val="2"/>
            <w:vMerge w:val="restart"/>
          </w:tcPr>
          <w:p>
            <w:pPr>
              <w:jc w:val="center"/>
              <w:ind w:left="189"/>
              <w:spacing w:after="0"/>
              <w:rPr>
                <w:sz w:val="20"/>
                <w:szCs w:val="20"/>
                <w:color w:val="auto"/>
              </w:rPr>
            </w:pPr>
            <w:r>
              <w:rPr>
                <w:rFonts w:ascii="Arial" w:cs="Arial" w:eastAsia="Arial" w:hAnsi="Arial"/>
                <w:sz w:val="18"/>
                <w:szCs w:val="18"/>
                <w:color w:val="0000FF"/>
                <w:w w:val="89"/>
              </w:rPr>
              <w:t>3,553,002</w:t>
            </w:r>
          </w:p>
        </w:tc>
        <w:tc>
          <w:tcPr>
            <w:tcW w:w="120" w:type="dxa"/>
            <w:vAlign w:val="bottom"/>
            <w:vMerge w:val="restart"/>
          </w:tcPr>
          <w:p>
            <w:pPr>
              <w:spacing w:after="0"/>
              <w:rPr>
                <w:sz w:val="20"/>
                <w:szCs w:val="20"/>
                <w:color w:val="auto"/>
              </w:rPr>
            </w:pPr>
            <w:r>
              <w:rPr>
                <w:rFonts w:ascii="Arial" w:cs="Arial" w:eastAsia="Arial" w:hAnsi="Arial"/>
                <w:sz w:val="18"/>
                <w:szCs w:val="18"/>
                <w:color w:val="0000FF"/>
                <w:w w:val="76"/>
              </w:rPr>
              <w:t>D</w:t>
            </w:r>
          </w:p>
        </w:tc>
        <w:tc>
          <w:tcPr>
            <w:tcW w:w="920" w:type="dxa"/>
            <w:vAlign w:val="bottom"/>
            <w:vMerge w:val="restart"/>
          </w:tcPr>
          <w:p>
            <w:pPr>
              <w:jc w:val="center"/>
              <w:ind w:left="254"/>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60" w:type="dxa"/>
            <w:vAlign w:val="bottom"/>
          </w:tcPr>
          <w:p>
            <w:pPr>
              <w:spacing w:after="0"/>
              <w:rPr>
                <w:sz w:val="18"/>
                <w:szCs w:val="18"/>
                <w:color w:val="auto"/>
              </w:rPr>
            </w:pPr>
          </w:p>
        </w:tc>
        <w:tc>
          <w:tcPr>
            <w:tcW w:w="1580" w:type="dxa"/>
            <w:vAlign w:val="bottom"/>
            <w:gridSpan w:val="2"/>
            <w:vMerge w:val="restart"/>
          </w:tcPr>
          <w:p>
            <w:pPr>
              <w:jc w:val="center"/>
              <w:ind w:right="176"/>
              <w:spacing w:after="0"/>
              <w:rPr>
                <w:sz w:val="20"/>
                <w:szCs w:val="20"/>
                <w:color w:val="auto"/>
              </w:rPr>
            </w:pPr>
            <w:r>
              <w:rPr>
                <w:rFonts w:ascii="Arial" w:cs="Arial" w:eastAsia="Arial" w:hAnsi="Arial"/>
                <w:sz w:val="18"/>
                <w:szCs w:val="18"/>
                <w:color w:val="0000FF"/>
                <w:w w:val="89"/>
              </w:rPr>
              <w:t>242,386</w:t>
            </w:r>
          </w:p>
        </w:tc>
        <w:tc>
          <w:tcPr>
            <w:tcW w:w="520" w:type="dxa"/>
            <w:vAlign w:val="bottom"/>
            <w:vMerge w:val="restart"/>
          </w:tcPr>
          <w:p>
            <w:pPr>
              <w:jc w:val="center"/>
              <w:ind w:right="268"/>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gridSpan w:val="3"/>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vMerge w:val="restart"/>
          </w:tcPr>
          <w:p>
            <w:pPr>
              <w:ind w:left="180"/>
              <w:spacing w:after="0"/>
              <w:rPr>
                <w:sz w:val="20"/>
                <w:szCs w:val="20"/>
                <w:color w:val="auto"/>
              </w:rPr>
            </w:pPr>
            <w:r>
              <w:rPr>
                <w:rFonts w:ascii="Arial" w:cs="Arial" w:eastAsia="Arial" w:hAnsi="Arial"/>
                <w:sz w:val="18"/>
                <w:szCs w:val="18"/>
                <w:color w:val="0000FF"/>
              </w:rPr>
              <w:t>06/16/2023</w:t>
            </w:r>
          </w:p>
        </w:tc>
        <w:tc>
          <w:tcPr>
            <w:tcW w:w="820" w:type="dxa"/>
            <w:vAlign w:val="bottom"/>
          </w:tcPr>
          <w:p>
            <w:pPr>
              <w:spacing w:after="0"/>
              <w:rPr>
                <w:sz w:val="22"/>
                <w:szCs w:val="22"/>
                <w:color w:val="auto"/>
              </w:rPr>
            </w:pPr>
          </w:p>
        </w:tc>
        <w:tc>
          <w:tcPr>
            <w:tcW w:w="740" w:type="dxa"/>
            <w:vAlign w:val="bottom"/>
            <w:vMerge w:val="restart"/>
          </w:tcPr>
          <w:p>
            <w:pPr>
              <w:ind w:left="560"/>
              <w:spacing w:after="0"/>
              <w:rPr>
                <w:sz w:val="20"/>
                <w:szCs w:val="20"/>
                <w:color w:val="auto"/>
              </w:rPr>
            </w:pPr>
            <w:r>
              <w:rPr>
                <w:rFonts w:ascii="Arial" w:cs="Arial" w:eastAsia="Arial" w:hAnsi="Arial"/>
                <w:sz w:val="14"/>
                <w:szCs w:val="14"/>
                <w:color w:val="0000FF"/>
              </w:rPr>
              <w:t>S</w:t>
            </w:r>
          </w:p>
        </w:tc>
        <w:tc>
          <w:tcPr>
            <w:tcW w:w="1460" w:type="dxa"/>
            <w:vAlign w:val="bottom"/>
            <w:gridSpan w:val="2"/>
            <w:vMerge w:val="restart"/>
          </w:tcPr>
          <w:p>
            <w:pPr>
              <w:jc w:val="center"/>
              <w:ind w:left="189"/>
              <w:spacing w:after="0"/>
              <w:rPr>
                <w:sz w:val="20"/>
                <w:szCs w:val="20"/>
                <w:color w:val="auto"/>
              </w:rPr>
            </w:pPr>
            <w:r>
              <w:rPr>
                <w:rFonts w:ascii="Arial" w:cs="Arial" w:eastAsia="Arial" w:hAnsi="Arial"/>
                <w:sz w:val="18"/>
                <w:szCs w:val="18"/>
                <w:color w:val="0000FF"/>
                <w:w w:val="86"/>
              </w:rPr>
              <w:t>191,976</w:t>
            </w:r>
          </w:p>
        </w:tc>
        <w:tc>
          <w:tcPr>
            <w:tcW w:w="120" w:type="dxa"/>
            <w:vAlign w:val="bottom"/>
            <w:vMerge w:val="restart"/>
          </w:tcPr>
          <w:p>
            <w:pPr>
              <w:spacing w:after="0"/>
              <w:rPr>
                <w:sz w:val="20"/>
                <w:szCs w:val="20"/>
                <w:color w:val="auto"/>
              </w:rPr>
            </w:pPr>
            <w:r>
              <w:rPr>
                <w:rFonts w:ascii="Arial" w:cs="Arial" w:eastAsia="Arial" w:hAnsi="Arial"/>
                <w:sz w:val="18"/>
                <w:szCs w:val="18"/>
                <w:color w:val="0000FF"/>
                <w:w w:val="76"/>
              </w:rPr>
              <w:t>D</w:t>
            </w:r>
          </w:p>
        </w:tc>
        <w:tc>
          <w:tcPr>
            <w:tcW w:w="980" w:type="dxa"/>
            <w:vAlign w:val="bottom"/>
            <w:gridSpan w:val="2"/>
            <w:vMerge w:val="restart"/>
          </w:tcPr>
          <w:p>
            <w:pPr>
              <w:jc w:val="center"/>
              <w:ind w:left="214"/>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30.977</w:t>
            </w:r>
            <w:r>
              <w:rPr>
                <w:rFonts w:ascii="Arial" w:cs="Arial" w:eastAsia="Arial" w:hAnsi="Arial"/>
                <w:sz w:val="22"/>
                <w:szCs w:val="22"/>
                <w:color w:val="008000"/>
                <w:w w:val="84"/>
                <w:vertAlign w:val="superscript"/>
              </w:rPr>
              <w:t>(4)</w:t>
            </w:r>
          </w:p>
        </w:tc>
        <w:tc>
          <w:tcPr>
            <w:tcW w:w="1580" w:type="dxa"/>
            <w:vAlign w:val="bottom"/>
            <w:gridSpan w:val="2"/>
            <w:vMerge w:val="restart"/>
          </w:tcPr>
          <w:p>
            <w:pPr>
              <w:jc w:val="center"/>
              <w:ind w:right="196"/>
              <w:spacing w:after="0"/>
              <w:rPr>
                <w:sz w:val="20"/>
                <w:szCs w:val="20"/>
                <w:color w:val="auto"/>
              </w:rPr>
            </w:pPr>
            <w:r>
              <w:rPr>
                <w:rFonts w:ascii="Arial" w:cs="Arial" w:eastAsia="Arial" w:hAnsi="Arial"/>
                <w:sz w:val="18"/>
                <w:szCs w:val="18"/>
                <w:color w:val="0000FF"/>
                <w:w w:val="87"/>
              </w:rPr>
              <w:t>50,410</w:t>
            </w:r>
          </w:p>
        </w:tc>
        <w:tc>
          <w:tcPr>
            <w:tcW w:w="520" w:type="dxa"/>
            <w:vAlign w:val="bottom"/>
            <w:vMerge w:val="restart"/>
          </w:tcPr>
          <w:p>
            <w:pPr>
              <w:jc w:val="center"/>
              <w:ind w:right="268"/>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gridSpan w:val="3"/>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vMerge w:val="restart"/>
          </w:tcPr>
          <w:p>
            <w:pPr>
              <w:ind w:left="180"/>
              <w:spacing w:after="0"/>
              <w:rPr>
                <w:sz w:val="20"/>
                <w:szCs w:val="20"/>
                <w:color w:val="auto"/>
              </w:rPr>
            </w:pPr>
            <w:r>
              <w:rPr>
                <w:rFonts w:ascii="Arial" w:cs="Arial" w:eastAsia="Arial" w:hAnsi="Arial"/>
                <w:sz w:val="18"/>
                <w:szCs w:val="18"/>
                <w:color w:val="0000FF"/>
              </w:rPr>
              <w:t>06/16/2023</w:t>
            </w:r>
          </w:p>
        </w:tc>
        <w:tc>
          <w:tcPr>
            <w:tcW w:w="820" w:type="dxa"/>
            <w:vAlign w:val="bottom"/>
          </w:tcPr>
          <w:p>
            <w:pPr>
              <w:spacing w:after="0"/>
              <w:rPr>
                <w:sz w:val="22"/>
                <w:szCs w:val="22"/>
                <w:color w:val="auto"/>
              </w:rPr>
            </w:pPr>
          </w:p>
        </w:tc>
        <w:tc>
          <w:tcPr>
            <w:tcW w:w="740" w:type="dxa"/>
            <w:vAlign w:val="bottom"/>
            <w:vMerge w:val="restart"/>
          </w:tcPr>
          <w:p>
            <w:pPr>
              <w:ind w:left="560"/>
              <w:spacing w:after="0"/>
              <w:rPr>
                <w:sz w:val="20"/>
                <w:szCs w:val="20"/>
                <w:color w:val="auto"/>
              </w:rPr>
            </w:pPr>
            <w:r>
              <w:rPr>
                <w:rFonts w:ascii="Arial" w:cs="Arial" w:eastAsia="Arial" w:hAnsi="Arial"/>
                <w:sz w:val="14"/>
                <w:szCs w:val="14"/>
                <w:color w:val="0000FF"/>
              </w:rPr>
              <w:t>S</w:t>
            </w:r>
          </w:p>
        </w:tc>
        <w:tc>
          <w:tcPr>
            <w:tcW w:w="1460" w:type="dxa"/>
            <w:vAlign w:val="bottom"/>
            <w:gridSpan w:val="2"/>
            <w:vMerge w:val="restart"/>
          </w:tcPr>
          <w:p>
            <w:pPr>
              <w:jc w:val="center"/>
              <w:ind w:left="189"/>
              <w:spacing w:after="0"/>
              <w:rPr>
                <w:sz w:val="20"/>
                <w:szCs w:val="20"/>
                <w:color w:val="auto"/>
              </w:rPr>
            </w:pPr>
            <w:r>
              <w:rPr>
                <w:rFonts w:ascii="Arial" w:cs="Arial" w:eastAsia="Arial" w:hAnsi="Arial"/>
                <w:sz w:val="18"/>
                <w:szCs w:val="18"/>
                <w:color w:val="0000FF"/>
                <w:w w:val="87"/>
              </w:rPr>
              <w:t>50,410</w:t>
            </w:r>
          </w:p>
        </w:tc>
        <w:tc>
          <w:tcPr>
            <w:tcW w:w="120" w:type="dxa"/>
            <w:vAlign w:val="bottom"/>
            <w:vMerge w:val="restart"/>
          </w:tcPr>
          <w:p>
            <w:pPr>
              <w:spacing w:after="0"/>
              <w:rPr>
                <w:sz w:val="20"/>
                <w:szCs w:val="20"/>
                <w:color w:val="auto"/>
              </w:rPr>
            </w:pPr>
            <w:r>
              <w:rPr>
                <w:rFonts w:ascii="Arial" w:cs="Arial" w:eastAsia="Arial" w:hAnsi="Arial"/>
                <w:sz w:val="18"/>
                <w:szCs w:val="18"/>
                <w:color w:val="0000FF"/>
                <w:w w:val="76"/>
              </w:rPr>
              <w:t>D</w:t>
            </w:r>
          </w:p>
        </w:tc>
        <w:tc>
          <w:tcPr>
            <w:tcW w:w="1580" w:type="dxa"/>
            <w:vAlign w:val="bottom"/>
            <w:gridSpan w:val="3"/>
            <w:vMerge w:val="restart"/>
          </w:tcPr>
          <w:p>
            <w:pPr>
              <w:jc w:val="center"/>
              <w:ind w:right="268"/>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31.8567</w:t>
            </w:r>
            <w:r>
              <w:rPr>
                <w:rFonts w:ascii="Arial" w:cs="Arial" w:eastAsia="Arial" w:hAnsi="Arial"/>
                <w:sz w:val="22"/>
                <w:szCs w:val="22"/>
                <w:color w:val="008000"/>
                <w:w w:val="85"/>
                <w:vertAlign w:val="superscript"/>
              </w:rPr>
              <w:t>(5)</w:t>
            </w:r>
          </w:p>
        </w:tc>
        <w:tc>
          <w:tcPr>
            <w:tcW w:w="980" w:type="dxa"/>
            <w:vAlign w:val="bottom"/>
            <w:vMerge w:val="restart"/>
          </w:tcPr>
          <w:p>
            <w:pPr>
              <w:jc w:val="center"/>
              <w:ind w:right="776"/>
              <w:spacing w:after="0"/>
              <w:rPr>
                <w:sz w:val="20"/>
                <w:szCs w:val="20"/>
                <w:color w:val="auto"/>
              </w:rPr>
            </w:pPr>
            <w:r>
              <w:rPr>
                <w:rFonts w:ascii="Arial" w:cs="Arial" w:eastAsia="Arial" w:hAnsi="Arial"/>
                <w:sz w:val="18"/>
                <w:szCs w:val="18"/>
                <w:color w:val="0000FF"/>
                <w:w w:val="99"/>
              </w:rPr>
              <w:t>0</w:t>
            </w:r>
          </w:p>
        </w:tc>
        <w:tc>
          <w:tcPr>
            <w:tcW w:w="520" w:type="dxa"/>
            <w:vAlign w:val="bottom"/>
            <w:vMerge w:val="restart"/>
          </w:tcPr>
          <w:p>
            <w:pPr>
              <w:jc w:val="center"/>
              <w:ind w:right="268"/>
              <w:spacing w:after="0"/>
              <w:rPr>
                <w:sz w:val="20"/>
                <w:szCs w:val="20"/>
                <w:color w:val="auto"/>
              </w:rPr>
            </w:pPr>
            <w:r>
              <w:rPr>
                <w:rFonts w:ascii="Arial" w:cs="Arial" w:eastAsia="Arial" w:hAnsi="Arial"/>
                <w:sz w:val="18"/>
                <w:szCs w:val="18"/>
                <w:color w:val="0000FF"/>
              </w:rPr>
              <w:t>I</w:t>
            </w:r>
          </w:p>
        </w:tc>
        <w:tc>
          <w:tcPr>
            <w:tcW w:w="340" w:type="dxa"/>
            <w:vAlign w:val="bottom"/>
          </w:tcPr>
          <w:p>
            <w:pPr>
              <w:ind w:left="8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gridSpan w:val="3"/>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060" w:type="dxa"/>
            <w:vAlign w:val="bottom"/>
            <w:gridSpan w:val="4"/>
          </w:tcPr>
          <w:p>
            <w:pPr>
              <w:ind w:left="8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ind w:left="8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right="176"/>
              <w:spacing w:after="0"/>
              <w:rPr>
                <w:sz w:val="20"/>
                <w:szCs w:val="20"/>
                <w:color w:val="auto"/>
              </w:rPr>
            </w:pPr>
            <w:r>
              <w:rPr>
                <w:rFonts w:ascii="Arial" w:cs="Arial" w:eastAsia="Arial" w:hAnsi="Arial"/>
                <w:sz w:val="18"/>
                <w:szCs w:val="18"/>
                <w:color w:val="0000FF"/>
                <w:w w:val="84"/>
              </w:rPr>
              <w:t>108,103</w:t>
            </w:r>
            <w:r>
              <w:rPr>
                <w:rFonts w:ascii="Arial" w:cs="Arial" w:eastAsia="Arial" w:hAnsi="Arial"/>
                <w:sz w:val="22"/>
                <w:szCs w:val="22"/>
                <w:color w:val="008000"/>
                <w:w w:val="84"/>
                <w:vertAlign w:val="superscript"/>
              </w:rPr>
              <w:t>(6)</w:t>
            </w:r>
          </w:p>
        </w:tc>
        <w:tc>
          <w:tcPr>
            <w:tcW w:w="520" w:type="dxa"/>
            <w:vAlign w:val="bottom"/>
            <w:tcBorders>
              <w:bottom w:val="single" w:sz="8" w:color="2C2C2C"/>
            </w:tcBorders>
          </w:tcPr>
          <w:p>
            <w:pPr>
              <w:jc w:val="center"/>
              <w:ind w:right="268"/>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1"/>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4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4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120" w:type="dxa"/>
            <w:vAlign w:val="bottom"/>
          </w:tcPr>
          <w:p>
            <w:pPr>
              <w:spacing w:after="0"/>
              <w:rPr>
                <w:sz w:val="11"/>
                <w:szCs w:val="11"/>
                <w:color w:val="auto"/>
              </w:rPr>
            </w:pPr>
          </w:p>
        </w:tc>
        <w:tc>
          <w:tcPr>
            <w:tcW w:w="9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9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9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Owned</w:t>
            </w:r>
          </w:p>
        </w:tc>
        <w:tc>
          <w:tcPr>
            <w:tcW w:w="8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9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9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3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8"/>
              </w:rPr>
              <w:t>Expiration</w:t>
            </w:r>
          </w:p>
        </w:tc>
        <w:tc>
          <w:tcPr>
            <w:tcW w:w="120" w:type="dxa"/>
            <w:vAlign w:val="bottom"/>
          </w:tcPr>
          <w:p>
            <w:pPr>
              <w:spacing w:after="0"/>
              <w:rPr>
                <w:sz w:val="11"/>
                <w:szCs w:val="11"/>
                <w:color w:val="auto"/>
              </w:rPr>
            </w:pPr>
          </w:p>
        </w:tc>
        <w:tc>
          <w:tcPr>
            <w:tcW w:w="980" w:type="dxa"/>
            <w:vAlign w:val="bottom"/>
            <w:gridSpan w:val="2"/>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6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Consists of securities held by Bain Capital Venture Fund 2014, L.P. ("BCV Fund 2014"), Bain Capital Venture Fund 2016, L.P. ("BCV Fund 2016"), Bain Capital Venture Coinvestment Fund II, L.P. ("BCV Coinvest Fund II"), BCV 2019-MD Coinvestment II, L.P. ("BCV 2019-MD Coinvest II"), Bain Capital Venture Partners 2014, L.P. ("BCV Partners 2014"), Bain Capital Venture Partners 2016, L.P. ("BCV Partners 2016"), Bain Capital Venture Coinvestment II Partners, L.P. ("BCV Coinvest II Partners"), BCIP Venture Associates ("BCIP Venture"), BCIP Venture Associates-B ("BCIP Venture-B"), BCIP Venture Associates II, LP ("BCIP Venture II") and BCIP Venture Associates II-B, LP ("BCIP Venture II-B" and, together with BCV Fund 2014, BCV Fund 2016, BCV Coinvest Fund II, BCV 2019-MD Coinvest II, BCV Partners 2014, BCV Partners 2016, BCV Coinvest II Partners, BCIP Venture, BCIP Venture-B and BCIP Venture II, the "Bain Capital Venture Entities").</w:t>
      </w:r>
    </w:p>
    <w:p>
      <w:pPr>
        <w:spacing w:after="0" w:line="12" w:lineRule="exact"/>
        <w:rPr>
          <w:rFonts w:ascii="Arial" w:cs="Arial" w:eastAsia="Arial" w:hAnsi="Arial"/>
          <w:sz w:val="12"/>
          <w:szCs w:val="12"/>
          <w:color w:val="008000"/>
        </w:rPr>
      </w:pPr>
    </w:p>
    <w:p>
      <w:pPr>
        <w:jc w:val="both"/>
        <w:ind w:left="40" w:right="2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Bain Capital Venture Investors, LLC ("BCVI") (i) is the ultimate general partner of BCV Fund 2014, BCV Fund 2016, BCV Coinvest Fund II, BCV 2019-MD Coinvest II, BCV Partners 2014, BCV Partners 2016 and BCV Coinvest II Partners and (ii) governs the investment strategy and decision-making process with respect to investments held by BCIP Venture, BCIP Venture-B, BCIP Venture II and BCIP Venture II-B. Mr. Harris is a Partner of BCVI. By virtue of the relationships described in this footnote, Mr. Harris may be deemed to share voting and dispositive power with respect to the securities held by the Bain Capital Venture Entities. Mr. Harris disclaims beneficial ownership of such securities except to the extent of his pecuniary interest therein.</w:t>
      </w:r>
    </w:p>
    <w:p>
      <w:pPr>
        <w:spacing w:after="0" w:line="9" w:lineRule="exact"/>
        <w:rPr>
          <w:rFonts w:ascii="Arial" w:cs="Arial" w:eastAsia="Arial" w:hAnsi="Arial"/>
          <w:sz w:val="12"/>
          <w:szCs w:val="12"/>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June 14, 2023, certain of the Bain Capital Venture Entities distributed an aggregate of 3,553,002 shares of Voting Common Stock to one or more partners in pro-rata in-kind distributions without consideration, including an aggregate of 62,411 shares of Voting Common Stock that were distributed to Mr. Harris.</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$30.70 to $31.70, inclusive. The reporting person undertakes to provide to Flywire Corporation, any security holder of Flywire Corporation or the staff of the Securities and Exchange Commission, upon request, full information regarding the number of shares sold at each separate price within the range set forth in footnotes (4) and (5) herein.</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$31.71 to $32.00,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62,411 shares of Voting Common Stock received in the distributions referred to in footnote (3) above.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9"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FF"/>
              </w:rPr>
              <w:t>/s/ Matthew C Harris</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06/16/2023</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ectPr>
          <w:pgSz w:w="11900" w:h="16838" w:orient="portrait"/>
          <w:cols w:equalWidth="0" w:num="1">
            <w:col w:w="11080"/>
          </w:cols>
          <w:pgMar w:left="460" w:top="226" w:right="359" w:bottom="0" w:gutter="0" w:footer="0" w:header="0"/>
          <w:type w:val="continuous"/>
        </w:sectPr>
      </w:pPr>
    </w:p>
    <w:bookmarkStart w:id="1" w:name="page2"/>
    <w:bookmarkEnd w:id="1"/>
    <w:p>
      <w:pPr>
        <w:jc w:val="both"/>
        <w:ind w:right="2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138"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02"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2023-06-16T17:52:07Z</dcterms:created>
  <dcterms:modified xsi:type="dcterms:W3CDTF">2023-06-16T17:52:07Z</dcterms:modified>
</cp:coreProperties>
</file>