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Howard Gretchen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award ("RSU") that vests in three equal annual installments on each anniversary of the date of grant, subject to the Reporting Person's continuous service as a member of the Issuer's board of directors through such date. In addition, the RSU will accelerate and fully vest upon a change in control, or the Reporting Person's earlier death or disability.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/s/Gretchen Howard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437" TargetMode="External"/><Relationship Id="rId4" Type="http://schemas.openxmlformats.org/officeDocument/2006/relationships/hyperlink" Target="http://www.sec.gov/cgi-bin/browse-edgar?action=getcompany&amp;CIK=00015805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3353</Characters>
  <CharactersWithSpaces>3910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