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King David 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35"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Technology Officer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7"/>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1"/>
          </w:tcPr>
          <w:p>
            <w:pPr>
              <w:ind w:left="4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02111</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gridSpan w:val="3"/>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760" w:type="dxa"/>
            <w:vAlign w:val="bottom"/>
            <w:tcBorders>
              <w:bottom w:val="single" w:sz="8" w:color="2C2C2C"/>
            </w:tcBorders>
            <w:gridSpan w:val="3"/>
          </w:tcPr>
          <w:p>
            <w:pPr>
              <w:ind w:left="780"/>
              <w:spacing w:after="0"/>
              <w:rPr>
                <w:sz w:val="20"/>
                <w:szCs w:val="20"/>
                <w:color w:val="auto"/>
              </w:rPr>
            </w:pPr>
            <w:r>
              <w:rPr>
                <w:rFonts w:ascii="Arial" w:cs="Arial" w:eastAsia="Arial" w:hAnsi="Arial"/>
                <w:sz w:val="17"/>
                <w:szCs w:val="17"/>
                <w:color w:val="0000FF"/>
              </w:rPr>
              <w:t>03/04/2022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0"/>
              </w:rPr>
              <w:t>126,019</w:t>
            </w:r>
            <w:r>
              <w:rPr>
                <w:rFonts w:ascii="Arial" w:cs="Arial" w:eastAsia="Arial" w:hAnsi="Arial"/>
                <w:sz w:val="22"/>
                <w:szCs w:val="22"/>
                <w:color w:val="008000"/>
                <w:w w:val="90"/>
                <w:vertAlign w:val="superscript"/>
              </w:rPr>
              <w:t>(1)</w:t>
            </w:r>
          </w:p>
        </w:tc>
        <w:tc>
          <w:tcPr>
            <w:tcW w:w="4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3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812,179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Arial" w:cs="Arial" w:eastAsia="Arial" w:hAnsi="Arial"/>
                <w:sz w:val="17"/>
                <w:szCs w:val="17"/>
                <w:color w:val="0000FF"/>
                <w:w w:val="90"/>
              </w:rPr>
              <w:t>By</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ind w:left="380"/>
              <w:spacing w:after="0"/>
              <w:rPr>
                <w:sz w:val="20"/>
                <w:szCs w:val="20"/>
                <w:color w:val="auto"/>
              </w:rPr>
            </w:pPr>
            <w:r>
              <w:rPr>
                <w:rFonts w:ascii="Arial" w:cs="Arial" w:eastAsia="Arial" w:hAnsi="Arial"/>
                <w:sz w:val="17"/>
                <w:szCs w:val="17"/>
                <w:color w:val="0000FF"/>
              </w:rPr>
              <w:t>128,654</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spacing w:after="0"/>
              <w:rPr>
                <w:sz w:val="20"/>
                <w:szCs w:val="20"/>
                <w:color w:val="auto"/>
              </w:rPr>
            </w:pPr>
            <w:r>
              <w:rPr>
                <w:rFonts w:ascii="Arial" w:cs="Arial" w:eastAsia="Arial" w:hAnsi="Arial"/>
                <w:sz w:val="17"/>
                <w:szCs w:val="17"/>
                <w:color w:val="0000FF"/>
              </w:rPr>
              <w:t>Revocable</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underlying a time-based restricted stock unit award (RSU). The RSU vests with respect to 25% of the shares on March 4, 2023, with the remainder vesting in equal quarterly installments over the following three years, provided that the Reporting Person has provided continuous service to the Issuer through the applicable vesting date.</w:t>
      </w:r>
    </w:p>
    <w:p>
      <w:pPr>
        <w:spacing w:after="0" w:line="15" w:lineRule="exact"/>
        <w:rPr>
          <w:rFonts w:ascii="Arial" w:cs="Arial" w:eastAsia="Arial" w:hAnsi="Arial"/>
          <w:sz w:val="13"/>
          <w:szCs w:val="13"/>
          <w:color w:val="008000"/>
        </w:rPr>
      </w:pPr>
    </w:p>
    <w:p>
      <w:pPr>
        <w:ind w:left="40" w:right="3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6"/>
              </w:rPr>
              <w:t>/s/ David R. King</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03/08/2022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2022-03-08T16:08:36Z</dcterms:created>
  <dcterms:modified xsi:type="dcterms:W3CDTF">2022-03-08T16:08:36Z</dcterms:modified>
</cp:coreProperties>
</file>