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6994525" cy="6555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555105"/>
                    </a:xfrm>
                    <a:prstGeom prst="rect">
                      <a:avLst/>
                    </a:prstGeom>
                    <a:noFill/>
                  </pic:spPr>
                </pic:pic>
              </a:graphicData>
            </a:graphic>
          </wp:anchor>
        </w:drawing>
      </w:r>
    </w:p>
    <w:p>
      <w:pPr>
        <w:spacing w:after="0" w:line="99" w:lineRule="exact"/>
        <w:rPr>
          <w:sz w:val="24"/>
          <w:szCs w:val="24"/>
          <w:color w:val="auto"/>
        </w:rPr>
      </w:pPr>
    </w:p>
    <w:p>
      <w:pPr>
        <w:sectPr>
          <w:pgSz w:w="11900" w:h="16855" w:orient="portrait"/>
          <w:cols w:equalWidth="0" w:num="2">
            <w:col w:w="2240" w:space="320"/>
            <w:col w:w="852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Natauri Jo</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860"/>
        <w:spacing w:after="0" w:line="340" w:lineRule="auto"/>
        <w:rPr>
          <w:sz w:val="20"/>
          <w:szCs w:val="20"/>
          <w:color w:val="auto"/>
        </w:rPr>
      </w:pPr>
      <w:r>
        <w:rPr>
          <w:rFonts w:ascii="Times New Roman" w:cs="Times New Roman" w:eastAsia="Times New Roman" w:hAnsi="Times New Roman"/>
          <w:sz w:val="17"/>
          <w:szCs w:val="17"/>
          <w:color w:val="0000FF"/>
        </w:rPr>
        <w:t>C/O GOLDMAN SACHS GROUP INC., 200 WEST STREET</w:t>
      </w:r>
    </w:p>
    <w:p>
      <w:pPr>
        <w:spacing w:after="0" w:line="17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10282</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266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1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09/02/2022</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266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2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8"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66" w:lineRule="exact"/>
        <w:rPr>
          <w:sz w:val="24"/>
          <w:szCs w:val="24"/>
          <w:color w:val="auto"/>
        </w:rPr>
      </w:pPr>
    </w:p>
    <w:p>
      <w:pPr>
        <w:sectPr>
          <w:pgSz w:w="11900" w:h="16855" w:orient="portrait"/>
          <w:cols w:equalWidth="0" w:num="2">
            <w:col w:w="3740" w:space="10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0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00" w:type="dxa"/>
            <w:vAlign w:val="bottom"/>
            <w:gridSpan w:val="2"/>
          </w:tcPr>
          <w:p>
            <w:pPr>
              <w:jc w:val="center"/>
              <w:ind w:left="49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80" w:type="dxa"/>
            <w:vAlign w:val="bottom"/>
            <w:gridSpan w:val="4"/>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09/02/2022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61,542</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220" w:type="dxa"/>
            <w:vAlign w:val="bottom"/>
            <w:gridSpan w:val="3"/>
            <w:vMerge w:val="restart"/>
          </w:tcPr>
          <w:p>
            <w:pPr>
              <w:jc w:val="right"/>
              <w:ind w:right="261"/>
              <w:spacing w:after="0"/>
              <w:rPr>
                <w:sz w:val="20"/>
                <w:szCs w:val="20"/>
                <w:color w:val="auto"/>
              </w:rPr>
            </w:pPr>
            <w:r>
              <w:rPr>
                <w:rFonts w:ascii="Times New Roman" w:cs="Times New Roman" w:eastAsia="Times New Roman" w:hAnsi="Times New Roman"/>
                <w:sz w:val="17"/>
                <w:szCs w:val="17"/>
                <w:color w:val="0000FF"/>
              </w:rPr>
              <w:t>480,703</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3"/>
              </w:rPr>
              <w:t>footnote</w:t>
            </w:r>
            <w:r>
              <w:rPr>
                <w:rFonts w:ascii="Times New Roman" w:cs="Times New Roman" w:eastAsia="Times New Roman" w:hAnsi="Times New Roman"/>
                <w:sz w:val="21"/>
                <w:szCs w:val="21"/>
                <w:color w:val="008000"/>
                <w:w w:val="93"/>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09/02/2022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61,542</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23.49</w:t>
            </w:r>
          </w:p>
        </w:tc>
        <w:tc>
          <w:tcPr>
            <w:tcW w:w="1220" w:type="dxa"/>
            <w:vAlign w:val="bottom"/>
            <w:gridSpan w:val="3"/>
            <w:vMerge w:val="restart"/>
          </w:tcPr>
          <w:p>
            <w:pPr>
              <w:jc w:val="right"/>
              <w:ind w:right="261"/>
              <w:spacing w:after="0"/>
              <w:rPr>
                <w:sz w:val="20"/>
                <w:szCs w:val="20"/>
                <w:color w:val="auto"/>
              </w:rPr>
            </w:pPr>
            <w:r>
              <w:rPr>
                <w:rFonts w:ascii="Times New Roman" w:cs="Times New Roman" w:eastAsia="Times New Roman" w:hAnsi="Times New Roman"/>
                <w:sz w:val="17"/>
                <w:szCs w:val="17"/>
                <w:color w:val="0000FF"/>
              </w:rPr>
              <w:t>419,161</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3"/>
              </w:rPr>
              <w:t>footnote</w:t>
            </w:r>
            <w:r>
              <w:rPr>
                <w:rFonts w:ascii="Times New Roman" w:cs="Times New Roman" w:eastAsia="Times New Roman" w:hAnsi="Times New Roman"/>
                <w:sz w:val="21"/>
                <w:szCs w:val="21"/>
                <w:color w:val="008000"/>
                <w:w w:val="93"/>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09/06/2022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86,318</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220" w:type="dxa"/>
            <w:vAlign w:val="bottom"/>
            <w:gridSpan w:val="3"/>
            <w:vMerge w:val="restart"/>
          </w:tcPr>
          <w:p>
            <w:pPr>
              <w:jc w:val="right"/>
              <w:ind w:right="261"/>
              <w:spacing w:after="0"/>
              <w:rPr>
                <w:sz w:val="20"/>
                <w:szCs w:val="20"/>
                <w:color w:val="auto"/>
              </w:rPr>
            </w:pPr>
            <w:r>
              <w:rPr>
                <w:rFonts w:ascii="Times New Roman" w:cs="Times New Roman" w:eastAsia="Times New Roman" w:hAnsi="Times New Roman"/>
                <w:sz w:val="17"/>
                <w:szCs w:val="17"/>
                <w:color w:val="0000FF"/>
              </w:rPr>
              <w:t>598,753</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3"/>
              </w:rPr>
              <w:t>footnote</w:t>
            </w:r>
            <w:r>
              <w:rPr>
                <w:rFonts w:ascii="Times New Roman" w:cs="Times New Roman" w:eastAsia="Times New Roman" w:hAnsi="Times New Roman"/>
                <w:sz w:val="21"/>
                <w:szCs w:val="21"/>
                <w:color w:val="008000"/>
                <w:w w:val="93"/>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09/06/2022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86,318</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24.12</w:t>
            </w:r>
          </w:p>
        </w:tc>
        <w:tc>
          <w:tcPr>
            <w:tcW w:w="1220" w:type="dxa"/>
            <w:vAlign w:val="bottom"/>
            <w:gridSpan w:val="3"/>
            <w:vMerge w:val="restart"/>
          </w:tcPr>
          <w:p>
            <w:pPr>
              <w:jc w:val="right"/>
              <w:ind w:right="261"/>
              <w:spacing w:after="0"/>
              <w:rPr>
                <w:sz w:val="20"/>
                <w:szCs w:val="20"/>
                <w:color w:val="auto"/>
              </w:rPr>
            </w:pPr>
            <w:r>
              <w:rPr>
                <w:rFonts w:ascii="Times New Roman" w:cs="Times New Roman" w:eastAsia="Times New Roman" w:hAnsi="Times New Roman"/>
                <w:sz w:val="17"/>
                <w:szCs w:val="17"/>
                <w:color w:val="0000FF"/>
              </w:rPr>
              <w:t>512,435</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(3)(4)</w:t>
            </w: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20" w:type="dxa"/>
            <w:vAlign w:val="bottom"/>
            <w:gridSpan w:val="10"/>
          </w:tcPr>
          <w:p>
            <w:pPr>
              <w:ind w:left="2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8"/>
          </w:tcPr>
          <w:p>
            <w:pPr>
              <w:ind w:left="7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82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8"/>
              </w:rPr>
              <w:t>Expiration</w:t>
            </w: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4"/>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3"/>
                <w:szCs w:val="13"/>
                <w:color w:val="0000FF"/>
              </w:rPr>
              <w:t>Voting</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vMerge w:val="continue"/>
          </w:tcPr>
          <w:p>
            <w:pPr>
              <w:spacing w:after="0"/>
              <w:rPr>
                <w:sz w:val="6"/>
                <w:szCs w:val="6"/>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61,542</w:t>
            </w: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60"/>
              <w:spacing w:after="0" w:line="137" w:lineRule="exact"/>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09/02/2022</w:t>
            </w:r>
          </w:p>
        </w:tc>
        <w:tc>
          <w:tcPr>
            <w:tcW w:w="1120" w:type="dxa"/>
            <w:vAlign w:val="bottom"/>
          </w:tcPr>
          <w:p>
            <w:pPr>
              <w:spacing w:after="0"/>
              <w:rPr>
                <w:sz w:val="5"/>
                <w:szCs w:val="5"/>
                <w:color w:val="auto"/>
              </w:rPr>
            </w:pPr>
          </w:p>
        </w:tc>
        <w:tc>
          <w:tcPr>
            <w:tcW w:w="58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5"/>
                <w:szCs w:val="5"/>
                <w:color w:val="auto"/>
              </w:rPr>
            </w:pPr>
          </w:p>
        </w:tc>
        <w:tc>
          <w:tcPr>
            <w:tcW w:w="86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61,542</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3,316,566</w:t>
            </w:r>
          </w:p>
        </w:tc>
        <w:tc>
          <w:tcPr>
            <w:tcW w:w="50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26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Borders>
              <w:right w:val="single" w:sz="8" w:color="2C2C2C"/>
            </w:tcBorders>
            <w:gridSpan w:val="3"/>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(3)(4)</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line="218" w:lineRule="exact"/>
              <w:rPr>
                <w:sz w:val="20"/>
                <w:szCs w:val="20"/>
                <w:color w:val="auto"/>
              </w:rPr>
            </w:pPr>
            <w:r>
              <w:rPr>
                <w:rFonts w:ascii="Times New Roman" w:cs="Times New Roman" w:eastAsia="Times New Roman" w:hAnsi="Times New Roman"/>
                <w:sz w:val="13"/>
                <w:szCs w:val="13"/>
                <w:color w:val="0000FF"/>
              </w:rPr>
              <w:t>Stock</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4"/>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3"/>
                <w:szCs w:val="13"/>
                <w:color w:val="0000FF"/>
              </w:rPr>
              <w:t>Voting</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vMerge w:val="continue"/>
          </w:tcPr>
          <w:p>
            <w:pPr>
              <w:spacing w:after="0"/>
              <w:rPr>
                <w:sz w:val="6"/>
                <w:szCs w:val="6"/>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86,318</w:t>
            </w: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60"/>
              <w:spacing w:after="0" w:line="137" w:lineRule="exact"/>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09/06/2022</w:t>
            </w:r>
          </w:p>
        </w:tc>
        <w:tc>
          <w:tcPr>
            <w:tcW w:w="1120" w:type="dxa"/>
            <w:vAlign w:val="bottom"/>
          </w:tcPr>
          <w:p>
            <w:pPr>
              <w:spacing w:after="0"/>
              <w:rPr>
                <w:sz w:val="5"/>
                <w:szCs w:val="5"/>
                <w:color w:val="auto"/>
              </w:rPr>
            </w:pPr>
          </w:p>
        </w:tc>
        <w:tc>
          <w:tcPr>
            <w:tcW w:w="58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5"/>
                <w:szCs w:val="5"/>
                <w:color w:val="auto"/>
              </w:rPr>
            </w:pPr>
          </w:p>
        </w:tc>
        <w:tc>
          <w:tcPr>
            <w:tcW w:w="86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86,318</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3,230,248</w:t>
            </w:r>
          </w:p>
        </w:tc>
        <w:tc>
          <w:tcPr>
            <w:tcW w:w="50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26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Borders>
              <w:right w:val="single" w:sz="8" w:color="2C2C2C"/>
            </w:tcBorders>
            <w:gridSpan w:val="3"/>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(3)(4)</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line="218" w:lineRule="exact"/>
              <w:rPr>
                <w:sz w:val="20"/>
                <w:szCs w:val="20"/>
                <w:color w:val="auto"/>
              </w:rPr>
            </w:pPr>
            <w:r>
              <w:rPr>
                <w:rFonts w:ascii="Times New Roman" w:cs="Times New Roman" w:eastAsia="Times New Roman" w:hAnsi="Times New Roman"/>
                <w:sz w:val="13"/>
                <w:szCs w:val="13"/>
                <w:color w:val="0000FF"/>
              </w:rPr>
              <w:t>Stock</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-2560320</wp:posOffset>
            </wp:positionV>
            <wp:extent cx="29210" cy="256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654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jc w:val="both"/>
        <w:ind w:left="40" w:right="30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spacing w:after="0" w:line="27" w:lineRule="exact"/>
        <w:rPr>
          <w:rFonts w:ascii="Times New Roman" w:cs="Times New Roman" w:eastAsia="Times New Roman" w:hAnsi="Times New Roman"/>
          <w:sz w:val="13"/>
          <w:szCs w:val="13"/>
          <w:color w:val="008000"/>
        </w:rPr>
      </w:pPr>
    </w:p>
    <w:p>
      <w:pPr>
        <w:ind w:left="40" w:right="16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September 2, 2022, the reporting person consummated the sale of all 61,542 shares of Non-Voting Common Stock, resulting in the automatic conversion of such shares into Voting Common Stock upon the execution of the sale of such shares as reported in Table I.</w:t>
      </w:r>
    </w:p>
    <w:p>
      <w:pPr>
        <w:spacing w:after="0" w:line="27" w:lineRule="exact"/>
        <w:rPr>
          <w:rFonts w:ascii="Times New Roman" w:cs="Times New Roman" w:eastAsia="Times New Roman" w:hAnsi="Times New Roman"/>
          <w:sz w:val="13"/>
          <w:szCs w:val="13"/>
          <w:color w:val="008000"/>
        </w:rPr>
      </w:pPr>
    </w:p>
    <w:p>
      <w:pPr>
        <w:ind w:left="40" w:right="140" w:firstLine="1"/>
        <w:spacing w:after="0" w:line="236"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The Goldman Sachs Group, Inc. ("GS Group") may be deemed to beneficially own indirectly these shares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27" w:lineRule="exact"/>
        <w:rPr>
          <w:rFonts w:ascii="Times New Roman" w:cs="Times New Roman" w:eastAsia="Times New Roman" w:hAnsi="Times New Roman"/>
          <w:sz w:val="13"/>
          <w:szCs w:val="13"/>
          <w:color w:val="008000"/>
        </w:rPr>
      </w:pPr>
    </w:p>
    <w:p>
      <w:pPr>
        <w:jc w:val="both"/>
        <w:ind w:left="40" w:right="44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GS Group may be deemed to beneficially own indirectly these shares by reason of the direct or indirect beneficial ownership of such shares by GSPSI, the SB Funds and Bridge Street. Goldman Sachs is a subsidiary of GS Group. Goldman Sachs is the investment manager of the SB Funds, and Bridge Street is the general partner of the SB Funds. Each of Bridge Street and GSPSI is wholly owned by GS Group.</w:t>
      </w:r>
    </w:p>
    <w:p>
      <w:pPr>
        <w:spacing w:after="0" w:line="27" w:lineRule="exact"/>
        <w:rPr>
          <w:rFonts w:ascii="Times New Roman" w:cs="Times New Roman" w:eastAsia="Times New Roman" w:hAnsi="Times New Roman"/>
          <w:sz w:val="13"/>
          <w:szCs w:val="13"/>
          <w:color w:val="008000"/>
        </w:rPr>
      </w:pPr>
    </w:p>
    <w:p>
      <w:pPr>
        <w:ind w:left="40" w:right="16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September 6, 2022, the reporting person consummated the sale of all 86,318 shares of Non-Voting Common Stock, resulting in the automatic conversion of such shares into Voting Common Stock upon the execution of the sale of such shares as reported in Table I.</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89" w:lineRule="exact"/>
        <w:rPr>
          <w:sz w:val="24"/>
          <w:szCs w:val="24"/>
          <w:color w:val="auto"/>
        </w:rPr>
      </w:pPr>
    </w:p>
    <w:tbl>
      <w:tblPr>
        <w:tblLayout w:type="fixed"/>
        <w:tblInd w:w="40" w:type="dxa"/>
        <w:tblCellMar>
          <w:top w:w="0" w:type="dxa"/>
          <w:left w:w="0" w:type="dxa"/>
          <w:bottom w:w="0" w:type="dxa"/>
          <w:right w:w="0" w:type="dxa"/>
        </w:tblCellMar>
      </w:tblPr>
      <w:tr>
        <w:trPr>
          <w:trHeight w:val="215"/>
        </w:trPr>
        <w:tc>
          <w:tcPr>
            <w:tcW w:w="6560" w:type="dxa"/>
            <w:vAlign w:val="bottom"/>
          </w:tcPr>
          <w:p>
            <w:pPr>
              <w:spacing w:after="0"/>
              <w:rPr>
                <w:sz w:val="18"/>
                <w:szCs w:val="18"/>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Crystal Orgill,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09/07/2022</w:t>
            </w: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212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56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2"/>
        </w:trPr>
        <w:tc>
          <w:tcPr>
            <w:tcW w:w="868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8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8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8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55"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1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2022-09-07T18:07:57Z</dcterms:created>
  <dcterms:modified xsi:type="dcterms:W3CDTF">2022-09-07T18:07:57Z</dcterms:modified>
</cp:coreProperties>
</file>