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Riese Phillip John</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Flywire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FLYW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7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6"/>
            <w:vMerge w:val="continue"/>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FLYWIRE CORPORATION</w:t>
            </w:r>
          </w:p>
        </w:tc>
        <w:tc>
          <w:tcPr>
            <w:tcW w:w="13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05/31/2022</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141 TREMONT STREET, SUITE 10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7"/>
            <w:vMerge w:val="continue"/>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9"/>
          </w:tcPr>
          <w:p>
            <w:pPr>
              <w:ind w:left="5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05/31/2022</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9,062</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16,354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7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award that vests on the earlier of (a) May 31, 2023, and (b) the Issuer's next annual meeting of stockholders, provided that the Reporting Person has provided continuous service to the Issuer through such date. In addition, the restricted stock unit will accelerate and fully vest upon a change in control, or the Reporting Person's earlier death or disability.</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Phillip John Riese</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06/02/2022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07696"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2022-06-02T17:59:17Z</dcterms:created>
  <dcterms:modified xsi:type="dcterms:W3CDTF">2022-06-02T17:59:17Z</dcterms:modified>
</cp:coreProperties>
</file>