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4.xml.htm"/>
      <w:bookmarkStart w:id="1" w:name="ksdoc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pPr>
                  <w:hyperlink r:id="rId3">
                    <w:r>
                      <w:rPr>
                        <w:rStyle w:val="InternetLink"/>
                      </w:rPr>
                      <w:t>Massaro Michael</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FLYWIRE CORPORATION</w:t>
                  </w:r>
                </w:p>
              </w:tc>
            </w:tr>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141 TREMONT STREET, SUITE 10</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BOSTON</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MA</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02111</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Flywire Corp</w:t>
              </w:r>
            </w:hyperlink>
            <w:r>
              <w:rPr/>
              <w:t xml:space="preserve"> [ </w:t>
            </w:r>
            <w:r>
              <w:rPr>
                <w:rFonts w:ascii="Times;serif" w:hAnsi="Times;serif"/>
                <w:color w:val="0000FF"/>
                <w:sz w:val="24"/>
                <w:highlight w:val="white"/>
              </w:rPr>
              <w:t>FLYW</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23"/>
              <w:gridCol w:w="988"/>
              <w:gridCol w:w="423"/>
              <w:gridCol w:w="989"/>
            </w:tblGrid>
            <w:tr>
              <w:trPr/>
              <w:tc>
                <w:tcPr>
                  <w:tcW w:w="423"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Chief Executive Officer</w:t>
                  </w:r>
                </w:p>
              </w:tc>
            </w:tr>
          </w:tbl>
          <w:p>
            <w:pPr>
              <w:pStyle w:val="TableContents"/>
              <w:spacing w:before="0" w:after="283"/>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04/11/2023</w:t>
            </w:r>
            <w:r>
              <w:rPr/>
              <w:t xml:space="preserve"> </w:t>
            </w:r>
          </w:p>
        </w:tc>
        <w:tc>
          <w:tcPr>
            <w:tcW w:w="2943"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22"/>
              <w:gridCol w:w="2401"/>
            </w:tblGrid>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shd w:fill="auto" w:val="clear"/>
                  <w:vAlign w:val="center"/>
                </w:tcPr>
                <w:p>
                  <w:pPr>
                    <w:pStyle w:val="TableContents"/>
                    <w:spacing w:before="0" w:after="283"/>
                    <w:rPr>
                      <w:sz w:val="4"/>
                      <w:szCs w:val="4"/>
                    </w:rPr>
                  </w:pPr>
                  <w:r>
                    <w:rPr>
                      <w:sz w:val="4"/>
                      <w:szCs w:val="4"/>
                    </w:rPr>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6654" w:type="dxa"/>
            <w:gridSpan w:val="3"/>
            <w:tcBorders>
              <w:left w:val="single" w:sz="2" w:space="0" w:color="808080"/>
              <w:bottom w:val="single" w:sz="6" w:space="0" w:color="808080"/>
              <w:right w:val="single" w:sz="6" w:space="0" w:color="808080"/>
            </w:tcBorders>
            <w:shd w:fill="auto" w:val="clear"/>
          </w:tcPr>
          <w:tbl>
            <w:tblPr>
              <w:tblW w:w="5000" w:type="pct"/>
              <w:jc w:val="left"/>
              <w:tblInd w:w="0" w:type="dxa"/>
              <w:tblCellMar>
                <w:top w:w="0" w:type="dxa"/>
                <w:left w:w="0" w:type="dxa"/>
                <w:bottom w:w="0" w:type="dxa"/>
                <w:right w:w="0" w:type="dxa"/>
              </w:tblCellMar>
            </w:tblPr>
            <w:tblGrid>
              <w:gridCol w:w="6534"/>
            </w:tblGrid>
            <w:tr>
              <w:trPr/>
              <w:tc>
                <w:tcPr>
                  <w:tcW w:w="6534" w:type="dxa"/>
                  <w:tcBorders/>
                  <w:shd w:fill="auto" w:val="clear"/>
                  <w:vAlign w:val="center"/>
                </w:tcPr>
                <w:p>
                  <w:pPr>
                    <w:pStyle w:val="TableContents"/>
                    <w:spacing w:before="0" w:after="283"/>
                    <w:rPr/>
                  </w:pPr>
                  <w:r>
                    <w:rPr/>
                    <w:t>Rule 10b5-1(c) Transaction Indication</w:t>
                  </w:r>
                </w:p>
              </w:tc>
            </w:tr>
          </w:tbl>
          <w:p>
            <w:pPr>
              <w:pStyle w:val="TableContents"/>
              <w:spacing w:before="0" w:after="0"/>
              <w:rPr/>
            </w:pPr>
            <w:r>
              <w:rPr/>
            </w:r>
          </w:p>
          <w:tbl>
            <w:tblPr>
              <w:tblW w:w="5000" w:type="pct"/>
              <w:jc w:val="left"/>
              <w:tblInd w:w="0" w:type="dxa"/>
              <w:tblCellMar>
                <w:top w:w="0" w:type="dxa"/>
                <w:left w:w="0" w:type="dxa"/>
                <w:bottom w:w="0" w:type="dxa"/>
                <w:right w:w="0" w:type="dxa"/>
              </w:tblCellMar>
            </w:tblPr>
            <w:tblGrid>
              <w:gridCol w:w="179"/>
              <w:gridCol w:w="6355"/>
            </w:tblGrid>
            <w:tr>
              <w:trPr/>
              <w:tc>
                <w:tcPr>
                  <w:tcW w:w="179" w:type="dxa"/>
                  <w:tcBorders/>
                  <w:shd w:fill="auto" w:val="clear"/>
                  <w:vAlign w:val="center"/>
                </w:tcPr>
                <w:tbl>
                  <w:tblPr>
                    <w:tblW w:w="266" w:type="dxa"/>
                    <w:jc w:val="left"/>
                    <w:tblInd w:w="0" w:type="dxa"/>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83"/>
                          <w:rPr>
                            <w:color w:val="0000FF"/>
                            <w:highlight w:val="white"/>
                          </w:rPr>
                        </w:pPr>
                        <w:r>
                          <w:rPr>
                            <w:color w:val="0000FF"/>
                            <w:highlight w:val="white"/>
                          </w:rPr>
                          <w:t>  </w:t>
                        </w:r>
                      </w:p>
                    </w:tc>
                  </w:tr>
                </w:tbl>
                <w:p>
                  <w:pPr>
                    <w:pStyle w:val="TableContents"/>
                    <w:spacing w:before="0" w:after="283"/>
                    <w:rPr>
                      <w:sz w:val="4"/>
                      <w:szCs w:val="4"/>
                    </w:rPr>
                  </w:pPr>
                  <w:r>
                    <w:rPr>
                      <w:sz w:val="4"/>
                      <w:szCs w:val="4"/>
                    </w:rPr>
                  </w:r>
                </w:p>
              </w:tc>
              <w:tc>
                <w:tcPr>
                  <w:tcW w:w="635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018"/>
        <w:gridCol w:w="911"/>
        <w:gridCol w:w="782"/>
        <w:gridCol w:w="605"/>
        <w:gridCol w:w="339"/>
        <w:gridCol w:w="905"/>
        <w:gridCol w:w="421"/>
        <w:gridCol w:w="983"/>
        <w:gridCol w:w="1244"/>
        <w:gridCol w:w="962"/>
        <w:gridCol w:w="103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1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09"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1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1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8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5"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05"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2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24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6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35"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018"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Voting Common Stock</w:t>
            </w:r>
          </w:p>
        </w:tc>
        <w:tc>
          <w:tcPr>
            <w:tcW w:w="91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04/11/2023</w:t>
            </w:r>
          </w:p>
        </w:tc>
        <w:tc>
          <w:tcPr>
            <w:tcW w:w="78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39"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25,740</w:t>
            </w:r>
          </w:p>
        </w:tc>
        <w:tc>
          <w:tcPr>
            <w:tcW w:w="4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8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28.6986</w:t>
            </w:r>
            <w:r>
              <w:rPr>
                <w:rFonts w:ascii="Times;serif" w:hAnsi="Times;serif"/>
                <w:color w:val="008000"/>
                <w:position w:val="7"/>
                <w:sz w:val="16"/>
                <w:sz w:val="20"/>
                <w:highlight w:val="white"/>
              </w:rPr>
              <w:t>(2)</w:t>
            </w:r>
            <w:r>
              <w:rPr/>
              <w:t xml:space="preserve"> </w:t>
            </w:r>
          </w:p>
        </w:tc>
        <w:tc>
          <w:tcPr>
            <w:tcW w:w="124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1,174,494</w:t>
            </w:r>
          </w:p>
        </w:tc>
        <w:tc>
          <w:tcPr>
            <w:tcW w:w="96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103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018"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Voting Common Stock</w:t>
            </w:r>
          </w:p>
        </w:tc>
        <w:tc>
          <w:tcPr>
            <w:tcW w:w="91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04/11/2023</w:t>
            </w:r>
          </w:p>
        </w:tc>
        <w:tc>
          <w:tcPr>
            <w:tcW w:w="78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39"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50</w:t>
            </w:r>
          </w:p>
        </w:tc>
        <w:tc>
          <w:tcPr>
            <w:tcW w:w="4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8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29.27</w:t>
            </w:r>
            <w:r>
              <w:rPr/>
              <w:t xml:space="preserve"> </w:t>
            </w:r>
          </w:p>
        </w:tc>
        <w:tc>
          <w:tcPr>
            <w:tcW w:w="124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1,174,444</w:t>
            </w:r>
          </w:p>
        </w:tc>
        <w:tc>
          <w:tcPr>
            <w:tcW w:w="96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103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018"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Voting Common Stock</w:t>
            </w:r>
          </w:p>
        </w:tc>
        <w:tc>
          <w:tcPr>
            <w:tcW w:w="91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04/12/2023</w:t>
            </w:r>
          </w:p>
        </w:tc>
        <w:tc>
          <w:tcPr>
            <w:tcW w:w="78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39"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11,457</w:t>
            </w:r>
          </w:p>
        </w:tc>
        <w:tc>
          <w:tcPr>
            <w:tcW w:w="4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8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29.267</w:t>
            </w:r>
            <w:r>
              <w:rPr>
                <w:rFonts w:ascii="Times;serif" w:hAnsi="Times;serif"/>
                <w:color w:val="008000"/>
                <w:position w:val="7"/>
                <w:sz w:val="16"/>
                <w:sz w:val="20"/>
                <w:highlight w:val="white"/>
              </w:rPr>
              <w:t>(3)</w:t>
            </w:r>
            <w:r>
              <w:rPr/>
              <w:t xml:space="preserve"> </w:t>
            </w:r>
          </w:p>
        </w:tc>
        <w:tc>
          <w:tcPr>
            <w:tcW w:w="124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1,162,987</w:t>
            </w:r>
          </w:p>
        </w:tc>
        <w:tc>
          <w:tcPr>
            <w:tcW w:w="96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103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018"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Voting Common Stock</w:t>
            </w:r>
          </w:p>
        </w:tc>
        <w:tc>
          <w:tcPr>
            <w:tcW w:w="91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8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39"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2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8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24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300,000</w:t>
            </w:r>
          </w:p>
        </w:tc>
        <w:tc>
          <w:tcPr>
            <w:tcW w:w="96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3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w:t>
            </w:r>
            <w:r>
              <w:rPr>
                <w:rFonts w:ascii="Times;serif" w:hAnsi="Times;serif"/>
                <w:color w:val="008000"/>
                <w:position w:val="7"/>
                <w:sz w:val="16"/>
                <w:sz w:val="20"/>
                <w:highlight w:val="white"/>
              </w:rPr>
              <w:t>(4)</w:t>
            </w:r>
            <w:r>
              <w:rPr/>
              <w:t xml:space="preserve"> </w:t>
            </w:r>
          </w:p>
        </w:tc>
      </w:tr>
      <w:tr>
        <w:trPr/>
        <w:tc>
          <w:tcPr>
            <w:tcW w:w="2018"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Voting Common Stock</w:t>
            </w:r>
          </w:p>
        </w:tc>
        <w:tc>
          <w:tcPr>
            <w:tcW w:w="91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8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39"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2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8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24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82,932</w:t>
            </w:r>
          </w:p>
        </w:tc>
        <w:tc>
          <w:tcPr>
            <w:tcW w:w="96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3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By: GRAT</w:t>
            </w:r>
            <w:r>
              <w:rPr>
                <w:rFonts w:ascii="Times;serif" w:hAnsi="Times;serif"/>
                <w:color w:val="008000"/>
                <w:position w:val="7"/>
                <w:sz w:val="16"/>
                <w:sz w:val="20"/>
                <w:highlight w:val="white"/>
              </w:rPr>
              <w:t>(5)</w:t>
            </w:r>
            <w:r>
              <w:rPr/>
              <w:t xml:space="preserve"> </w:t>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reported transactions were effected pursuant to a Rule 10b5-1 trading plan adopted by the Reported Person, entered into prior to the effectiveness of the revised requirements of Rule 10b5-1(c).</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$28.27 to $29.26,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$29.04 to $29.49,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(3) to this Form 4.</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5. The shares are held by the Michael P. Massaro 2021 Qualified Annuity Trust, of which the Reporting Person is a trustee. The Reporting Person disclaims beneficial ownership of these shares and this report shall not be deemed an admission that the Reporting Person is the beneficials owner of such shares for purposes of Section 16 or for any other purpose, except to the extent of the Reporting Person's pecuniary interests therein, if any.</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Michael Massaro</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04/13/2023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62130" TargetMode="External"/><Relationship Id="rId4" Type="http://schemas.openxmlformats.org/officeDocument/2006/relationships/hyperlink" Target="http://www.sec.gov/cgi-bin/browse-edgar?action=getcompany&amp;CIK=000158056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928</Words>
  <CharactersWithSpaces>5785</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