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jc w:val="center"/>
        <w:ind w:left="1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8"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-7620</wp:posOffset>
            </wp:positionV>
            <wp:extent cx="137160"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96850"/>
                    </a:xfrm>
                    <a:prstGeom prst="rect">
                      <a:avLst/>
                    </a:prstGeom>
                    <a:noFill/>
                  </pic:spPr>
                </pic:pic>
              </a:graphicData>
            </a:graphic>
          </wp:anchor>
        </w:drawing>
      </w:r>
    </w:p>
    <w:p>
      <w:pPr>
        <w:ind w:left="360" w:right="12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440" w:type="dxa"/>
            <w:vAlign w:val="bottom"/>
          </w:tcPr>
          <w:p>
            <w:pPr>
              <w:jc w:val="center"/>
              <w:ind w:right="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jc w:val="center"/>
              <w:ind w:right="32"/>
              <w:spacing w:after="0" w:line="148"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440" w:type="dxa"/>
            <w:vAlign w:val="bottom"/>
            <w:vMerge w:val="restart"/>
          </w:tcPr>
          <w:p>
            <w:pPr>
              <w:jc w:val="center"/>
              <w:ind w:right="3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440" w:type="dxa"/>
            <w:vAlign w:val="bottom"/>
            <w:vMerge w:val="restart"/>
          </w:tcPr>
          <w:p>
            <w:pPr>
              <w:jc w:val="center"/>
              <w:ind w:right="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5349240</wp:posOffset>
            </wp:positionH>
            <wp:positionV relativeFrom="paragraph">
              <wp:posOffset>-655955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-655955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20320</wp:posOffset>
            </wp:positionV>
            <wp:extent cx="6987540" cy="9344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34402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00" w:space="220"/>
            <w:col w:w="866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right="1100"/>
        <w:spacing w:after="0" w:line="256"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BAIN CAPITAL VENTURE</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INVESTORS, LLC</w:t>
        </w:r>
      </w:hyperlink>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260"/>
              <w:spacing w:after="0"/>
              <w:rPr>
                <w:sz w:val="20"/>
                <w:szCs w:val="20"/>
                <w:color w:val="auto"/>
              </w:rPr>
            </w:pPr>
            <w:r>
              <w:rPr>
                <w:rFonts w:ascii="Arial" w:cs="Arial" w:eastAsia="Arial" w:hAnsi="Arial"/>
                <w:sz w:val="14"/>
                <w:szCs w:val="14"/>
                <w:color w:val="auto"/>
              </w:rPr>
              <w:t>(First)</w:t>
            </w:r>
          </w:p>
        </w:tc>
        <w:tc>
          <w:tcPr>
            <w:tcW w:w="1360" w:type="dxa"/>
            <w:vAlign w:val="bottom"/>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0000FF"/>
              </w:rPr>
              <w:t>200 CLARENDON STREET</w:t>
            </w:r>
          </w:p>
        </w:tc>
        <w:tc>
          <w:tcPr>
            <w:tcW w:w="136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300" w:type="dxa"/>
            <w:vAlign w:val="bottom"/>
          </w:tcPr>
          <w:p>
            <w:pPr>
              <w:ind w:left="260"/>
              <w:spacing w:after="0"/>
              <w:rPr>
                <w:sz w:val="20"/>
                <w:szCs w:val="20"/>
                <w:color w:val="auto"/>
              </w:rPr>
            </w:pPr>
            <w:r>
              <w:rPr>
                <w:rFonts w:ascii="Arial" w:cs="Arial" w:eastAsia="Arial" w:hAnsi="Arial"/>
                <w:sz w:val="18"/>
                <w:szCs w:val="18"/>
                <w:color w:val="0000FF"/>
              </w:rPr>
              <w:t>MA</w:t>
            </w:r>
          </w:p>
        </w:tc>
        <w:tc>
          <w:tcPr>
            <w:tcW w:w="1360" w:type="dxa"/>
            <w:vAlign w:val="bottom"/>
          </w:tcPr>
          <w:p>
            <w:pPr>
              <w:ind w:left="18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260"/>
              <w:spacing w:after="0"/>
              <w:rPr>
                <w:sz w:val="20"/>
                <w:szCs w:val="20"/>
                <w:color w:val="auto"/>
              </w:rPr>
            </w:pPr>
            <w:r>
              <w:rPr>
                <w:rFonts w:ascii="Arial" w:cs="Arial" w:eastAsia="Arial" w:hAnsi="Arial"/>
                <w:sz w:val="14"/>
                <w:szCs w:val="14"/>
                <w:color w:val="auto"/>
              </w:rPr>
              <w:t>(State)</w:t>
            </w:r>
          </w:p>
        </w:tc>
        <w:tc>
          <w:tcPr>
            <w:tcW w:w="1360" w:type="dxa"/>
            <w:vAlign w:val="bottom"/>
          </w:tcPr>
          <w:p>
            <w:pPr>
              <w:ind w:left="18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color w:val="auto"/>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240" w:type="dxa"/>
            <w:vAlign w:val="bottom"/>
            <w:gridSpan w:val="3"/>
          </w:tcPr>
          <w:p>
            <w:pPr>
              <w:ind w:left="80"/>
              <w:spacing w:after="0"/>
              <w:rPr>
                <w:sz w:val="20"/>
                <w:szCs w:val="20"/>
                <w:color w:val="auto"/>
              </w:rPr>
            </w:pPr>
            <w:r>
              <w:rPr>
                <w:rFonts w:ascii="Arial" w:cs="Arial" w:eastAsia="Arial" w:hAnsi="Arial"/>
                <w:sz w:val="18"/>
                <w:szCs w:val="18"/>
                <w:color w:val="0000FF"/>
              </w:rPr>
              <w:t>05/11/2023</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0"/>
          <w:szCs w:val="20"/>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0"/>
          <w:szCs w:val="20"/>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640" w:type="dxa"/>
            <w:vAlign w:val="bottom"/>
          </w:tcPr>
          <w:p>
            <w:pPr>
              <w:ind w:left="58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 or</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8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Voting Common Stock</w:t>
            </w:r>
          </w:p>
        </w:tc>
        <w:tc>
          <w:tcPr>
            <w:tcW w:w="1700" w:type="dxa"/>
            <w:vAlign w:val="bottom"/>
            <w:gridSpan w:val="2"/>
            <w:vMerge w:val="restart"/>
          </w:tcPr>
          <w:p>
            <w:pPr>
              <w:ind w:left="400"/>
              <w:spacing w:after="0"/>
              <w:rPr>
                <w:sz w:val="20"/>
                <w:szCs w:val="20"/>
                <w:color w:val="auto"/>
              </w:rPr>
            </w:pPr>
            <w:r>
              <w:rPr>
                <w:rFonts w:ascii="Arial" w:cs="Arial" w:eastAsia="Arial" w:hAnsi="Arial"/>
                <w:sz w:val="18"/>
                <w:szCs w:val="18"/>
                <w:color w:val="0000FF"/>
              </w:rPr>
              <w:t>05/11/2023</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vMerge w:val="restart"/>
          </w:tcPr>
          <w:p>
            <w:pPr>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(1)(2)</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0000FF"/>
                <w:w w:val="84"/>
              </w:rPr>
              <w:t>2,850,000</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60" w:type="dxa"/>
            <w:vAlign w:val="bottom"/>
            <w:gridSpan w:val="2"/>
            <w:vMerge w:val="restart"/>
          </w:tcPr>
          <w:p>
            <w:pPr>
              <w:ind w:left="18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29.51</w:t>
            </w:r>
          </w:p>
        </w:tc>
        <w:tc>
          <w:tcPr>
            <w:tcW w:w="16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8,795,388</w:t>
            </w:r>
          </w:p>
        </w:tc>
        <w:tc>
          <w:tcPr>
            <w:tcW w:w="50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gridSpan w:val="3"/>
            <w:vMerge w:val="continue"/>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060" w:type="dxa"/>
            <w:vAlign w:val="bottom"/>
            <w:gridSpan w:val="3"/>
          </w:tcPr>
          <w:p>
            <w:pPr>
              <w:ind w:left="8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color w:val="008000"/>
              </w:rPr>
              <w:t>(4)(5)(6)(7)(8)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3"/>
          </w:tcPr>
          <w:p>
            <w:pPr>
              <w:spacing w:after="0"/>
              <w:rPr>
                <w:sz w:val="8"/>
                <w:szCs w:val="8"/>
                <w:color w:val="auto"/>
              </w:rPr>
            </w:pPr>
          </w:p>
        </w:tc>
        <w:tc>
          <w:tcPr>
            <w:tcW w:w="3480" w:type="dxa"/>
            <w:vAlign w:val="bottom"/>
            <w:tcBorders>
              <w:bottom w:val="single" w:sz="8" w:color="2C2C2C"/>
            </w:tcBorders>
            <w:gridSpan w:val="6"/>
          </w:tcPr>
          <w:p>
            <w:pPr>
              <w:spacing w:after="0"/>
              <w:rPr>
                <w:sz w:val="8"/>
                <w:szCs w:val="8"/>
                <w:color w:val="auto"/>
              </w:rPr>
            </w:pPr>
          </w:p>
        </w:tc>
        <w:tc>
          <w:tcPr>
            <w:tcW w:w="1660" w:type="dxa"/>
            <w:vAlign w:val="bottom"/>
            <w:tcBorders>
              <w:bottom w:val="single" w:sz="8" w:color="2C2C2C"/>
            </w:tcBorders>
            <w:gridSpan w:val="3"/>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98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0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-1926590</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BAIN CAPITAL VENTURE INVESTORS,</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LLC</w:t>
        </w:r>
      </w:hyperlink>
    </w:p>
    <w:p>
      <w:pPr>
        <w:spacing w:after="0" w:line="308"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40"/>
              <w:spacing w:after="0"/>
              <w:rPr>
                <w:sz w:val="20"/>
                <w:szCs w:val="20"/>
                <w:color w:val="auto"/>
              </w:rPr>
            </w:pPr>
            <w:r>
              <w:rPr>
                <w:rFonts w:ascii="Arial" w:cs="Arial" w:eastAsia="Arial" w:hAnsi="Arial"/>
                <w:sz w:val="14"/>
                <w:szCs w:val="14"/>
                <w:color w:val="auto"/>
              </w:rPr>
              <w:t>(First)</w:t>
            </w:r>
          </w:p>
        </w:tc>
        <w:tc>
          <w:tcPr>
            <w:tcW w:w="172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200 CLARENDON STREET</w:t>
            </w:r>
          </w:p>
        </w:tc>
        <w:tc>
          <w:tcPr>
            <w:tcW w:w="17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380" w:type="dxa"/>
            <w:vAlign w:val="bottom"/>
          </w:tcPr>
          <w:p>
            <w:pPr>
              <w:ind w:left="340"/>
              <w:spacing w:after="0"/>
              <w:rPr>
                <w:sz w:val="20"/>
                <w:szCs w:val="20"/>
                <w:color w:val="auto"/>
              </w:rPr>
            </w:pPr>
            <w:r>
              <w:rPr>
                <w:rFonts w:ascii="Arial" w:cs="Arial" w:eastAsia="Arial" w:hAnsi="Arial"/>
                <w:sz w:val="18"/>
                <w:szCs w:val="18"/>
                <w:color w:val="0000FF"/>
              </w:rPr>
              <w:t>MA</w:t>
            </w:r>
          </w:p>
        </w:tc>
        <w:tc>
          <w:tcPr>
            <w:tcW w:w="1720" w:type="dxa"/>
            <w:vAlign w:val="bottom"/>
          </w:tcPr>
          <w:p>
            <w:pPr>
              <w:ind w:left="36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40"/>
              <w:spacing w:after="0"/>
              <w:rPr>
                <w:sz w:val="20"/>
                <w:szCs w:val="20"/>
                <w:color w:val="auto"/>
              </w:rPr>
            </w:pPr>
            <w:r>
              <w:rPr>
                <w:rFonts w:ascii="Arial" w:cs="Arial" w:eastAsia="Arial" w:hAnsi="Arial"/>
                <w:sz w:val="14"/>
                <w:szCs w:val="14"/>
                <w:color w:val="auto"/>
              </w:rPr>
              <w:t>(State)</w:t>
            </w:r>
          </w:p>
        </w:tc>
        <w:tc>
          <w:tcPr>
            <w:tcW w:w="172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50"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BCIP Venture Associates II, L.P.</w:t>
        </w:r>
      </w:hyperlink>
    </w:p>
    <w:p>
      <w:pPr>
        <w:spacing w:after="0" w:line="308"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40"/>
              <w:spacing w:after="0"/>
              <w:rPr>
                <w:sz w:val="20"/>
                <w:szCs w:val="20"/>
                <w:color w:val="auto"/>
              </w:rPr>
            </w:pPr>
            <w:r>
              <w:rPr>
                <w:rFonts w:ascii="Arial" w:cs="Arial" w:eastAsia="Arial" w:hAnsi="Arial"/>
                <w:sz w:val="14"/>
                <w:szCs w:val="14"/>
                <w:color w:val="auto"/>
              </w:rPr>
              <w:t>(First)</w:t>
            </w:r>
          </w:p>
        </w:tc>
        <w:tc>
          <w:tcPr>
            <w:tcW w:w="172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200 CLARENDON STREET</w:t>
            </w:r>
          </w:p>
        </w:tc>
        <w:tc>
          <w:tcPr>
            <w:tcW w:w="17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380" w:type="dxa"/>
            <w:vAlign w:val="bottom"/>
          </w:tcPr>
          <w:p>
            <w:pPr>
              <w:ind w:left="340"/>
              <w:spacing w:after="0"/>
              <w:rPr>
                <w:sz w:val="20"/>
                <w:szCs w:val="20"/>
                <w:color w:val="auto"/>
              </w:rPr>
            </w:pPr>
            <w:r>
              <w:rPr>
                <w:rFonts w:ascii="Arial" w:cs="Arial" w:eastAsia="Arial" w:hAnsi="Arial"/>
                <w:sz w:val="18"/>
                <w:szCs w:val="18"/>
                <w:color w:val="0000FF"/>
              </w:rPr>
              <w:t>MA</w:t>
            </w:r>
          </w:p>
        </w:tc>
        <w:tc>
          <w:tcPr>
            <w:tcW w:w="1720" w:type="dxa"/>
            <w:vAlign w:val="bottom"/>
          </w:tcPr>
          <w:p>
            <w:pPr>
              <w:ind w:left="36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40"/>
              <w:spacing w:after="0"/>
              <w:rPr>
                <w:sz w:val="20"/>
                <w:szCs w:val="20"/>
                <w:color w:val="auto"/>
              </w:rPr>
            </w:pPr>
            <w:r>
              <w:rPr>
                <w:rFonts w:ascii="Arial" w:cs="Arial" w:eastAsia="Arial" w:hAnsi="Arial"/>
                <w:sz w:val="14"/>
                <w:szCs w:val="14"/>
                <w:color w:val="auto"/>
              </w:rPr>
              <w:t>(State)</w:t>
            </w:r>
          </w:p>
        </w:tc>
        <w:tc>
          <w:tcPr>
            <w:tcW w:w="172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6"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BCIP Venture Associates II-B, LP</w:t>
        </w:r>
      </w:hyperlink>
    </w:p>
    <w:p>
      <w:pPr>
        <w:sectPr>
          <w:pgSz w:w="11900" w:h="16838" w:orient="portrait"/>
          <w:cols w:equalWidth="0" w:num="1">
            <w:col w:w="11080"/>
          </w:cols>
          <w:pgMar w:left="460" w:top="226"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40"/>
              <w:spacing w:after="0"/>
              <w:rPr>
                <w:sz w:val="20"/>
                <w:szCs w:val="20"/>
                <w:color w:val="auto"/>
              </w:rPr>
            </w:pPr>
            <w:r>
              <w:rPr>
                <w:rFonts w:ascii="Arial" w:cs="Arial" w:eastAsia="Arial" w:hAnsi="Arial"/>
                <w:sz w:val="14"/>
                <w:szCs w:val="14"/>
                <w:color w:val="auto"/>
              </w:rPr>
              <w:t>(First)</w:t>
            </w:r>
          </w:p>
        </w:tc>
        <w:tc>
          <w:tcPr>
            <w:tcW w:w="172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200 CLARENDON STREET</w:t>
            </w:r>
          </w:p>
        </w:tc>
        <w:tc>
          <w:tcPr>
            <w:tcW w:w="17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380" w:type="dxa"/>
            <w:vAlign w:val="bottom"/>
          </w:tcPr>
          <w:p>
            <w:pPr>
              <w:ind w:left="340"/>
              <w:spacing w:after="0"/>
              <w:rPr>
                <w:sz w:val="20"/>
                <w:szCs w:val="20"/>
                <w:color w:val="auto"/>
              </w:rPr>
            </w:pPr>
            <w:r>
              <w:rPr>
                <w:rFonts w:ascii="Arial" w:cs="Arial" w:eastAsia="Arial" w:hAnsi="Arial"/>
                <w:sz w:val="18"/>
                <w:szCs w:val="18"/>
                <w:color w:val="0000FF"/>
              </w:rPr>
              <w:t>MA</w:t>
            </w:r>
          </w:p>
        </w:tc>
        <w:tc>
          <w:tcPr>
            <w:tcW w:w="1720" w:type="dxa"/>
            <w:vAlign w:val="bottom"/>
          </w:tcPr>
          <w:p>
            <w:pPr>
              <w:ind w:left="36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40"/>
              <w:spacing w:after="0"/>
              <w:rPr>
                <w:sz w:val="20"/>
                <w:szCs w:val="20"/>
                <w:color w:val="auto"/>
              </w:rPr>
            </w:pPr>
            <w:r>
              <w:rPr>
                <w:rFonts w:ascii="Arial" w:cs="Arial" w:eastAsia="Arial" w:hAnsi="Arial"/>
                <w:sz w:val="14"/>
                <w:szCs w:val="14"/>
                <w:color w:val="auto"/>
              </w:rPr>
              <w:t>(State)</w:t>
            </w:r>
          </w:p>
        </w:tc>
        <w:tc>
          <w:tcPr>
            <w:tcW w:w="172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284480</wp:posOffset>
            </wp:positionH>
            <wp:positionV relativeFrom="page">
              <wp:posOffset>88900</wp:posOffset>
            </wp:positionV>
            <wp:extent cx="2794000" cy="1205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794000" cy="120586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right="40" w:firstLine="9"/>
        <w:spacing w:after="0" w:line="27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May 11, 2023, Bain Capital Venture Fund 2014, L.P. ("Venture Fund 2014") sold 2,338,782 shares of the Issuer's Voting Common Stock, Bain Capital Venture Fund 2016, L.P. ("Venture Fund 2016") sold 155,911 shares of the Issuer's Voting Common Stock, Bain Capital Venture Coinvestment Fund II, L.P. ("Venture Coinvestment Fund II") sold 72,991 shares of the Issuer's Voting Common Stock, BCV 2019-MD Coinvestment II, L.P. ("2019-MD Coinvestment II") sold 2,920 shares of the Issuer's Voting Common Stock, BCIP Venture Associates ("BCIP Venture") sold 238,436 shares of the Issuer's Voting Common Stock, BCIP Venture Associates-B ("BCIP Venture-B") sold 16,041 shares of the Issuer's Voting Common Stock,</w:t>
      </w:r>
    </w:p>
    <w:p>
      <w:pPr>
        <w:spacing w:after="0" w:line="9" w:lineRule="exact"/>
        <w:rPr>
          <w:rFonts w:ascii="Arial" w:cs="Arial" w:eastAsia="Arial" w:hAnsi="Arial"/>
          <w:sz w:val="12"/>
          <w:szCs w:val="12"/>
          <w:color w:val="008000"/>
        </w:rPr>
      </w:pPr>
    </w:p>
    <w:p>
      <w:pPr>
        <w:ind w:firstLine="9"/>
        <w:spacing w:after="0" w:line="28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1) BCIP Venture Associates II, LP ("BCIP Venture II") sold 23,172 shares of the Issuer's Voting Common Stock and BCIP Venture Associates II-B, LP ("BCIP Venture II-B" and, together with Venture Fund 2014, Venture Fund 2016, Venture Coinvestment Fund II, 2019-MD Coinvestment II, BCIP Venture, BCIP Venture-B and BCIP Venture II, the "Bain Capital Venture Entities") sold 1,747 shares of the Issuer's Voting Common Stock, in each case pursuant to Rule 144 under the Securities Act of 1933, as amended.</w:t>
      </w:r>
    </w:p>
    <w:p>
      <w:pPr>
        <w:spacing w:after="0" w:line="3" w:lineRule="exact"/>
        <w:rPr>
          <w:rFonts w:ascii="Arial" w:cs="Arial" w:eastAsia="Arial" w:hAnsi="Arial"/>
          <w:sz w:val="12"/>
          <w:szCs w:val="12"/>
          <w:color w:val="008000"/>
        </w:rPr>
      </w:pPr>
    </w:p>
    <w:p>
      <w:pPr>
        <w:ind w:right="20" w:firstLine="9"/>
        <w:spacing w:after="0" w:line="228"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7,217,722 shares of the Issuer's Voting Common Stock held directly by Venture Fund 2014, 481,155 shares of the Issuer's Voting Common Stock held directly by Venture Fund 2016, 735,838 shares of the Issuer's Voting Common Stock held directly by BCIP Venture, 49,506 shares of the Issuer's Voting Common Stock held directly by BCIP Venture-B, 71,509 shares of the Issuer's Voting Common Stock held directly by BCIP Venture II, 5,391 shares of the Issuer's Voting Common Stock held directly by BCIP Venture II-B, 225,257 shares of the Issuer's Voting Common Stock held directly by Venture Coinvestment Fund II and 9,010 shares of the Issuer's Voting Common Stock held directly by 2019-MD Coinvestment II, in each case, after giving effect to the sales referenced in footnote 1 above.</w:t>
      </w:r>
    </w:p>
    <w:p>
      <w:pPr>
        <w:spacing w:after="0" w:line="32" w:lineRule="exact"/>
        <w:rPr>
          <w:rFonts w:ascii="Arial" w:cs="Arial" w:eastAsia="Arial" w:hAnsi="Arial"/>
          <w:sz w:val="14"/>
          <w:szCs w:val="14"/>
          <w:color w:val="008000"/>
        </w:rPr>
      </w:pPr>
    </w:p>
    <w:p>
      <w:pPr>
        <w:jc w:val="both"/>
        <w:ind w:right="14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Bain Capital Venture Investors, LLC ("BCVI") is the general partner of Bain Capital Venture Partners 2014, L.P. ("Venture Partners 2014"), which is the general partner of Venture Fund 2014. As a result, Venture Partners 2014 may be deemed to share voting and dispositive power with respect to the securities held by Venture Fund 2014. Venture Partners 2014 disclaims beneficial ownership of such securities except to the extent of its pecuniary interest therein.</w:t>
      </w:r>
    </w:p>
    <w:p>
      <w:pPr>
        <w:spacing w:after="0" w:line="31" w:lineRule="exact"/>
        <w:rPr>
          <w:rFonts w:ascii="Arial" w:cs="Arial" w:eastAsia="Arial" w:hAnsi="Arial"/>
          <w:sz w:val="14"/>
          <w:szCs w:val="14"/>
          <w:color w:val="008000"/>
        </w:rPr>
      </w:pPr>
    </w:p>
    <w:p>
      <w:pPr>
        <w:ind w:right="14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BCVI is the general partner of Bain Capital Venture Partners 2016, L.P. ("Venture Partners 2016"), which is the general partner of Venture Fund 2016. As a result, Venture Partners 2016 may be deemed to share voting and dispositive power with respect to the securities held by Venture Fund 2016. Venture Partners 2016 disclaims beneficial ownership of such securities except to the extent of its pecuniary interest therein.</w:t>
      </w:r>
    </w:p>
    <w:p>
      <w:pPr>
        <w:spacing w:after="0" w:line="31" w:lineRule="exact"/>
        <w:rPr>
          <w:rFonts w:ascii="Arial" w:cs="Arial" w:eastAsia="Arial" w:hAnsi="Arial"/>
          <w:sz w:val="14"/>
          <w:szCs w:val="14"/>
          <w:color w:val="008000"/>
        </w:rPr>
      </w:pPr>
    </w:p>
    <w:p>
      <w:pPr>
        <w:ind w:right="40" w:firstLine="9"/>
        <w:spacing w:after="0" w:line="28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BCVI is the manager of Bain Capital Venture Coinvestment II Investors, LLC ("Venture Coinvestment II Investors"), which is the general partner of each of Venture Coinvestment Fund II and 2019-MD Coinvestment II. As a result, Venture Coinvestment II Investors may be deemed to share voting and dispositive power with respect to the securities held by each of Venture Coinvestment Fund II and 2019-MD Coinvestment II. Venture Coinvestment II Investors disclaims beneficial ownership of such securities except to the extent of its pecuniary interest therein.</w:t>
      </w:r>
    </w:p>
    <w:p>
      <w:pPr>
        <w:spacing w:after="0" w:line="3" w:lineRule="exact"/>
        <w:rPr>
          <w:rFonts w:ascii="Arial" w:cs="Arial" w:eastAsia="Arial" w:hAnsi="Arial"/>
          <w:sz w:val="12"/>
          <w:szCs w:val="12"/>
          <w:color w:val="008000"/>
        </w:rPr>
      </w:pPr>
    </w:p>
    <w:p>
      <w:pPr>
        <w:ind w:left="140" w:hanging="131"/>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Boylston Coinvestors, LLC is (i) the managing partner of each of BCIP Venture and BCIP Venture-B and (ii) the general partner of each of BCIP Venture II and BCIP Venture II-B.</w:t>
      </w:r>
    </w:p>
    <w:p>
      <w:pPr>
        <w:spacing w:after="0" w:line="64" w:lineRule="exact"/>
        <w:rPr>
          <w:rFonts w:ascii="Arial" w:cs="Arial" w:eastAsia="Arial" w:hAnsi="Arial"/>
          <w:sz w:val="12"/>
          <w:szCs w:val="12"/>
          <w:color w:val="008000"/>
        </w:rPr>
      </w:pPr>
    </w:p>
    <w:p>
      <w:pPr>
        <w:ind w:right="40" w:firstLine="9"/>
        <w:spacing w:after="0" w:line="233" w:lineRule="auto"/>
        <w:tabs>
          <w:tab w:leader="none" w:pos="13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governance, investment strategy and decision-making process with respect to the investments held by the Bain Capital Venture Entities is directed by the Executive Committee of BCVI. As a result, BCVI may be deemed to share voting and dispositive power with respect to all of the securities held by the Bain Capital Venture Entities. BCVI disclaims beneficial ownership of such securities except to the extent of its pecuniary interest therein.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Form 2 of 2.</w:t>
      </w:r>
    </w:p>
    <w:p>
      <w:pPr>
        <w:sectPr>
          <w:pgSz w:w="11900" w:h="16838" w:orient="portrait"/>
          <w:cols w:equalWidth="0" w:num="1">
            <w:col w:w="10880"/>
          </w:cols>
          <w:pgMar w:left="500" w:top="169" w:right="519" w:bottom="1440" w:gutter="0" w:footer="0" w:header="0"/>
        </w:sectPr>
      </w:pPr>
    </w:p>
    <w:p>
      <w:pPr>
        <w:spacing w:after="0" w:line="7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9340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Investors,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026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2616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25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12522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22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32258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BCIP Venture Associates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0</wp:posOffset>
            </wp:positionV>
            <wp:extent cx="1245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45870" cy="8890"/>
                    </a:xfrm>
                    <a:prstGeom prst="rect">
                      <a:avLst/>
                    </a:prstGeom>
                    <a:noFill/>
                  </pic:spPr>
                </pic:pic>
              </a:graphicData>
            </a:graphic>
          </wp:anchor>
        </w:drawing>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Boylston Coinvestors,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550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846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585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9639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96393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BCIP Venture Associates II-B,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0</wp:posOffset>
            </wp:positionV>
            <wp:extent cx="13576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357630" cy="8890"/>
                    </a:xfrm>
                    <a:prstGeom prst="rect">
                      <a:avLst/>
                    </a:prstGeom>
                    <a:noFill/>
                  </pic:spPr>
                </pic:pic>
              </a:graphicData>
            </a:graphic>
          </wp:anchor>
        </w:drawing>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Boylston Coinvestors,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550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846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585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9639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9639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0000FF"/>
        </w:rPr>
        <w:t>05/15/2023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05/15/2023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color w:val="0000FF"/>
        </w:rPr>
        <w:t>05/15/2023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680" w:space="60"/>
            <w:col w:w="2140"/>
          </w:cols>
          <w:pgMar w:left="500" w:top="169" w:right="5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06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69"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12" Type="http://schemas.openxmlformats.org/officeDocument/2006/relationships/hyperlink" Target="http://www.sec.gov/cgi-bin/browse-edgar?action=getcompany&amp;CIK=0001309469" TargetMode="External"/><Relationship Id="rId13" Type="http://schemas.openxmlformats.org/officeDocument/2006/relationships/hyperlink" Target="http://www.sec.gov/cgi-bin/browse-edgar?action=getcompany&amp;CIK=0001580560" TargetMode="External"/><Relationship Id="rId15" Type="http://schemas.openxmlformats.org/officeDocument/2006/relationships/hyperlink" Target="http://www.sec.gov/cgi-bin/browse-edgar?action=getcompany&amp;CIK=0001859026" TargetMode="External"/><Relationship Id="rId16" Type="http://schemas.openxmlformats.org/officeDocument/2006/relationships/hyperlink" Target="http://www.sec.gov/cgi-bin/browse-edgar?action=getcompany&amp;CIK=00018590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2023-05-15T19:54:48Z</dcterms:created>
  <dcterms:modified xsi:type="dcterms:W3CDTF">2023-05-15T19:54:48Z</dcterms:modified>
</cp:coreProperties>
</file>