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Flywire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302492103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68"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302492103</w:t>
            </w:r>
          </w:p>
        </w:tc>
        <w:tc>
          <w:tcPr>
            <w:tcW w:w="4840" w:type="dxa"/>
            <w:vAlign w:val="bottom"/>
          </w:tcPr>
          <w:p>
            <w:pPr>
              <w:ind w:left="452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right="7580" w:hanging="417"/>
        <w:spacing w:after="0" w:line="406" w:lineRule="auto"/>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Spark Capital II, L.P.</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11,948,786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11,948,786 (1)</w:t>
      </w:r>
    </w:p>
    <w:p>
      <w:pPr>
        <w:spacing w:after="0" w:line="36" w:lineRule="exact"/>
        <w:rPr>
          <w:sz w:val="20"/>
          <w:szCs w:val="20"/>
          <w:color w:val="auto"/>
        </w:rPr>
      </w:pPr>
    </w:p>
    <w:p>
      <w:pPr>
        <w:ind w:left="664" w:right="3820" w:hanging="417"/>
        <w:spacing w:after="0" w:line="406" w:lineRule="auto"/>
        <w:tabs>
          <w:tab w:leader="none" w:pos="65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11,948,786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12.1%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0" w:hanging="424"/>
        <w:spacing w:after="0" w:line="254"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such securities are held of record by Spark II (as defined in Item 2(a) below). Spark II GP (as defined in Item 2(a) below) is the general partner of Spark II and may be deemed to have voting, investment and dispositive power with respect to these securities. Paul Conway, Santo Politi, Bijan Sabet and Alex Finkelstein, a member of the Issuer’s board of directors, are the managing members of Spark II GP and may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right="140" w:hanging="424"/>
        <w:spacing w:after="0" w:line="323"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98,693,094 shares of Voting Common Stock outstanding as of November 8, 2021 as reported by the Issuer in its Form 10-Q for the quarter ended September 30, 2021, filed with the United States Securities and Exchange Commission on November 12, 2021 (the “Form 10-Q”).</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302492103</w:t>
            </w:r>
          </w:p>
        </w:tc>
        <w:tc>
          <w:tcPr>
            <w:tcW w:w="4840" w:type="dxa"/>
            <w:vAlign w:val="bottom"/>
          </w:tcPr>
          <w:p>
            <w:pPr>
              <w:ind w:left="452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580" w:hanging="417"/>
        <w:spacing w:after="0" w:line="457" w:lineRule="auto"/>
        <w:tabs>
          <w:tab w:leader="none" w:pos="664"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NAMES OF REPORTING PERSONS Spark Capital Founders’ Fund II,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78,166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78,166 (1)</w:t>
      </w:r>
    </w:p>
    <w:p>
      <w:pPr>
        <w:spacing w:after="0" w:line="36" w:lineRule="exact"/>
        <w:rPr>
          <w:sz w:val="20"/>
          <w:szCs w:val="20"/>
          <w:color w:val="auto"/>
        </w:rPr>
      </w:pPr>
    </w:p>
    <w:p>
      <w:pPr>
        <w:ind w:left="664" w:right="3820" w:hanging="417"/>
        <w:spacing w:after="0" w:line="406" w:lineRule="auto"/>
        <w:tabs>
          <w:tab w:leader="none" w:pos="654"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78,166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0.1%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120" w:hanging="424"/>
        <w:spacing w:after="0" w:line="254"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such securities are held of record by Spark II FF (as defined in Item 2(a) below). Spark II GP is the general partner of Spark II FF and may be deemed to have voting, investment and dispositive power with respect to these securities. Paul Conway, Santo Politi, Bijan Sabet and Alex Finkelstein, a member of the Issuer’s board of directors, are the managing members of Spark II GP and may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98,693,094 shares of Voting Common Stock outstanding as of November 8, 2021 as reported by the Issuer in the Form 10-Q.</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302492103</w:t>
            </w:r>
          </w:p>
        </w:tc>
        <w:tc>
          <w:tcPr>
            <w:tcW w:w="4840" w:type="dxa"/>
            <w:vAlign w:val="bottom"/>
          </w:tcPr>
          <w:p>
            <w:pPr>
              <w:ind w:left="452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right="7580" w:hanging="417"/>
        <w:spacing w:after="0" w:line="457" w:lineRule="auto"/>
        <w:tabs>
          <w:tab w:leader="none" w:pos="6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Spark Management Partners II,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12,026,952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12,026,952 (1)</w:t>
      </w:r>
    </w:p>
    <w:p>
      <w:pPr>
        <w:spacing w:after="0" w:line="36" w:lineRule="exact"/>
        <w:rPr>
          <w:sz w:val="20"/>
          <w:szCs w:val="20"/>
          <w:color w:val="auto"/>
        </w:rPr>
      </w:pPr>
    </w:p>
    <w:p>
      <w:pPr>
        <w:ind w:left="664" w:right="3820" w:hanging="417"/>
        <w:spacing w:after="0" w:line="406"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12,026,952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12.2%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180" w:hanging="424"/>
        <w:spacing w:after="0" w:line="254"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such securities are held of record by Spark II and Spark II FF. Spark II GP is the general partner of each of Spark II and Spark II FF and may be deemed to have voting, investment and dispositive power with respect to these securities. Paul Conway, Santo Politi, Bijan Sabet and Alex Finkelstein, a member of the Issuer’s board of directors, are the managing members of Spark II GP and may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98,693,094 shares of Voting Common Stock outstanding as of November 8, 2021 as reported by the Issuer in the Form 10-Q.</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302492103</w:t>
            </w:r>
          </w:p>
        </w:tc>
        <w:tc>
          <w:tcPr>
            <w:tcW w:w="4840" w:type="dxa"/>
            <w:vAlign w:val="bottom"/>
          </w:tcPr>
          <w:p>
            <w:pPr>
              <w:ind w:left="452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right="7580" w:hanging="417"/>
        <w:spacing w:after="0" w:line="457" w:lineRule="auto"/>
        <w:tabs>
          <w:tab w:leader="none" w:pos="6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NAMES OF REPORTING PERSONS Spark Capital Growth Fund,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1,036,509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1,036,509 (1)</w:t>
      </w:r>
    </w:p>
    <w:p>
      <w:pPr>
        <w:spacing w:after="0" w:line="36" w:lineRule="exact"/>
        <w:rPr>
          <w:sz w:val="20"/>
          <w:szCs w:val="20"/>
          <w:color w:val="auto"/>
        </w:rPr>
      </w:pPr>
    </w:p>
    <w:p>
      <w:pPr>
        <w:ind w:left="664" w:right="3820" w:hanging="417"/>
        <w:spacing w:after="0" w:line="406" w:lineRule="auto"/>
        <w:tabs>
          <w:tab w:leader="none" w:pos="6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1,036,509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80" w:hanging="424"/>
        <w:spacing w:after="0" w:line="285" w:lineRule="auto"/>
        <w:tabs>
          <w:tab w:leader="none" w:pos="4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such securities are held of record by Spark Growth I (as defined in Item 2(a) below). Spark Growth I GP (as defined in Item 2(a) below) is the general partner of Spark Growth I and may be deemed to have voting, investment and dispositive power with respect to these securities. Paul Conway, Jeremy Philips, Santo Politi, and Bijan Sabet are the managing members of Spark Growth I GP and may be deemed to share voting, investment and dispositive power with respect to these securities. Alex Finkelstein, a member of the Issuer’s board of directors, holds an interest in Spark Growth I GP and may be deemed to share voting, investment and dispositive power with respect to these securities.</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98,693,094 shares of Voting Common Stock outstanding as of November 8, 2021 as reported by the Issuer in the Form 10-Q.</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302492103</w:t>
            </w:r>
          </w:p>
        </w:tc>
        <w:tc>
          <w:tcPr>
            <w:tcW w:w="4840" w:type="dxa"/>
            <w:vAlign w:val="bottom"/>
          </w:tcPr>
          <w:p>
            <w:pPr>
              <w:ind w:left="452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right="7220" w:hanging="417"/>
        <w:spacing w:after="0" w:line="457" w:lineRule="auto"/>
        <w:tabs>
          <w:tab w:leader="none" w:pos="6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NAMES OF REPORTING PERSONS Spark Capital Growth Founders’ Fund,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10,257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10,257 (1)</w:t>
      </w:r>
    </w:p>
    <w:p>
      <w:pPr>
        <w:spacing w:after="0" w:line="36" w:lineRule="exact"/>
        <w:rPr>
          <w:sz w:val="20"/>
          <w:szCs w:val="20"/>
          <w:color w:val="auto"/>
        </w:rPr>
      </w:pPr>
    </w:p>
    <w:p>
      <w:pPr>
        <w:ind w:left="664" w:right="3820" w:hanging="417"/>
        <w:spacing w:after="0" w:line="406"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10,257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0.0%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140" w:hanging="424"/>
        <w:spacing w:after="0" w:line="268" w:lineRule="auto"/>
        <w:tabs>
          <w:tab w:leader="none" w:pos="4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such securities are held of record by Spark Growth I FF (as defined in Item 2(a) below). Spark Growth I GP is the general partner of Spark Growth I FF and may be deemed to have voting, investment and dispositive power with respect to these securities. Paul Conway, Jeremy Philips, Santo Politi and Bijan Sabet are the managing members of Spark Growth I GP and may be deemed to share voting, investment and dispositive power with respect to these securities. Alex Finkelstein, a member of the Issuer’s board of directors, holds an interest in Spark Growth I GP and may be deemed to share voting, investment and dispositive power with respect to these securities.</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98,693,094 shares of Voting Common Stock outstanding as of November 8, 2021 as reported by the Issuer in the Form 10-Q.</w:t>
      </w:r>
    </w:p>
    <w:p>
      <w:pPr>
        <w:sectPr>
          <w:pgSz w:w="11900" w:h="16838" w:orient="portrait"/>
          <w:cols w:equalWidth="0" w:num="1">
            <w:col w:w="11024"/>
          </w:cols>
          <w:pgMar w:left="436" w:top="274"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302492103</w:t>
            </w:r>
          </w:p>
        </w:tc>
        <w:tc>
          <w:tcPr>
            <w:tcW w:w="4840" w:type="dxa"/>
            <w:vAlign w:val="bottom"/>
          </w:tcPr>
          <w:p>
            <w:pPr>
              <w:ind w:left="452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300" w:hanging="417"/>
        <w:spacing w:after="0" w:line="457" w:lineRule="auto"/>
        <w:tabs>
          <w:tab w:leader="none" w:pos="6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Spark Growth Management Partners,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1,046,766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1,046,766 (1)</w:t>
      </w:r>
    </w:p>
    <w:p>
      <w:pPr>
        <w:spacing w:after="0" w:line="36" w:lineRule="exact"/>
        <w:rPr>
          <w:sz w:val="20"/>
          <w:szCs w:val="20"/>
          <w:color w:val="auto"/>
        </w:rPr>
      </w:pPr>
    </w:p>
    <w:p>
      <w:pPr>
        <w:ind w:left="664" w:right="3820" w:hanging="417"/>
        <w:spacing w:after="0" w:line="406" w:lineRule="auto"/>
        <w:tabs>
          <w:tab w:leader="none" w:pos="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1,046,766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200" w:hanging="424"/>
        <w:spacing w:after="0" w:line="285" w:lineRule="auto"/>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such securities are held of record by Spark Growth I and Spark Growth I FF. Spark Growth I GP is the general partner of each of Spark Growth I and Spark Growth I FF and may be deemed to have voting, investment and dispositive power with respect to these securities. Paul Conway, Jeremy Philips, Santo Politi, and Bijan Sabet are the managing members of Spark Growth I GP and may be deemed to share voting, investment and dispositive power with respect to these securities. Alex Finkelstein, a member of the Issuer’s board of directors, holds an interest in Spark Growth I GP and may be deemed to share voting, investment and dispositive power with respect to these securities.</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98,693,094 shares of Voting Common Stock outstanding as of November 8, 2021 as reported by the Issuer in the Form 10-Q.</w:t>
      </w:r>
    </w:p>
    <w:p>
      <w:pPr>
        <w:sectPr>
          <w:pgSz w:w="11900" w:h="16838" w:orient="portrait"/>
          <w:cols w:equalWidth="0" w:num="1">
            <w:col w:w="11024"/>
          </w:cols>
          <w:pgMar w:left="436" w:top="274"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302492103</w:t>
            </w:r>
          </w:p>
        </w:tc>
        <w:tc>
          <w:tcPr>
            <w:tcW w:w="4840" w:type="dxa"/>
            <w:vAlign w:val="bottom"/>
          </w:tcPr>
          <w:p>
            <w:pPr>
              <w:ind w:left="452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580" w:hanging="417"/>
        <w:spacing w:after="0" w:line="457" w:lineRule="auto"/>
        <w:tabs>
          <w:tab w:leader="none" w:pos="6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NAMES OF REPORTING PERSONS Spark Capital Partners,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4,938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4,938 (1)</w:t>
      </w:r>
    </w:p>
    <w:p>
      <w:pPr>
        <w:spacing w:after="0" w:line="36" w:lineRule="exact"/>
        <w:rPr>
          <w:sz w:val="20"/>
          <w:szCs w:val="20"/>
          <w:color w:val="auto"/>
        </w:rPr>
      </w:pPr>
    </w:p>
    <w:p>
      <w:pPr>
        <w:ind w:left="664" w:right="3820" w:hanging="417"/>
        <w:spacing w:after="0" w:line="406" w:lineRule="auto"/>
        <w:tabs>
          <w:tab w:leader="none" w:pos="6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4,938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0.0%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200" w:hanging="424"/>
        <w:spacing w:after="0" w:line="255"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such securities are held of record by Spark Capital (as defined in Item 2(a) below). Jeremy Philips, Santo Politi, and Alex Finkelstein, a member of the Issuer’s board of directors, are the principal managing members of Spark Capital and may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98,693,094 shares of Voting Common Stock outstanding as of November 8, 2021 as reported by the Issuer in the Form 10-Q.</w:t>
      </w:r>
    </w:p>
    <w:p>
      <w:pPr>
        <w:sectPr>
          <w:pgSz w:w="11900" w:h="16838" w:orient="portrait"/>
          <w:cols w:equalWidth="0" w:num="1">
            <w:col w:w="11024"/>
          </w:cols>
          <w:pgMar w:left="436" w:top="274"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302492103</w:t>
            </w:r>
          </w:p>
        </w:tc>
        <w:tc>
          <w:tcPr>
            <w:tcW w:w="4840" w:type="dxa"/>
            <w:vAlign w:val="bottom"/>
          </w:tcPr>
          <w:p>
            <w:pPr>
              <w:ind w:left="452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7580" w:hanging="397"/>
        <w:spacing w:after="0" w:line="406"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NAMES OF REPORTING PERSONS Alex Finkelstein</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56,983</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0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13,078,656 (1)(2)</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000" w:type="dxa"/>
            <w:vAlign w:val="bottom"/>
          </w:tcPr>
          <w:p>
            <w:pPr>
              <w:ind w:left="140"/>
              <w:spacing w:after="0"/>
              <w:rPr>
                <w:sz w:val="20"/>
                <w:szCs w:val="20"/>
                <w:color w:val="auto"/>
              </w:rPr>
            </w:pPr>
            <w:r>
              <w:rPr>
                <w:rFonts w:ascii="Arial" w:cs="Arial" w:eastAsia="Arial" w:hAnsi="Arial"/>
                <w:sz w:val="18"/>
                <w:szCs w:val="18"/>
                <w:color w:val="auto"/>
              </w:rPr>
              <w:t>56,983</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13,078,656 (1)(2)</w:t>
      </w:r>
    </w:p>
    <w:p>
      <w:pPr>
        <w:spacing w:after="0" w:line="36" w:lineRule="exact"/>
        <w:rPr>
          <w:sz w:val="20"/>
          <w:szCs w:val="20"/>
          <w:color w:val="auto"/>
        </w:rPr>
      </w:pPr>
    </w:p>
    <w:p>
      <w:pPr>
        <w:ind w:left="664" w:right="3820" w:hanging="417"/>
        <w:spacing w:after="0" w:line="406" w:lineRule="auto"/>
        <w:tabs>
          <w:tab w:leader="none" w:pos="6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13,135,639 (1)(2)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13.3% (3)</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20" w:hanging="424"/>
        <w:spacing w:after="0" w:line="267" w:lineRule="auto"/>
        <w:tabs>
          <w:tab w:leader="none" w:pos="4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all securities held of record by Spark II, Spark II FF, Spark Growth I and Spark Growth I FF. Spark II GP is the general partner of each of Spark II and Spark II FF and may be deemed to have voting, investment and dispositive power with respect to the securities held by Spark II and Spark II FF. Mr. Finkelstein, a member of the Issuer’s board of directors, is a managing member of Spark II GP and may be deemed to share voting, investment and dispositive power with respect to these securities. Spark Growth I GP is the general partner of each of Spark Growth I and Spark Growth I FF and may be deemed to have voting, investment and dispositive power with respect to the securities held by Spark Growth I and Spark Growth I FF. Mr. Finkelstein, a member of the Issuer’s board of directors, holds an interest in Spark Growth I GP and may be deemed to share voting, investment and dispositive power with respect to these securities.</w:t>
      </w:r>
    </w:p>
    <w:p>
      <w:pPr>
        <w:spacing w:after="0" w:line="4" w:lineRule="exact"/>
        <w:rPr>
          <w:rFonts w:ascii="Arial" w:cs="Arial" w:eastAsia="Arial" w:hAnsi="Arial"/>
          <w:sz w:val="17"/>
          <w:szCs w:val="17"/>
          <w:color w:val="auto"/>
        </w:rPr>
      </w:pPr>
    </w:p>
    <w:p>
      <w:pPr>
        <w:ind w:left="424" w:right="280" w:hanging="424"/>
        <w:spacing w:after="0" w:line="250"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all securities held of record by Spark Capital. Mr. Finkelstein is a principal managing member of Spark Capital and may be deemed to share voting, investment and dispositive power with respect to these securities.</w:t>
      </w:r>
    </w:p>
    <w:p>
      <w:pPr>
        <w:ind w:left="424" w:hanging="424"/>
        <w:spacing w:after="0"/>
        <w:tabs>
          <w:tab w:leader="none" w:pos="4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98,693,094 shares of Voting Common Stock outstanding as of November 8, 2021 as reported by the Issuer in the Form 10-Q.</w:t>
      </w:r>
    </w:p>
    <w:p>
      <w:pPr>
        <w:sectPr>
          <w:pgSz w:w="11900" w:h="16838" w:orient="portrait"/>
          <w:cols w:equalWidth="0" w:num="1">
            <w:col w:w="11024"/>
          </w:cols>
          <w:pgMar w:left="436" w:top="274"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302492103</w:t>
            </w:r>
          </w:p>
        </w:tc>
        <w:tc>
          <w:tcPr>
            <w:tcW w:w="4840" w:type="dxa"/>
            <w:vAlign w:val="bottom"/>
          </w:tcPr>
          <w:p>
            <w:pPr>
              <w:ind w:left="4520"/>
              <w:spacing w:after="0"/>
              <w:rPr>
                <w:sz w:val="20"/>
                <w:szCs w:val="20"/>
                <w:color w:val="auto"/>
              </w:rPr>
            </w:pPr>
            <w:r>
              <w:rPr>
                <w:rFonts w:ascii="Arial" w:cs="Arial" w:eastAsia="Arial" w:hAnsi="Arial"/>
                <w:sz w:val="18"/>
                <w:szCs w:val="18"/>
                <w:color w:val="auto"/>
                <w:w w:val="88"/>
              </w:rPr>
              <w:t>13G</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Flywire Corporation (the “Issuer”).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141 Tremont St. #10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 02111</w:t>
      </w:r>
    </w:p>
    <w:p>
      <w:pPr>
        <w:spacing w:after="0" w:line="3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This joint statement on Schedule 13G is being filed by Spark Capital II, L.P. (“Spark II”), Spark Capital Founders’ Fund II, L.P. (“Spark II FF”), Spark Management Partners II, LLC (“Spark II GP”), Spark Capital Growth Fund, L.P. (“Spark Growth I”), Spark Capital Growth Founders’ Fund, L.P. (“Spark Growth I FF”), Spark Growth Management Partners, LLC (“Spark Growth I GP”) and Spark Capital Partners, LLC (“Spark Capital” and together with Spark II, Spark II FF, Spark II GP, Spark Growth I, Spark Growth I FF and Spark Growth I GP, the “Reporting Entities”) and Alex Finkelstein. The Reporting Entities and Mr. Finkelstein are collectively referred to as the “Reporting Persons.”</w:t>
      </w: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each Reporting Person is 200 Clarendon Street, 59</w:t>
      </w:r>
      <w:r>
        <w:rPr>
          <w:rFonts w:ascii="Arial" w:cs="Arial" w:eastAsia="Arial" w:hAnsi="Arial"/>
          <w:sz w:val="15"/>
          <w:szCs w:val="15"/>
          <w:color w:val="auto"/>
        </w:rPr>
        <w:t>th</w:t>
      </w:r>
      <w:r>
        <w:rPr>
          <w:rFonts w:ascii="Arial" w:cs="Arial" w:eastAsia="Arial" w:hAnsi="Arial"/>
          <w:sz w:val="18"/>
          <w:szCs w:val="18"/>
          <w:color w:val="auto"/>
        </w:rPr>
        <w:t xml:space="preserve"> Floor, Boston, MA 02116.</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Each of Spark II GP, Spark Growth I GP and Spark Capital is a limited liability company organized under the laws of the State of Delaware. Each of Spark II, Spark II FF, Spark Growth I and Spark Growth I FF is a limited partnership organized under the laws of the State of Delaware. Mr. Finkelstein is a citizen of the United States of America.</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Voting Common Stock, $0.0001 par value per share (“Voting Common Stock”).</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302492103</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Row 9 of the cover page for each Reporting Person.</w:t>
      </w:r>
    </w:p>
    <w:p>
      <w:pPr>
        <w:sectPr>
          <w:pgSz w:w="11900" w:h="16838" w:orient="portrait"/>
          <w:cols w:equalWidth="0" w:num="1">
            <w:col w:w="11020"/>
          </w:cols>
          <w:pgMar w:left="440" w:top="274" w:right="439" w:bottom="1440" w:gutter="0" w:footer="0" w:header="0"/>
        </w:sectPr>
      </w:pPr>
    </w:p>
    <w:bookmarkStart w:id="10" w:name="page11"/>
    <w:bookmarkEnd w:id="10"/>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Spark II is the record owner of 11,948,786 shares of Voting Common Stock and Spark II FF is the record owner of 78,166 shares of Voting Common Stock (collectively, the “Spark II Shares”). As general partner of each of Spark II and Spark II FF, Spark II GP may be deemed to beneficially own those Spark II Shares held of record by Spark II and Spark II FF. Paul Conway, Santo Politi, Bijan Sabet and Alex Finkelstein, a member of the Issuer’s board of directors, are the managing members of Spark II GP and may be deemed to share voting, investment and dispositive power with respect to the Spark II Shares.</w:t>
      </w:r>
    </w:p>
    <w:p>
      <w:pPr>
        <w:spacing w:after="0" w:line="188"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Spark Growth I is the record owner of 1,036,509 shares of Voting Common Stock and Spark Growth I FF is the record owner of 10,257 shares of Voting Common Stock (collectively, the “Spark Growth I Shares”). As general partner of each of Spark Growth I and Spark Growth I FF, Spark Growth I GP may be deemed to beneficially own the Spark Growth I Shares. Paul Conway, Jeremy Philips, Santo Politi, and Bijan Sabet are the managing members of Spark Growth I GP and may be deemed to share voting, investment and dispositive power with respect to these securities. Alex Finkelstein, a member of the Issuer’s board of directors, holds an interest in Spark Growth I GP and may be deemed to share voting, investment and dispositive power with respect to these securities.</w:t>
      </w:r>
    </w:p>
    <w:p>
      <w:pPr>
        <w:spacing w:after="0" w:line="192"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Spark Capital is the record owner of 4,938 shares of Voting Common Stock. Jeremy Philips, Santo Politi, and Alex Finkelstein, a member of the Issuer’s board of directors, are the principal managing members of Spark Capital and may be deemed to share voting, investment and dispositive power with respect to these securities.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Finkelstein is the record owner of 56,983 shares of Voting Common Stock.</w:t>
      </w:r>
    </w:p>
    <w:p>
      <w:pPr>
        <w:spacing w:after="0" w:line="131" w:lineRule="exact"/>
        <w:rPr>
          <w:sz w:val="20"/>
          <w:szCs w:val="20"/>
          <w:color w:val="auto"/>
        </w:rPr>
      </w:pPr>
    </w:p>
    <w:p>
      <w:pPr>
        <w:ind w:left="1424" w:hanging="439"/>
        <w:spacing w:after="0"/>
        <w:tabs>
          <w:tab w:leader="none" w:pos="1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11 of the cover page for each Reporting Person and the corresponding footnotes.*</w:t>
      </w:r>
    </w:p>
    <w:p>
      <w:pPr>
        <w:spacing w:after="0" w:line="131" w:lineRule="exact"/>
        <w:rPr>
          <w:sz w:val="20"/>
          <w:szCs w:val="20"/>
          <w:color w:val="auto"/>
        </w:rPr>
      </w:pPr>
    </w:p>
    <w:p>
      <w:pPr>
        <w:ind w:left="1424" w:hanging="439"/>
        <w:spacing w:after="0"/>
        <w:tabs>
          <w:tab w:leader="none" w:pos="1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1" w:lineRule="exact"/>
        <w:rPr>
          <w:sz w:val="20"/>
          <w:szCs w:val="20"/>
          <w:color w:val="auto"/>
        </w:rPr>
      </w:pPr>
    </w:p>
    <w:p>
      <w:pPr>
        <w:ind w:left="1964" w:hanging="533"/>
        <w:spacing w:after="0"/>
        <w:tabs>
          <w:tab w:leader="none" w:pos="1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5 of the cover page for each Reporting Person and the corresponding footnotes.*</w:t>
      </w:r>
    </w:p>
    <w:p>
      <w:pPr>
        <w:spacing w:after="0" w:line="131" w:lineRule="exact"/>
        <w:rPr>
          <w:sz w:val="20"/>
          <w:szCs w:val="20"/>
          <w:color w:val="auto"/>
        </w:rPr>
      </w:pPr>
    </w:p>
    <w:p>
      <w:pPr>
        <w:ind w:left="1964" w:hanging="533"/>
        <w:spacing w:after="0"/>
        <w:tabs>
          <w:tab w:leader="none" w:pos="1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6 of the cover page for each Reporting Person and the corresponding footnotes.*</w:t>
      </w:r>
    </w:p>
    <w:p>
      <w:pPr>
        <w:spacing w:after="0" w:line="131" w:lineRule="exact"/>
        <w:rPr>
          <w:sz w:val="20"/>
          <w:szCs w:val="20"/>
          <w:color w:val="auto"/>
        </w:rPr>
      </w:pPr>
    </w:p>
    <w:p>
      <w:pPr>
        <w:ind w:left="1964" w:hanging="533"/>
        <w:spacing w:after="0"/>
        <w:tabs>
          <w:tab w:leader="none" w:pos="19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7 of the cover page for each Reporting Person and the corresponding footnotes.*</w:t>
      </w:r>
    </w:p>
    <w:p>
      <w:pPr>
        <w:spacing w:after="0" w:line="131" w:lineRule="exact"/>
        <w:rPr>
          <w:sz w:val="20"/>
          <w:szCs w:val="20"/>
          <w:color w:val="auto"/>
        </w:rPr>
      </w:pPr>
    </w:p>
    <w:p>
      <w:pPr>
        <w:ind w:left="1964" w:hanging="533"/>
        <w:spacing w:after="0"/>
        <w:tabs>
          <w:tab w:leader="none" w:pos="1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8 of the cover page for each Reporting Person and the corresponding footnotes.*</w:t>
      </w:r>
    </w:p>
    <w:p>
      <w:pPr>
        <w:spacing w:after="0" w:line="252" w:lineRule="exact"/>
        <w:rPr>
          <w:sz w:val="20"/>
          <w:szCs w:val="20"/>
          <w:color w:val="auto"/>
        </w:rPr>
      </w:pPr>
    </w:p>
    <w:p>
      <w:pPr>
        <w:ind w:left="424" w:right="420" w:hanging="424"/>
        <w:spacing w:after="0" w:line="277"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to the extent of his or its pecuniary interest therein, each Reporting Person disclaims beneficial ownership of such shares of Common Stock, except for the shares, if any, such Reporting Person holds of record.</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84"/>
          </w:cols>
          <w:pgMar w:left="436" w:top="274" w:right="479" w:bottom="1440" w:gutter="0" w:footer="0" w:header="0"/>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certain circumstances set forth in the limited partnership agreements of each of Spark II, Spark II FF, Spark Growth I and Spark Growth I FF and the limited liability company agreement of each of Spark II GP, Spark Growth I GP and Spark Capital,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pacing w:after="0" w:line="316" w:lineRule="exact"/>
        <w:rPr>
          <w:sz w:val="20"/>
          <w:szCs w:val="20"/>
          <w:color w:val="auto"/>
        </w:rPr>
      </w:pPr>
    </w:p>
    <w:p>
      <w:pPr>
        <w:ind w:left="980" w:right="60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to be Filed as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ectPr>
          <w:pgSz w:w="11900" w:h="16838" w:orient="portrait"/>
          <w:cols w:equalWidth="0" w:num="1">
            <w:col w:w="10940"/>
          </w:cols>
          <w:pgMar w:left="440" w:top="270" w:right="5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302492103</w:t>
            </w:r>
          </w:p>
        </w:tc>
        <w:tc>
          <w:tcPr>
            <w:tcW w:w="4840" w:type="dxa"/>
            <w:vAlign w:val="bottom"/>
          </w:tcPr>
          <w:p>
            <w:pPr>
              <w:ind w:left="4520"/>
              <w:spacing w:after="0"/>
              <w:rPr>
                <w:sz w:val="20"/>
                <w:szCs w:val="20"/>
                <w:color w:val="auto"/>
              </w:rPr>
            </w:pPr>
            <w:r>
              <w:rPr>
                <w:rFonts w:ascii="Arial" w:cs="Arial" w:eastAsia="Arial" w:hAnsi="Arial"/>
                <w:sz w:val="18"/>
                <w:szCs w:val="18"/>
                <w:color w:val="auto"/>
                <w:w w:val="88"/>
              </w:rPr>
              <w:t>13G</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SPARK CAPITAL II,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Spark Management Partners 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SPARK CAPITAL FOUNDERS’ FUND II,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Spark Management Partners 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SPARK MANAGEMENT PARTNERS II,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SPARK CAPITAL GROWTH FUND,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Spark Growth Management Partners,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SPARK CAPITAL GROWTH FOUNDERS’ FUND,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Spark Growth Management Partners,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ectPr>
          <w:pgSz w:w="11900" w:h="16838" w:orient="portrait"/>
          <w:cols w:equalWidth="0" w:num="1">
            <w:col w:w="11020"/>
          </w:cols>
          <w:pgMar w:left="440" w:top="274" w:right="439" w:bottom="1440" w:gutter="0" w:footer="0" w:header="0"/>
        </w:sectPr>
      </w:pPr>
    </w:p>
    <w:bookmarkStart w:id="13" w:name="page14"/>
    <w:bookmarkEnd w:id="1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SPARK GROWTH MANAGEMENT PARTNERS,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SPARK CAPITAL PARTNERS,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Alex Finkelstein</w:t>
      </w:r>
    </w:p>
    <w:p>
      <w:pPr>
        <w:sectPr>
          <w:pgSz w:w="11900" w:h="16838" w:orient="portrait"/>
          <w:cols w:equalWidth="0" w:num="1">
            <w:col w:w="9720"/>
          </w:cols>
          <w:pgMar w:left="1440" w:top="274" w:right="7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SPARK CAPITAL II,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Spark Management Partners 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SPARK CAPITAL FOUNDERS’ FUND II,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Spark Management Partners 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SPARK MANAGEMENT PARTNERS II,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SPARK CAPITAL GROWTH FUND,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Spark Growth Management Partners,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ectPr>
          <w:pgSz w:w="11900" w:h="16838" w:orient="portrait"/>
          <w:cols w:equalWidth="0" w:num="1">
            <w:col w:w="11020"/>
          </w:cols>
          <w:pgMar w:left="440" w:top="121" w:right="439" w:bottom="1440" w:gutter="0" w:footer="0" w:header="0"/>
        </w:sectPr>
      </w:pPr>
    </w:p>
    <w:bookmarkStart w:id="15" w:name="page16"/>
    <w:bookmarkEnd w:id="1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SPARK CAPITAL GROWTH FOUNDERS’ FUND,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Spark Growth Management Partners,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SPARK GROWTH MANAGEMENT PARTNERS,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SPARK CAPITAL PARTNERS,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Paul Conway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Alex Finkelstein</w:t>
      </w:r>
    </w:p>
    <w:sectPr>
      <w:pgSz w:w="11900" w:h="16838" w:orient="portrait"/>
      <w:cols w:equalWidth="0" w:num="1">
        <w:col w:w="9760"/>
      </w:cols>
      <w:pgMar w:left="14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lvl w:ilvl="1">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3"/>
    </w:lvl>
    <w:lvl w:ilvl="1">
      <w:lvlJc w:val="left"/>
      <w:lvlText w:val="%2."/>
      <w:numFmt w:val="decimal"/>
      <w:start w:val="5"/>
    </w:lvl>
  </w:abstractNum>
  <w:abstractNum w:abstractNumId="4">
    <w:nsid w:val="2D1D5AE9"/>
    <w:multiLevelType w:val="hybridMultilevel"/>
    <w:lvl w:ilvl="0">
      <w:lvlJc w:val="left"/>
      <w:lvlText w:val="%1"/>
      <w:numFmt w:val="decimal"/>
      <w:start w:val="1"/>
    </w:lvl>
    <w:lvl w:ilvl="1">
      <w:lvlJc w:val="left"/>
      <w:lvlText w:val="%2."/>
      <w:numFmt w:val="decimal"/>
      <w:start w:val="9"/>
    </w:lvl>
  </w:abstractNum>
  <w:abstractNum w:abstractNumId="5">
    <w:nsid w:val="6763845E"/>
    <w:multiLevelType w:val="hybridMultilevel"/>
    <w:lvl w:ilvl="0">
      <w:lvlJc w:val="left"/>
      <w:lvlText w:val="(%1)"/>
      <w:numFmt w:val="decimal"/>
      <w:start w:val="1"/>
    </w:lvl>
    <w:lvl w:ilvl="1">
      <w:lvlJc w:val="left"/>
      <w:lvlText w:val="%2"/>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3"/>
    </w:lvl>
    <w:lvl w:ilvl="1">
      <w:lvlJc w:val="left"/>
      <w:lvlText w:val="%2."/>
      <w:numFmt w:val="decimal"/>
      <w:start w:val="5"/>
    </w:lvl>
  </w:abstractNum>
  <w:abstractNum w:abstractNumId="8">
    <w:nsid w:val="79838CB2"/>
    <w:multiLevelType w:val="hybridMultilevel"/>
    <w:lvl w:ilvl="0">
      <w:lvlJc w:val="left"/>
      <w:lvlText w:val="%1"/>
      <w:numFmt w:val="decimal"/>
      <w:start w:val="1"/>
    </w:lvl>
    <w:lvl w:ilvl="1">
      <w:lvlJc w:val="left"/>
      <w:lvlText w:val="%2."/>
      <w:numFmt w:val="decimal"/>
      <w:start w:val="9"/>
    </w:lvl>
  </w:abstractNum>
  <w:abstractNum w:abstractNumId="9">
    <w:nsid w:val="4353D0CD"/>
    <w:multiLevelType w:val="hybridMultilevel"/>
    <w:lvl w:ilvl="0">
      <w:lvlJc w:val="left"/>
      <w:lvlText w:val="(%1)"/>
      <w:numFmt w:val="decimal"/>
      <w:start w:val="1"/>
    </w:lvl>
    <w:lvl w:ilvl="1">
      <w:lvlJc w:val="left"/>
      <w:lvlText w:val="%2"/>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3"/>
    </w:lvl>
    <w:lvl w:ilvl="1">
      <w:lvlJc w:val="left"/>
      <w:lvlText w:val="%2."/>
      <w:numFmt w:val="decimal"/>
      <w:start w:val="5"/>
    </w:lvl>
  </w:abstractNum>
  <w:abstractNum w:abstractNumId="12">
    <w:nsid w:val="54E49EB4"/>
    <w:multiLevelType w:val="hybridMultilevel"/>
    <w:lvl w:ilvl="0">
      <w:lvlJc w:val="left"/>
      <w:lvlText w:val="%1"/>
      <w:numFmt w:val="decimal"/>
      <w:start w:val="1"/>
    </w:lvl>
    <w:lvl w:ilvl="1">
      <w:lvlJc w:val="left"/>
      <w:lvlText w:val="%2."/>
      <w:numFmt w:val="decimal"/>
      <w:start w:val="9"/>
    </w:lvl>
  </w:abstractNum>
  <w:abstractNum w:abstractNumId="13">
    <w:nsid w:val="71F32454"/>
    <w:multiLevelType w:val="hybridMultilevel"/>
    <w:lvl w:ilvl="0">
      <w:lvlJc w:val="left"/>
      <w:lvlText w:val="(%1)"/>
      <w:numFmt w:val="decimal"/>
      <w:start w:val="1"/>
    </w:lvl>
    <w:lvl w:ilvl="1">
      <w:lvlJc w:val="left"/>
      <w:lvlText w:val="%2"/>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3"/>
    </w:lvl>
    <w:lvl w:ilvl="1">
      <w:lvlJc w:val="left"/>
      <w:lvlText w:val="%2."/>
      <w:numFmt w:val="decimal"/>
      <w:start w:val="5"/>
    </w:lvl>
  </w:abstractNum>
  <w:abstractNum w:abstractNumId="16">
    <w:nsid w:val="2901D82"/>
    <w:multiLevelType w:val="hybridMultilevel"/>
    <w:lvl w:ilvl="0">
      <w:lvlJc w:val="left"/>
      <w:lvlText w:val="%1"/>
      <w:numFmt w:val="decimal"/>
      <w:start w:val="1"/>
    </w:lvl>
    <w:lvl w:ilvl="1">
      <w:lvlJc w:val="left"/>
      <w:lvlText w:val="%2."/>
      <w:numFmt w:val="decimal"/>
      <w:start w:val="9"/>
    </w:lvl>
  </w:abstractNum>
  <w:abstractNum w:abstractNumId="17">
    <w:nsid w:val="3A95F874"/>
    <w:multiLevelType w:val="hybridMultilevel"/>
    <w:lvl w:ilvl="0">
      <w:lvlJc w:val="left"/>
      <w:lvlText w:val="(%1)"/>
      <w:numFmt w:val="decimal"/>
      <w:start w:val="1"/>
    </w:lvl>
    <w:lvl w:ilvl="1">
      <w:lvlJc w:val="left"/>
      <w:lvlText w:val="%2"/>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3"/>
    </w:lvl>
    <w:lvl w:ilvl="1">
      <w:lvlJc w:val="left"/>
      <w:lvlText w:val="%2."/>
      <w:numFmt w:val="decimal"/>
      <w:start w:val="5"/>
    </w:lvl>
  </w:abstractNum>
  <w:abstractNum w:abstractNumId="20">
    <w:nsid w:val="7C3DBD3D"/>
    <w:multiLevelType w:val="hybridMultilevel"/>
    <w:lvl w:ilvl="0">
      <w:lvlJc w:val="left"/>
      <w:lvlText w:val="%1"/>
      <w:numFmt w:val="decimal"/>
      <w:start w:val="1"/>
    </w:lvl>
    <w:lvl w:ilvl="1">
      <w:lvlJc w:val="left"/>
      <w:lvlText w:val="%2."/>
      <w:numFmt w:val="decimal"/>
      <w:start w:val="9"/>
    </w:lvl>
  </w:abstractNum>
  <w:abstractNum w:abstractNumId="21">
    <w:nsid w:val="737B8DDC"/>
    <w:multiLevelType w:val="hybridMultilevel"/>
    <w:lvl w:ilvl="0">
      <w:lvlJc w:val="left"/>
      <w:lvlText w:val="(%1)"/>
      <w:numFmt w:val="decimal"/>
      <w:start w:val="1"/>
    </w:lvl>
    <w:lvl w:ilvl="1">
      <w:lvlJc w:val="left"/>
      <w:lvlText w:val="%2"/>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3"/>
    </w:lvl>
    <w:lvl w:ilvl="1">
      <w:lvlJc w:val="left"/>
      <w:lvlText w:val="%2."/>
      <w:numFmt w:val="decimal"/>
      <w:start w:val="5"/>
    </w:lvl>
  </w:abstractNum>
  <w:abstractNum w:abstractNumId="24">
    <w:nsid w:val="4516DDE9"/>
    <w:multiLevelType w:val="hybridMultilevel"/>
    <w:lvl w:ilvl="0">
      <w:lvlJc w:val="left"/>
      <w:lvlText w:val="%1"/>
      <w:numFmt w:val="decimal"/>
      <w:start w:val="1"/>
    </w:lvl>
    <w:lvl w:ilvl="1">
      <w:lvlJc w:val="left"/>
      <w:lvlText w:val="%2."/>
      <w:numFmt w:val="decimal"/>
      <w:start w:val="9"/>
    </w:lvl>
  </w:abstractNum>
  <w:abstractNum w:abstractNumId="25">
    <w:nsid w:val="3006C83E"/>
    <w:multiLevelType w:val="hybridMultilevel"/>
    <w:lvl w:ilvl="0">
      <w:lvlJc w:val="left"/>
      <w:lvlText w:val="(%1)"/>
      <w:numFmt w:val="decimal"/>
      <w:start w:val="1"/>
    </w:lvl>
    <w:lvl w:ilvl="1">
      <w:lvlJc w:val="left"/>
      <w:lvlText w:val="%2"/>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3"/>
    </w:lvl>
    <w:lvl w:ilvl="1">
      <w:lvlJc w:val="left"/>
      <w:lvlText w:val="%2."/>
      <w:numFmt w:val="decimal"/>
      <w:start w:val="5"/>
    </w:lvl>
  </w:abstractNum>
  <w:abstractNum w:abstractNumId="28">
    <w:nsid w:val="5577F8E1"/>
    <w:multiLevelType w:val="hybridMultilevel"/>
    <w:lvl w:ilvl="0">
      <w:lvlJc w:val="left"/>
      <w:lvlText w:val="%1"/>
      <w:numFmt w:val="decimal"/>
      <w:start w:val="1"/>
    </w:lvl>
    <w:lvl w:ilvl="1">
      <w:lvlJc w:val="left"/>
      <w:lvlText w:val="%2."/>
      <w:numFmt w:val="decimal"/>
      <w:start w:val="9"/>
    </w:lvl>
  </w:abstractNum>
  <w:abstractNum w:abstractNumId="29">
    <w:nsid w:val="440BADFC"/>
    <w:multiLevelType w:val="hybridMultilevel"/>
    <w:lvl w:ilvl="0">
      <w:lvlJc w:val="left"/>
      <w:lvlText w:val="(%1)"/>
      <w:numFmt w:val="decimal"/>
      <w:start w:val="1"/>
    </w:lvl>
    <w:lvl w:ilvl="1">
      <w:lvlJc w:val="left"/>
      <w:lvlText w:val="%2"/>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3"/>
    </w:lvl>
    <w:lvl w:ilvl="1">
      <w:lvlJc w:val="left"/>
      <w:lvlText w:val="%2."/>
      <w:numFmt w:val="decimal"/>
      <w:start w:val="5"/>
    </w:lvl>
  </w:abstractNum>
  <w:abstractNum w:abstractNumId="32">
    <w:nsid w:val="77465F01"/>
    <w:multiLevelType w:val="hybridMultilevel"/>
    <w:lvl w:ilvl="0">
      <w:lvlJc w:val="left"/>
      <w:lvlText w:val="%1"/>
      <w:numFmt w:val="decimal"/>
      <w:start w:val="1"/>
    </w:lvl>
    <w:lvl w:ilvl="1">
      <w:lvlJc w:val="left"/>
      <w:lvlText w:val="%2."/>
      <w:numFmt w:val="decimal"/>
      <w:start w:val="9"/>
    </w:lvl>
  </w:abstractNum>
  <w:abstractNum w:abstractNumId="33">
    <w:nsid w:val="7724C67E"/>
    <w:multiLevelType w:val="hybridMultilevel"/>
    <w:lvl w:ilvl="0">
      <w:lvlJc w:val="left"/>
      <w:lvlText w:val="(%1)"/>
      <w:numFmt w:val="decimal"/>
      <w:start w:val="1"/>
    </w:lvl>
    <w:lvl w:ilvl="1">
      <w:lvlJc w:val="left"/>
      <w:lvlText w:val="%2"/>
      <w:numFmt w:val="decimal"/>
      <w:start w:val="1"/>
    </w:lvl>
  </w:abstractNum>
  <w:abstractNum w:abstractNumId="34">
    <w:nsid w:val="5C482A97"/>
    <w:multiLevelType w:val="hybridMultilevel"/>
    <w:lvl w:ilvl="0">
      <w:lvlJc w:val="left"/>
      <w:lvlText w:val="(%1)"/>
      <w:numFmt w:val="lowerLetter"/>
      <w:start w:val="2"/>
    </w:lvl>
  </w:abstractNum>
  <w:abstractNum w:abstractNumId="35">
    <w:nsid w:val="2463B9EA"/>
    <w:multiLevelType w:val="hybridMultilevel"/>
    <w:lvl w:ilvl="0">
      <w:lvlJc w:val="left"/>
      <w:lvlText w:val="(%1)"/>
      <w:numFmt w:val="lowerLetter"/>
      <w:start w:val="3"/>
    </w:lvl>
  </w:abstractNum>
  <w:abstractNum w:abstractNumId="36">
    <w:nsid w:val="5E884ADC"/>
    <w:multiLevelType w:val="hybridMultilevel"/>
    <w:lvl w:ilvl="0">
      <w:lvlJc w:val="left"/>
      <w:lvlText w:val="(%1)"/>
      <w:numFmt w:val="lowerRoman"/>
      <w:start w:val="1"/>
    </w:lvl>
  </w:abstractNum>
  <w:abstractNum w:abstractNumId="37">
    <w:nsid w:val="51EAD36B"/>
    <w:multiLevelType w:val="hybridMultilevel"/>
    <w:lvl w:ilvl="0">
      <w:lvlJc w:val="left"/>
      <w:lvlText w:val="(%1)"/>
      <w:numFmt w:val="lowerRoman"/>
      <w:start w:val="2"/>
    </w:lvl>
  </w:abstractNum>
  <w:abstractNum w:abstractNumId="38">
    <w:nsid w:val="2D517796"/>
    <w:multiLevelType w:val="hybridMultilevel"/>
    <w:lvl w:ilvl="0">
      <w:lvlJc w:val="left"/>
      <w:lvlText w:val="(%1)"/>
      <w:numFmt w:val="lowerRoman"/>
      <w:start w:val="3"/>
    </w:lvl>
  </w:abstractNum>
  <w:abstractNum w:abstractNumId="39">
    <w:nsid w:val="580BD78F"/>
    <w:multiLevelType w:val="hybridMultilevel"/>
    <w:lvl w:ilvl="0">
      <w:lvlJc w:val="left"/>
      <w:lvlText w:val="(%1)"/>
      <w:numFmt w:val="lowerRoman"/>
      <w:start w:val="4"/>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2022-02-11T23:04:12Z</dcterms:created>
  <dcterms:modified xsi:type="dcterms:W3CDTF">2022-02-11T23:04:12Z</dcterms:modified>
</cp:coreProperties>
</file>