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234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2345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Finkelstein Alex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48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90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FLYWIRE CORPORATION</w:t>
            </w:r>
          </w:p>
        </w:tc>
        <w:tc>
          <w:tcPr>
            <w:tcW w:w="1300" w:type="dxa"/>
            <w:vAlign w:val="bottom"/>
            <w:gridSpan w:val="6"/>
          </w:tcPr>
          <w:p>
            <w:pPr>
              <w:ind w:left="160"/>
              <w:spacing w:after="0"/>
              <w:rPr>
                <w:sz w:val="20"/>
                <w:szCs w:val="20"/>
                <w:color w:val="auto"/>
              </w:rPr>
            </w:pPr>
            <w:r>
              <w:rPr>
                <w:rFonts w:ascii="Arial" w:cs="Arial" w:eastAsia="Arial" w:hAnsi="Arial"/>
                <w:sz w:val="17"/>
                <w:szCs w:val="17"/>
                <w:color w:val="0000FF"/>
              </w:rPr>
              <w:t>11/11/2021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2,951,395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11,948,786</w:t>
            </w:r>
          </w:p>
        </w:tc>
        <w:tc>
          <w:tcPr>
            <w:tcW w:w="280" w:type="dxa"/>
            <w:vAlign w:val="bottom"/>
          </w:tcPr>
          <w:p>
            <w:pPr>
              <w:spacing w:after="0"/>
              <w:rPr>
                <w:sz w:val="22"/>
                <w:szCs w:val="22"/>
                <w:color w:val="auto"/>
              </w:rPr>
            </w:pPr>
          </w:p>
        </w:tc>
        <w:tc>
          <w:tcPr>
            <w:tcW w:w="580" w:type="dxa"/>
            <w:vAlign w:val="bottom"/>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44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44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1"/>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56,983</w:t>
            </w:r>
          </w:p>
        </w:tc>
        <w:tc>
          <w:tcPr>
            <w:tcW w:w="44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56,983</w:t>
            </w:r>
          </w:p>
        </w:tc>
        <w:tc>
          <w:tcPr>
            <w:tcW w:w="2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265"/>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3"/>
              </w:rPr>
              <w:t>4,938</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4,938</w:t>
            </w:r>
          </w:p>
        </w:tc>
        <w:tc>
          <w:tcPr>
            <w:tcW w:w="280" w:type="dxa"/>
            <w:vAlign w:val="bottom"/>
          </w:tcPr>
          <w:p>
            <w:pPr>
              <w:spacing w:after="0"/>
              <w:rPr>
                <w:sz w:val="22"/>
                <w:szCs w:val="22"/>
                <w:color w:val="auto"/>
              </w:rPr>
            </w:pPr>
          </w:p>
        </w:tc>
        <w:tc>
          <w:tcPr>
            <w:tcW w:w="580" w:type="dxa"/>
            <w:vAlign w:val="bottom"/>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11/11/2021</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19,307</w:t>
            </w:r>
          </w:p>
        </w:tc>
        <w:tc>
          <w:tcPr>
            <w:tcW w:w="44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78,166</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10,257</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1,036,509</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80" w:type="dxa"/>
            <w:vAlign w:val="bottom"/>
            <w:gridSpan w:val="18"/>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II, L.P. ("Spark Capital II") to its partners.</w:t>
      </w:r>
    </w:p>
    <w:p>
      <w:pPr>
        <w:spacing w:after="0" w:line="50"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II. Spark Management Partners II, LLC ("SMP II") is the general partner of Spark Capital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SMP II by virtue of the receipt of shares in the pro-rata in-kind distribution of voting common stock of the Issuer for no consideration by Spark Capital</w:t>
      </w:r>
    </w:p>
    <w:p>
      <w:pPr>
        <w:spacing w:after="0" w:line="18"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II.</w:t>
      </w:r>
    </w:p>
    <w:p>
      <w:pPr>
        <w:spacing w:after="0" w:line="40" w:lineRule="exact"/>
        <w:rPr>
          <w:rFonts w:ascii="Arial" w:cs="Arial" w:eastAsia="Arial" w:hAnsi="Arial"/>
          <w:sz w:val="12"/>
          <w:szCs w:val="12"/>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SMP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SMP II to its members.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FF II. SMP II is the general partner of Spark Capital FF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jc w:val="both"/>
        <w:ind w:left="40" w:right="1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Growth Founders' Fund, L.P. ("Spark Capital Growth FF"). Spark Growth Management Partners, LLC ("SGMP") is the general partner of Spark Capital Growth FF. The Reporting Person holds an interest in SGMP. The Reporting Person may be deemed to share investment, voting and dispositive power over these shares. Each of SGMP and the Reporting</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5" w:lineRule="exact"/>
        <w:rPr>
          <w:sz w:val="20"/>
          <w:szCs w:val="20"/>
          <w:color w:val="auto"/>
        </w:rPr>
      </w:pPr>
    </w:p>
    <w:p>
      <w:pPr>
        <w:ind w:right="8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Growth Fund, L.P. ("Spark Capital Growth"). SGMP is the general partner of Spark Capital Growth. The Reporting Person may be deemed to share investment, voting and dispositive power over these shares. Each of SGMP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right="52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receipt of shares as a result of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right="40" w:firstLine="7"/>
        <w:spacing w:after="0" w:line="266"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SCP. The Reporting Person is a managing member of SCP and may be deemed to share investment, voting and dispositive power over these shares. Each of SCP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 if any.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Alex Finkelstein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11/15/2021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2021-11-15T18:22:39Z</dcterms:created>
  <dcterms:modified xsi:type="dcterms:W3CDTF">2021-11-15T18:22:39Z</dcterms:modified>
</cp:coreProperties>
</file>