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FLYWIRE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001-40430</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27-0690799</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6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060"/>
        <w:spacing w:after="0"/>
        <w:rPr>
          <w:sz w:val="20"/>
          <w:szCs w:val="20"/>
          <w:color w:val="auto"/>
        </w:rPr>
      </w:pPr>
      <w:r>
        <w:rPr>
          <w:rFonts w:ascii="Arial" w:cs="Arial" w:eastAsia="Arial" w:hAnsi="Arial"/>
          <w:sz w:val="7"/>
          <w:szCs w:val="7"/>
          <w:b w:val="1"/>
          <w:bCs w:val="1"/>
          <w:color w:val="auto"/>
        </w:rPr>
        <w:t>(Commission</w:t>
      </w:r>
    </w:p>
    <w:p>
      <w:pPr>
        <w:spacing w:after="0" w:line="13" w:lineRule="exact"/>
        <w:rPr>
          <w:sz w:val="24"/>
          <w:szCs w:val="24"/>
          <w:color w:val="auto"/>
        </w:rPr>
      </w:pPr>
    </w:p>
    <w:p>
      <w:pPr>
        <w:jc w:val="center"/>
        <w:ind w:right="1060"/>
        <w:spacing w:after="0"/>
        <w:rPr>
          <w:sz w:val="20"/>
          <w:szCs w:val="20"/>
          <w:color w:val="auto"/>
        </w:rPr>
      </w:pPr>
      <w:r>
        <w:rPr>
          <w:rFonts w:ascii="Arial" w:cs="Arial" w:eastAsia="Arial" w:hAnsi="Arial"/>
          <w:sz w:val="10"/>
          <w:szCs w:val="10"/>
          <w:b w:val="1"/>
          <w:bCs w:val="1"/>
          <w:color w:val="auto"/>
        </w:rPr>
        <w:t>File No.)</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42" w:lineRule="exact"/>
        <w:rPr>
          <w:sz w:val="24"/>
          <w:szCs w:val="24"/>
          <w:color w:val="auto"/>
        </w:rPr>
      </w:pPr>
    </w:p>
    <w:p>
      <w:pPr>
        <w:sectPr>
          <w:pgSz w:w="11900" w:h="16838" w:orient="portrait"/>
          <w:cols w:equalWidth="0" w:num="3">
            <w:col w:w="3600" w:space="720"/>
            <w:col w:w="1580" w:space="720"/>
            <w:col w:w="2399"/>
          </w:cols>
          <w:pgMar w:left="1440" w:top="292" w:right="1440" w:bottom="1440" w:gutter="0" w:footer="0" w:header="0"/>
          <w:type w:val="continuous"/>
        </w:sectPr>
      </w:pPr>
    </w:p>
    <w:p>
      <w:pPr>
        <w:ind w:left="4000"/>
        <w:spacing w:after="0"/>
        <w:rPr>
          <w:sz w:val="20"/>
          <w:szCs w:val="20"/>
          <w:color w:val="auto"/>
        </w:rPr>
      </w:pPr>
      <w:r>
        <w:rPr>
          <w:rFonts w:ascii="Arial" w:cs="Arial" w:eastAsia="Arial" w:hAnsi="Arial"/>
          <w:sz w:val="12"/>
          <w:szCs w:val="12"/>
          <w:b w:val="1"/>
          <w:bCs w:val="1"/>
          <w:color w:val="auto"/>
        </w:rPr>
        <w:t>141 Tremont St #10</w:t>
      </w:r>
    </w:p>
    <w:p>
      <w:pPr>
        <w:spacing w:after="0" w:line="19" w:lineRule="exact"/>
        <w:rPr>
          <w:sz w:val="24"/>
          <w:szCs w:val="24"/>
          <w:color w:val="auto"/>
        </w:rPr>
      </w:pPr>
    </w:p>
    <w:p>
      <w:pPr>
        <w:ind w:left="4040"/>
        <w:spacing w:after="0"/>
        <w:rPr>
          <w:sz w:val="20"/>
          <w:szCs w:val="20"/>
          <w:color w:val="auto"/>
        </w:rPr>
      </w:pPr>
      <w:r>
        <w:rPr>
          <w:rFonts w:ascii="Arial" w:cs="Arial" w:eastAsia="Arial" w:hAnsi="Arial"/>
          <w:sz w:val="12"/>
          <w:szCs w:val="12"/>
          <w:b w:val="1"/>
          <w:bCs w:val="1"/>
          <w:color w:val="auto"/>
        </w:rPr>
        <w:t>Boston, MA 02111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and zip code)</w:t>
      </w:r>
    </w:p>
    <w:p>
      <w:pPr>
        <w:sectPr>
          <w:pgSz w:w="11900" w:h="16838" w:orient="portrait"/>
          <w:cols w:equalWidth="0" w:num="1">
            <w:col w:w="9019"/>
          </w:cols>
          <w:pgMar w:left="1440" w:top="292" w:right="1440" w:bottom="1440" w:gutter="0" w:footer="0" w:header="0"/>
          <w:type w:val="continuous"/>
        </w:sectPr>
      </w:pP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(617) 329-4524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136525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0"/>
              </w:rPr>
              <w:t>Voting Common Stock, $0.0001 par value per</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FLYW</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4"/>
              </w:rPr>
              <w:t>The Nasdaq Stock Market LLC</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share</w:t>
            </w: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26"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5"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ind w:left="840" w:right="959"/>
        <w:spacing w:after="0" w:line="263" w:lineRule="auto"/>
        <w:rPr>
          <w:sz w:val="20"/>
          <w:szCs w:val="20"/>
          <w:color w:val="auto"/>
        </w:rPr>
      </w:pPr>
      <w:r>
        <w:rPr>
          <w:rFonts w:ascii="Arial" w:cs="Arial" w:eastAsia="Arial" w:hAnsi="Arial"/>
          <w:sz w:val="12"/>
          <w:szCs w:val="12"/>
          <w:color w:val="auto"/>
        </w:rPr>
        <w:t>On May 10, 2022, Flywire Corporation (“Flywire” or the “Company”) issued a press release (the “Press Release”) and is holding a conference call regarding its financial results for the quarter ended March 31, 2022. The Press Release is furnished as Exhibit 99.1 to this Current Report on Form 8-K and is incorporated by reference herein.</w:t>
      </w:r>
    </w:p>
    <w:p>
      <w:pPr>
        <w:spacing w:after="0" w:line="122" w:lineRule="exact"/>
        <w:rPr>
          <w:sz w:val="20"/>
          <w:szCs w:val="20"/>
          <w:color w:val="auto"/>
        </w:rPr>
      </w:pPr>
    </w:p>
    <w:p>
      <w:pPr>
        <w:ind w:left="840" w:right="859"/>
        <w:spacing w:after="0" w:line="275" w:lineRule="auto"/>
        <w:rPr>
          <w:sz w:val="20"/>
          <w:szCs w:val="20"/>
          <w:color w:val="auto"/>
        </w:rPr>
      </w:pPr>
      <w:r>
        <w:rPr>
          <w:rFonts w:ascii="Arial" w:cs="Arial" w:eastAsia="Arial" w:hAnsi="Arial"/>
          <w:sz w:val="11"/>
          <w:szCs w:val="11"/>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Annual Report on Form 10-K for the year ended December 31, 2021, which is on file with the Securities and Exchange Commission (SEC) and available on the SEC’s website at https://www.sec.gov/. Additional factors may be described in those sections of Flywire’s Quarterly Report on Form 10-Q for the quarter ended March 31, 2022, expected to be filed with the SEC in the second quarter of 2022.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w:t>
      </w:r>
    </w:p>
    <w:p>
      <w:pPr>
        <w:sectPr>
          <w:pgSz w:w="11900" w:h="16838" w:orient="portrait"/>
          <w:cols w:equalWidth="0" w:num="1">
            <w:col w:w="9019"/>
          </w:cols>
          <w:pgMar w:left="1440" w:top="244" w:right="1440" w:bottom="1440" w:gutter="0" w:footer="0" w:header="0"/>
        </w:sectPr>
      </w:pPr>
    </w:p>
    <w:bookmarkStart w:id="2" w:name="page3"/>
    <w:bookmarkEnd w:id="2"/>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839"/>
        <w:spacing w:after="0" w:line="263" w:lineRule="auto"/>
        <w:rPr>
          <w:sz w:val="20"/>
          <w:szCs w:val="20"/>
          <w:color w:val="auto"/>
        </w:rPr>
      </w:pPr>
      <w:r>
        <w:rPr>
          <w:rFonts w:ascii="Arial" w:cs="Arial" w:eastAsia="Arial" w:hAnsi="Arial"/>
          <w:sz w:val="12"/>
          <w:szCs w:val="12"/>
          <w:color w:val="auto"/>
        </w:rPr>
        <w:t>On May 10, 2022,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122" w:lineRule="exact"/>
        <w:rPr>
          <w:sz w:val="20"/>
          <w:szCs w:val="20"/>
          <w:color w:val="auto"/>
        </w:rPr>
      </w:pPr>
    </w:p>
    <w:p>
      <w:pPr>
        <w:jc w:val="both"/>
        <w:ind w:left="840" w:right="859"/>
        <w:spacing w:after="0" w:line="298" w:lineRule="auto"/>
        <w:rPr>
          <w:sz w:val="20"/>
          <w:szCs w:val="20"/>
          <w:color w:val="auto"/>
        </w:rPr>
      </w:pPr>
      <w:r>
        <w:rPr>
          <w:rFonts w:ascii="Arial" w:cs="Arial" w:eastAsia="Arial" w:hAnsi="Arial"/>
          <w:sz w:val="11"/>
          <w:szCs w:val="11"/>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200"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920"/>
        <w:spacing w:after="0"/>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color w:val="auto"/>
        </w:rPr>
        <w:t>Description</w:t>
      </w:r>
    </w:p>
    <w:p>
      <w:pPr>
        <w:spacing w:after="0" w:line="61"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5">
        <w:r>
          <w:rPr>
            <w:rFonts w:ascii="Arial" w:cs="Arial" w:eastAsia="Arial" w:hAnsi="Arial"/>
            <w:sz w:val="10"/>
            <w:szCs w:val="10"/>
            <w:u w:val="single" w:color="auto"/>
            <w:color w:val="0000EE"/>
          </w:rPr>
          <w:t>Flywire Corporation Press Release dated May 10, 2022.</w:t>
        </w:r>
      </w:hyperlink>
    </w:p>
    <w:p>
      <w:pPr>
        <w:spacing w:after="0" w:line="78"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16">
        <w:r>
          <w:rPr>
            <w:rFonts w:ascii="Arial" w:cs="Arial" w:eastAsia="Arial" w:hAnsi="Arial"/>
            <w:sz w:val="10"/>
            <w:szCs w:val="10"/>
            <w:u w:val="single" w:color="auto"/>
            <w:color w:val="0000EE"/>
          </w:rPr>
          <w:t>Flywire Corporation Investor Presentation dated May 10, 2022.</w:t>
        </w:r>
      </w:hyperlink>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Inline XBRL document)</w:t>
      </w:r>
    </w:p>
    <w:p>
      <w:pPr>
        <w:sectPr>
          <w:pgSz w:w="11900" w:h="16838" w:orient="portrait"/>
          <w:cols w:equalWidth="0" w:num="1">
            <w:col w:w="9019"/>
          </w:cols>
          <w:pgMar w:left="1440" w:top="244"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0"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FLYWIRE CORPORATION</w:t>
      </w:r>
    </w:p>
    <w:p>
      <w:pPr>
        <w:spacing w:after="0" w:line="150"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Michael Ellis</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Chief Financial Officer</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Dated May 10, 2022</w:t>
      </w:r>
    </w:p>
    <w:p>
      <w:pPr>
        <w:sectPr>
          <w:pgSz w:w="11900" w:h="16838" w:orient="portrait"/>
          <w:cols w:equalWidth="0" w:num="1">
            <w:col w:w="9019"/>
          </w:cols>
          <w:pgMar w:left="1440" w:top="248" w:right="1440" w:bottom="1440" w:gutter="0" w:footer="0" w:header="0"/>
        </w:sectPr>
      </w:pPr>
    </w:p>
    <w:bookmarkStart w:id="4" w:name="page5"/>
    <w:bookmarkEnd w:id="4"/>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Flywire Reports First Quarter 2022 Financial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First Quarter Revenue Increased 43%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First Quarter Revenue Less Ancillary Services Increased 47%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First Quarter Total Payment Volume Increased 46% Year-over-Year</w:t>
      </w:r>
    </w:p>
    <w:p>
      <w:pPr>
        <w:spacing w:after="0" w:line="146" w:lineRule="exact"/>
        <w:rPr>
          <w:sz w:val="20"/>
          <w:szCs w:val="20"/>
          <w:color w:val="auto"/>
        </w:rPr>
      </w:pPr>
    </w:p>
    <w:p>
      <w:pPr>
        <w:ind w:left="840" w:right="1079"/>
        <w:spacing w:after="0" w:line="283" w:lineRule="auto"/>
        <w:rPr>
          <w:sz w:val="20"/>
          <w:szCs w:val="20"/>
          <w:color w:val="auto"/>
        </w:rPr>
      </w:pPr>
      <w:r>
        <w:rPr>
          <w:rFonts w:ascii="Arial" w:cs="Arial" w:eastAsia="Arial" w:hAnsi="Arial"/>
          <w:sz w:val="12"/>
          <w:szCs w:val="12"/>
          <w:b w:val="1"/>
          <w:bCs w:val="1"/>
          <w:color w:val="auto"/>
        </w:rPr>
        <w:t xml:space="preserve">Boston, MA – May 10, 2022: </w:t>
      </w:r>
      <w:r>
        <w:rPr>
          <w:rFonts w:ascii="Arial" w:cs="Arial" w:eastAsia="Arial" w:hAnsi="Arial"/>
          <w:sz w:val="12"/>
          <w:szCs w:val="12"/>
          <w:u w:val="single" w:color="auto"/>
          <w:color w:val="auto"/>
        </w:rPr>
        <w:t>Flywire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(Nasdaq: FLYW) (the “Company”) a global payments enablement and software company, today</w:t>
      </w:r>
      <w:r>
        <w:rPr>
          <w:rFonts w:ascii="Arial" w:cs="Arial" w:eastAsia="Arial" w:hAnsi="Arial"/>
          <w:sz w:val="12"/>
          <w:szCs w:val="12"/>
          <w:b w:val="1"/>
          <w:bCs w:val="1"/>
          <w:color w:val="auto"/>
        </w:rPr>
        <w:t xml:space="preserve"> </w:t>
      </w:r>
      <w:r>
        <w:rPr>
          <w:rFonts w:ascii="Arial" w:cs="Arial" w:eastAsia="Arial" w:hAnsi="Arial"/>
          <w:sz w:val="12"/>
          <w:szCs w:val="12"/>
          <w:color w:val="auto"/>
        </w:rPr>
        <w:t>reported financial results for its first quarter ended March 31, 2022.</w:t>
      </w:r>
    </w:p>
    <w:p>
      <w:pPr>
        <w:spacing w:after="0" w:line="111" w:lineRule="exact"/>
        <w:rPr>
          <w:sz w:val="20"/>
          <w:szCs w:val="20"/>
          <w:color w:val="auto"/>
        </w:rPr>
      </w:pPr>
    </w:p>
    <w:p>
      <w:pPr>
        <w:ind w:left="840" w:right="979"/>
        <w:spacing w:after="0" w:line="256" w:lineRule="auto"/>
        <w:rPr>
          <w:sz w:val="20"/>
          <w:szCs w:val="20"/>
          <w:color w:val="auto"/>
        </w:rPr>
      </w:pPr>
      <w:r>
        <w:rPr>
          <w:rFonts w:ascii="Arial" w:cs="Arial" w:eastAsia="Arial" w:hAnsi="Arial"/>
          <w:sz w:val="12"/>
          <w:szCs w:val="12"/>
          <w:color w:val="auto"/>
        </w:rPr>
        <w:t>“Flywire posted a strong start to 2022, with first quarter revenue increasing 43% and revenue less ancillary services increasing 47% compared to the first quarter of 2021, driven primarily by growth in education and travel,” said Mike Massaro, CEO of Flywire. “We added over 130 clients in Q1, the most clients added in a quarter since our IPO, reflecting the continued execution of our growth strategies and investments. Our primary verticals have been resilient despite global and macro uncertainties, with strong secular tailwinds that we believe will continue to drive our growth in 2022 and beyond.”</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First Quarter 2022 Financial Highlights: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GAAP Results</w:t>
      </w:r>
    </w:p>
    <w:p>
      <w:pPr>
        <w:spacing w:after="0" w:line="87" w:lineRule="exact"/>
        <w:rPr>
          <w:sz w:val="20"/>
          <w:szCs w:val="20"/>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increased 43% to $64.6 million in the first quarter of 2022, compared to $45.0 million in the first quarter of 2021.</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Gross margin was 60.1% in the first quarter of 2022, compared to 61.3% in the first quarter of 2021.</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Net loss was $(10.1) million in the first quarter of 2022, compared to net loss of $(8.7) million in the first quarter of 2021.</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Key Operating Metrics and Non-GAAP Results</w:t>
      </w:r>
    </w:p>
    <w:p>
      <w:pPr>
        <w:spacing w:after="0" w:line="87" w:lineRule="exact"/>
        <w:rPr>
          <w:sz w:val="20"/>
          <w:szCs w:val="20"/>
          <w:color w:val="auto"/>
        </w:rPr>
      </w:pPr>
    </w:p>
    <w:p>
      <w:pPr>
        <w:ind w:left="1480" w:hanging="288"/>
        <w:spacing w:after="0"/>
        <w:tabs>
          <w:tab w:leader="none" w:pos="14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Total Payment Volume increased 46% to $4.2 billion in the first quarter of 2022, compared to $2.9 billion in the first quarter of 2021.</w:t>
      </w:r>
    </w:p>
    <w:p>
      <w:pPr>
        <w:spacing w:after="0" w:line="98" w:lineRule="exact"/>
        <w:rPr>
          <w:rFonts w:ascii="Arial" w:cs="Arial" w:eastAsia="Arial" w:hAnsi="Arial"/>
          <w:sz w:val="11"/>
          <w:szCs w:val="11"/>
          <w:color w:val="auto"/>
        </w:rPr>
      </w:pPr>
    </w:p>
    <w:p>
      <w:pPr>
        <w:ind w:left="1480" w:right="89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Revenue Less Ancillary Services increased 47% to $59.3 million in the first quarter of 2022, compared to $40.2 million in the first quarter of 2021.</w:t>
      </w:r>
    </w:p>
    <w:p>
      <w:pPr>
        <w:spacing w:after="0" w:line="51" w:lineRule="exact"/>
        <w:rPr>
          <w:rFonts w:ascii="Arial" w:cs="Arial" w:eastAsia="Arial" w:hAnsi="Arial"/>
          <w:sz w:val="12"/>
          <w:szCs w:val="12"/>
          <w:color w:val="auto"/>
        </w:rPr>
      </w:pPr>
    </w:p>
    <w:p>
      <w:pPr>
        <w:ind w:left="1480" w:right="99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Gross Margin decreased 3.2% in absolute terms to 65.5% in the first quarter of 2022, compared to 68.7% in the first quarter of 2021.</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EBITDA was $1.8 million in the first quarter of 2022, compared to $7.0 million in the first quarter of 2021.</w:t>
      </w:r>
    </w:p>
    <w:p>
      <w:pPr>
        <w:sectPr>
          <w:pgSz w:w="11900" w:h="16838" w:orient="portrait"/>
          <w:cols w:equalWidth="0" w:num="1">
            <w:col w:w="9019"/>
          </w:cols>
          <w:pgMar w:left="1440" w:top="127"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Business Highlights:</w:t>
      </w:r>
    </w:p>
    <w:p>
      <w:pPr>
        <w:spacing w:after="0" w:line="91" w:lineRule="exact"/>
        <w:rPr>
          <w:sz w:val="20"/>
          <w:szCs w:val="20"/>
          <w:color w:val="auto"/>
        </w:rPr>
      </w:pPr>
    </w:p>
    <w:p>
      <w:pPr>
        <w:ind w:left="1480" w:right="1179" w:hanging="288"/>
        <w:spacing w:after="0" w:line="27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Announced a partnership with </w:t>
      </w:r>
      <w:r>
        <w:rPr>
          <w:rFonts w:ascii="Arial" w:cs="Arial" w:eastAsia="Arial" w:hAnsi="Arial"/>
          <w:sz w:val="12"/>
          <w:szCs w:val="12"/>
          <w:u w:val="single" w:color="auto"/>
          <w:color w:val="auto"/>
        </w:rPr>
        <w:t>Ascensus</w:t>
      </w:r>
      <w:r>
        <w:rPr>
          <w:rFonts w:ascii="Arial" w:cs="Arial" w:eastAsia="Arial" w:hAnsi="Arial"/>
          <w:sz w:val="12"/>
          <w:szCs w:val="12"/>
          <w:color w:val="auto"/>
        </w:rPr>
        <w:t>, whose technology and expertise help millions of people save for education, retirement, and healthcare, to digitize tuition payments from 529 college savings plans in the U.S.</w:t>
      </w:r>
    </w:p>
    <w:p>
      <w:pPr>
        <w:spacing w:after="0" w:line="51" w:lineRule="exact"/>
        <w:rPr>
          <w:rFonts w:ascii="Arial" w:cs="Arial" w:eastAsia="Arial" w:hAnsi="Arial"/>
          <w:sz w:val="12"/>
          <w:szCs w:val="12"/>
          <w:color w:val="auto"/>
        </w:rPr>
      </w:pPr>
    </w:p>
    <w:p>
      <w:pPr>
        <w:ind w:left="1480" w:right="919" w:hanging="288"/>
        <w:spacing w:after="0" w:line="27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Became the exclusive international payments partner for </w:t>
      </w:r>
      <w:r>
        <w:rPr>
          <w:rFonts w:ascii="Arial" w:cs="Arial" w:eastAsia="Arial" w:hAnsi="Arial"/>
          <w:sz w:val="12"/>
          <w:szCs w:val="12"/>
          <w:u w:val="single" w:color="auto"/>
          <w:color w:val="auto"/>
        </w:rPr>
        <w:t>Adapt IT</w:t>
      </w:r>
      <w:r>
        <w:rPr>
          <w:rFonts w:ascii="Arial" w:cs="Arial" w:eastAsia="Arial" w:hAnsi="Arial"/>
          <w:sz w:val="12"/>
          <w:szCs w:val="12"/>
          <w:color w:val="auto"/>
        </w:rPr>
        <w:t>, a leading software company in South Africa, to streamline and digitize cross-border education payments for students studying in South Africa.</w:t>
      </w:r>
    </w:p>
    <w:p>
      <w:pPr>
        <w:spacing w:after="0" w:line="51" w:lineRule="exact"/>
        <w:rPr>
          <w:rFonts w:ascii="Arial" w:cs="Arial" w:eastAsia="Arial" w:hAnsi="Arial"/>
          <w:sz w:val="12"/>
          <w:szCs w:val="12"/>
          <w:color w:val="auto"/>
        </w:rPr>
      </w:pPr>
    </w:p>
    <w:p>
      <w:pPr>
        <w:ind w:left="1480" w:right="959" w:hanging="288"/>
        <w:spacing w:after="0" w:line="27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Expanded its’ </w:t>
      </w:r>
      <w:r>
        <w:rPr>
          <w:rFonts w:ascii="Arial" w:cs="Arial" w:eastAsia="Arial" w:hAnsi="Arial"/>
          <w:sz w:val="12"/>
          <w:szCs w:val="12"/>
          <w:u w:val="single" w:color="auto"/>
          <w:color w:val="auto"/>
        </w:rPr>
        <w:t>strategic partnership with Tribal Group</w:t>
      </w:r>
      <w:r>
        <w:rPr>
          <w:rFonts w:ascii="Arial" w:cs="Arial" w:eastAsia="Arial" w:hAnsi="Arial"/>
          <w:sz w:val="12"/>
          <w:szCs w:val="12"/>
          <w:color w:val="auto"/>
        </w:rPr>
        <w:t>, the leading Student Information System in EMEA and APAC, to provide seamless payment experience for students and operational efficiencies for higher education institutions.</w:t>
      </w:r>
    </w:p>
    <w:p>
      <w:pPr>
        <w:spacing w:after="0" w:line="51" w:lineRule="exact"/>
        <w:rPr>
          <w:rFonts w:ascii="Arial" w:cs="Arial" w:eastAsia="Arial" w:hAnsi="Arial"/>
          <w:sz w:val="12"/>
          <w:szCs w:val="12"/>
          <w:color w:val="auto"/>
        </w:rPr>
      </w:pPr>
    </w:p>
    <w:p>
      <w:pPr>
        <w:ind w:left="1480" w:right="1159" w:hanging="288"/>
        <w:spacing w:after="0" w:line="27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Recognized as a 2022 </w:t>
      </w:r>
      <w:r>
        <w:rPr>
          <w:rFonts w:ascii="Arial" w:cs="Arial" w:eastAsia="Arial" w:hAnsi="Arial"/>
          <w:sz w:val="12"/>
          <w:szCs w:val="12"/>
          <w:u w:val="single" w:color="auto"/>
          <w:color w:val="auto"/>
        </w:rPr>
        <w:t>Best Place to Work</w:t>
      </w:r>
      <w:r>
        <w:rPr>
          <w:rFonts w:ascii="Arial" w:cs="Arial" w:eastAsia="Arial" w:hAnsi="Arial"/>
          <w:sz w:val="12"/>
          <w:szCs w:val="12"/>
          <w:color w:val="auto"/>
        </w:rPr>
        <w:t xml:space="preserve"> as a result of the Company’s commitment to global collaboration and equity, inclusion and diversity.</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Second Quarter and Fiscal-Year 2022 Outlook:</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Based on information available as of May 10, 2022, Flywire anticipates the following for the second quarter and fiscal-year 2022:</w:t>
      </w:r>
    </w:p>
    <w:p>
      <w:pPr>
        <w:spacing w:after="0" w:line="161"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40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85"/>
              </w:rPr>
              <w:t>Second Quarter 2022</w:t>
            </w:r>
          </w:p>
        </w:tc>
      </w:tr>
      <w:tr>
        <w:trPr>
          <w:trHeight w:val="133"/>
        </w:trPr>
        <w:tc>
          <w:tcPr>
            <w:tcW w:w="40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9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3"/>
              </w:rPr>
              <w:t>$50 to $53 million</w:t>
            </w: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Revenue Less Ancillary Services</w:t>
            </w:r>
          </w:p>
        </w:tc>
        <w:tc>
          <w:tcPr>
            <w:tcW w:w="900" w:type="dxa"/>
            <w:vAlign w:val="bottom"/>
          </w:tcPr>
          <w:p>
            <w:pPr>
              <w:spacing w:after="0"/>
              <w:rPr>
                <w:sz w:val="20"/>
                <w:szCs w:val="20"/>
                <w:color w:val="auto"/>
              </w:rPr>
            </w:pPr>
            <w:r>
              <w:rPr>
                <w:rFonts w:ascii="Arial" w:cs="Arial" w:eastAsia="Arial" w:hAnsi="Arial"/>
                <w:sz w:val="12"/>
                <w:szCs w:val="12"/>
                <w:color w:val="auto"/>
                <w:w w:val="93"/>
              </w:rPr>
              <w:t>$45 to $48 million</w:t>
            </w:r>
          </w:p>
        </w:tc>
      </w:tr>
    </w:tbl>
    <w:p>
      <w:pPr>
        <w:sectPr>
          <w:pgSz w:w="11900" w:h="16838" w:orient="portrait"/>
          <w:cols w:equalWidth="0" w:num="1">
            <w:col w:w="9019"/>
          </w:cols>
          <w:pgMar w:left="1440" w:top="226" w:right="1440"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tbl>
      <w:tblPr>
        <w:tblLayout w:type="fixed"/>
        <w:tblInd w:w="2020" w:type="dxa"/>
        <w:tblCellMar>
          <w:top w:w="0" w:type="dxa"/>
          <w:left w:w="0" w:type="dxa"/>
          <w:bottom w:w="0" w:type="dxa"/>
          <w:right w:w="0" w:type="dxa"/>
        </w:tblCellMar>
      </w:tblPr>
      <w:tr>
        <w:trPr>
          <w:trHeight w:val="115"/>
        </w:trPr>
        <w:tc>
          <w:tcPr>
            <w:tcW w:w="392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Fiscal Year 2022</w:t>
            </w:r>
          </w:p>
        </w:tc>
      </w:tr>
      <w:tr>
        <w:trPr>
          <w:trHeight w:val="133"/>
        </w:trPr>
        <w:tc>
          <w:tcPr>
            <w:tcW w:w="39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06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$269 to $279 million</w:t>
            </w:r>
          </w:p>
        </w:tc>
      </w:tr>
      <w:tr>
        <w:trPr>
          <w:trHeight w:val="144"/>
        </w:trPr>
        <w:tc>
          <w:tcPr>
            <w:tcW w:w="3920" w:type="dxa"/>
            <w:vAlign w:val="bottom"/>
          </w:tcPr>
          <w:p>
            <w:pPr>
              <w:spacing w:after="0"/>
              <w:rPr>
                <w:sz w:val="20"/>
                <w:szCs w:val="20"/>
                <w:color w:val="auto"/>
              </w:rPr>
            </w:pPr>
            <w:r>
              <w:rPr>
                <w:rFonts w:ascii="Arial" w:cs="Arial" w:eastAsia="Arial" w:hAnsi="Arial"/>
                <w:sz w:val="12"/>
                <w:szCs w:val="12"/>
                <w:color w:val="auto"/>
              </w:rPr>
              <w:t>Revenue Less Ancillary Services</w:t>
            </w:r>
          </w:p>
        </w:tc>
        <w:tc>
          <w:tcPr>
            <w:tcW w:w="1060" w:type="dxa"/>
            <w:vAlign w:val="bottom"/>
          </w:tcPr>
          <w:p>
            <w:pPr>
              <w:jc w:val="center"/>
              <w:spacing w:after="0"/>
              <w:rPr>
                <w:sz w:val="20"/>
                <w:szCs w:val="20"/>
                <w:color w:val="auto"/>
              </w:rPr>
            </w:pPr>
            <w:r>
              <w:rPr>
                <w:rFonts w:ascii="Arial" w:cs="Arial" w:eastAsia="Arial" w:hAnsi="Arial"/>
                <w:sz w:val="12"/>
                <w:szCs w:val="12"/>
                <w:color w:val="auto"/>
                <w:w w:val="94"/>
              </w:rPr>
              <w:t>$249 to $257 million</w:t>
            </w:r>
          </w:p>
        </w:tc>
      </w:tr>
      <w:tr>
        <w:trPr>
          <w:trHeight w:val="144"/>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Adjusted EBITDA*</w:t>
            </w: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$10 to $14 million</w:t>
            </w:r>
          </w:p>
        </w:tc>
      </w:tr>
    </w:tbl>
    <w:p>
      <w:pPr>
        <w:spacing w:after="0" w:line="153" w:lineRule="exact"/>
        <w:rPr>
          <w:sz w:val="20"/>
          <w:szCs w:val="20"/>
          <w:color w:val="auto"/>
        </w:rPr>
      </w:pPr>
    </w:p>
    <w:p>
      <w:pPr>
        <w:ind w:left="980" w:right="879" w:hanging="148"/>
        <w:spacing w:after="0" w:line="259" w:lineRule="auto"/>
        <w:tabs>
          <w:tab w:leader="none" w:pos="98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w:t>
      </w:r>
    </w:p>
    <w:p>
      <w:pPr>
        <w:spacing w:after="0" w:line="82" w:lineRule="exact"/>
        <w:rPr>
          <w:sz w:val="20"/>
          <w:szCs w:val="20"/>
          <w:color w:val="auto"/>
        </w:rPr>
      </w:pPr>
    </w:p>
    <w:p>
      <w:pPr>
        <w:ind w:left="840" w:right="859"/>
        <w:spacing w:after="0" w:line="263" w:lineRule="auto"/>
        <w:rPr>
          <w:sz w:val="20"/>
          <w:szCs w:val="20"/>
          <w:color w:val="auto"/>
        </w:rPr>
      </w:pPr>
      <w:r>
        <w:rPr>
          <w:rFonts w:ascii="Arial" w:cs="Arial" w:eastAsia="Arial" w:hAnsi="Arial"/>
          <w:sz w:val="12"/>
          <w:szCs w:val="12"/>
          <w:color w:val="auto"/>
        </w:rPr>
        <w:t xml:space="preserve">The Company will host a conference call to discuss first quarter 2022 financial results today at 5:00 pm ET. Hosting the call will be Mike Massaro, CEO, Rob Orgel, President and COO, and Mike Ellis, CFO. The conference call can be accessed live via webcast from the Company’s investor relations website at </w:t>
      </w:r>
      <w:r>
        <w:rPr>
          <w:rFonts w:ascii="Arial" w:cs="Arial" w:eastAsia="Arial" w:hAnsi="Arial"/>
          <w:sz w:val="12"/>
          <w:szCs w:val="12"/>
          <w:u w:val="single" w:color="auto"/>
          <w:color w:val="auto"/>
        </w:rPr>
        <w:t>https://ir.flywire.com/</w:t>
      </w:r>
      <w:r>
        <w:rPr>
          <w:rFonts w:ascii="Arial" w:cs="Arial" w:eastAsia="Arial" w:hAnsi="Arial"/>
          <w:sz w:val="12"/>
          <w:szCs w:val="12"/>
          <w:color w:val="auto"/>
        </w:rPr>
        <w:t>. A replay will be available on the investor relations website following the call.</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Key Operating Metrics and Non-GAAP Financial Measures table</w:t>
      </w:r>
    </w:p>
    <w:p>
      <w:pPr>
        <w:spacing w:after="0" w:line="82" w:lineRule="exact"/>
        <w:rPr>
          <w:sz w:val="20"/>
          <w:szCs w:val="20"/>
          <w:color w:val="auto"/>
        </w:rPr>
      </w:pPr>
    </w:p>
    <w:p>
      <w:pPr>
        <w:jc w:val="both"/>
        <w:ind w:left="840" w:right="1019"/>
        <w:spacing w:after="0" w:line="306" w:lineRule="auto"/>
        <w:rPr>
          <w:sz w:val="20"/>
          <w:szCs w:val="20"/>
          <w:color w:val="auto"/>
        </w:rPr>
      </w:pPr>
      <w:r>
        <w:rPr>
          <w:rFonts w:ascii="Arial" w:cs="Arial" w:eastAsia="Arial" w:hAnsi="Arial"/>
          <w:sz w:val="10"/>
          <w:szCs w:val="10"/>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w:t>
      </w:r>
    </w:p>
    <w:p>
      <w:pPr>
        <w:spacing w:after="0" w:line="1" w:lineRule="exact"/>
        <w:rPr>
          <w:sz w:val="20"/>
          <w:szCs w:val="20"/>
          <w:color w:val="auto"/>
        </w:rPr>
      </w:pPr>
    </w:p>
    <w:p>
      <w:pPr>
        <w:ind w:left="840" w:right="919"/>
        <w:spacing w:after="0" w:line="281" w:lineRule="auto"/>
        <w:rPr>
          <w:sz w:val="20"/>
          <w:szCs w:val="20"/>
          <w:color w:val="auto"/>
        </w:rPr>
      </w:pPr>
      <w:r>
        <w:rPr>
          <w:rFonts w:ascii="Arial" w:cs="Arial" w:eastAsia="Arial" w:hAnsi="Arial"/>
          <w:sz w:val="11"/>
          <w:szCs w:val="11"/>
          <w:color w:val="auto"/>
        </w:rPr>
        <w:t>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ectPr>
          <w:pgSz w:w="11900" w:h="16838" w:orient="portrait"/>
          <w:cols w:equalWidth="0" w:num="1">
            <w:col w:w="9019"/>
          </w:cols>
          <w:pgMar w:left="1440" w:top="223" w:right="1440" w:bottom="1440" w:gutter="0" w:footer="0" w:header="0"/>
        </w:sectPr>
      </w:pPr>
    </w:p>
    <w:bookmarkStart w:id="7" w:name="page8"/>
    <w:bookmarkEnd w:id="7"/>
    <w:p>
      <w:pPr>
        <w:ind w:left="840" w:right="1019"/>
        <w:spacing w:after="0" w:line="32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29" w:lineRule="exact"/>
        <w:rPr>
          <w:sz w:val="20"/>
          <w:szCs w:val="20"/>
          <w:color w:val="auto"/>
        </w:rPr>
      </w:pPr>
    </w:p>
    <w:p>
      <w:pPr>
        <w:ind w:left="1480" w:right="999" w:hanging="288"/>
        <w:spacing w:after="0" w:line="340" w:lineRule="auto"/>
        <w:tabs>
          <w:tab w:leader="none" w:pos="1480" w:val="left"/>
        </w:tabs>
        <w:numPr>
          <w:ilvl w:val="0"/>
          <w:numId w:val="6"/>
        </w:numPr>
        <w:rPr>
          <w:rFonts w:ascii="Arial" w:cs="Arial" w:eastAsia="Arial" w:hAnsi="Arial"/>
          <w:sz w:val="10"/>
          <w:szCs w:val="10"/>
          <w:color w:val="auto"/>
        </w:rPr>
      </w:pPr>
      <w:r>
        <w:rPr>
          <w:rFonts w:ascii="Arial" w:cs="Arial" w:eastAsia="Arial" w:hAnsi="Arial"/>
          <w:sz w:val="10"/>
          <w:szCs w:val="10"/>
          <w:color w:val="auto"/>
        </w:rPr>
        <w:t>Revenue Less Ancillary Services. Revenue Less Ancillary Services represents our consolidated revenue in accordance with GAAP after excluding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24" w:lineRule="exact"/>
        <w:rPr>
          <w:rFonts w:ascii="Arial" w:cs="Arial" w:eastAsia="Arial" w:hAnsi="Arial"/>
          <w:sz w:val="10"/>
          <w:szCs w:val="10"/>
          <w:color w:val="auto"/>
        </w:rPr>
      </w:pPr>
    </w:p>
    <w:p>
      <w:pPr>
        <w:ind w:left="1480" w:right="919" w:hanging="288"/>
        <w:spacing w:after="0" w:line="256" w:lineRule="auto"/>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Gross Margin. Adjusted Gross Margin represents adjusted gross profit divided by Revenue Less Ancillary Services. 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65" w:lineRule="exact"/>
        <w:rPr>
          <w:rFonts w:ascii="Arial" w:cs="Arial" w:eastAsia="Arial" w:hAnsi="Arial"/>
          <w:sz w:val="12"/>
          <w:szCs w:val="12"/>
          <w:color w:val="auto"/>
        </w:rPr>
      </w:pPr>
    </w:p>
    <w:p>
      <w:pPr>
        <w:ind w:left="1480" w:right="999" w:hanging="288"/>
        <w:spacing w:after="0" w:line="283" w:lineRule="auto"/>
        <w:tabs>
          <w:tab w:leader="none" w:pos="1480" w:val="left"/>
        </w:tabs>
        <w:numPr>
          <w:ilvl w:val="0"/>
          <w:numId w:val="6"/>
        </w:numPr>
        <w:rPr>
          <w:rFonts w:ascii="Arial" w:cs="Arial" w:eastAsia="Arial" w:hAnsi="Arial"/>
          <w:sz w:val="11"/>
          <w:szCs w:val="11"/>
          <w:color w:val="auto"/>
        </w:rPr>
      </w:pPr>
      <w:r>
        <w:rPr>
          <w:rFonts w:ascii="Arial" w:cs="Arial" w:eastAsia="Arial" w:hAnsi="Arial"/>
          <w:sz w:val="11"/>
          <w:szCs w:val="11"/>
          <w:color w:val="auto"/>
        </w:rPr>
        <w:t>Adjusted EBITDA. Adjusted EBITDA represents EBITDA further adjusted by excluding (i) stock-based compensation expense, (ii) the impact from the change in fair value measurement for contingent consideration associated with acquisitions, (iii) the impact from the change in fair value measurement of our preferred stock warrants, (iv) other income (expense), net,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13" w:lineRule="exact"/>
        <w:rPr>
          <w:sz w:val="20"/>
          <w:szCs w:val="20"/>
          <w:color w:val="auto"/>
        </w:rPr>
      </w:pPr>
    </w:p>
    <w:p>
      <w:pPr>
        <w:ind w:left="840" w:right="939"/>
        <w:spacing w:after="0" w:line="279" w:lineRule="auto"/>
        <w:rPr>
          <w:sz w:val="20"/>
          <w:szCs w:val="20"/>
          <w:color w:val="auto"/>
        </w:rPr>
      </w:pPr>
      <w:r>
        <w:rPr>
          <w:rFonts w:ascii="Arial" w:cs="Arial" w:eastAsia="Arial" w:hAnsi="Arial"/>
          <w:sz w:val="11"/>
          <w:szCs w:val="11"/>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 We have not provided a quantitative reconciliation of forecasted Adjusted EBITDA to forecasted GAAP net income (loss) or to forecasted GAAP income (loss) before income taxes within this earnings release because we are unable, without making unreasonable efforts, to calculate certain reconciling items with confidence. These items include but are not limited to income taxes which are directly impacted by unpredictable fluctuations in the market price of our stock.</w:t>
      </w:r>
    </w:p>
    <w:p>
      <w:pPr>
        <w:sectPr>
          <w:pgSz w:w="11900" w:h="16838" w:orient="portrait"/>
          <w:cols w:equalWidth="0" w:num="1">
            <w:col w:w="9019"/>
          </w:cols>
          <w:pgMar w:left="1440" w:top="230" w:right="1440" w:bottom="1440" w:gutter="0" w:footer="0" w:header="0"/>
        </w:sectPr>
      </w:pPr>
    </w:p>
    <w:bookmarkStart w:id="8" w:name="page9"/>
    <w:bookmarkEnd w:id="8"/>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About Flywire</w:t>
      </w:r>
    </w:p>
    <w:p>
      <w:pPr>
        <w:spacing w:after="0" w:line="82" w:lineRule="exact"/>
        <w:rPr>
          <w:sz w:val="20"/>
          <w:szCs w:val="20"/>
          <w:color w:val="auto"/>
        </w:rPr>
      </w:pPr>
    </w:p>
    <w:p>
      <w:pPr>
        <w:ind w:left="840" w:right="1279"/>
        <w:spacing w:after="0" w:line="323" w:lineRule="auto"/>
        <w:rPr>
          <w:sz w:val="20"/>
          <w:szCs w:val="20"/>
          <w:color w:val="auto"/>
        </w:rPr>
      </w:pPr>
      <w:r>
        <w:rPr>
          <w:rFonts w:ascii="Arial" w:cs="Arial" w:eastAsia="Arial" w:hAnsi="Arial"/>
          <w:sz w:val="11"/>
          <w:szCs w:val="11"/>
          <w:color w:val="auto"/>
        </w:rPr>
        <w:t>Flywire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92" w:lineRule="exact"/>
        <w:rPr>
          <w:sz w:val="20"/>
          <w:szCs w:val="20"/>
          <w:color w:val="auto"/>
        </w:rPr>
      </w:pPr>
    </w:p>
    <w:p>
      <w:pPr>
        <w:jc w:val="both"/>
        <w:ind w:left="840" w:right="979"/>
        <w:spacing w:after="0" w:line="298" w:lineRule="auto"/>
        <w:rPr>
          <w:sz w:val="20"/>
          <w:szCs w:val="20"/>
          <w:color w:val="auto"/>
        </w:rPr>
      </w:pPr>
      <w:r>
        <w:rPr>
          <w:rFonts w:ascii="Arial" w:cs="Arial" w:eastAsia="Arial" w:hAnsi="Arial"/>
          <w:sz w:val="11"/>
          <w:szCs w:val="11"/>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05" w:lineRule="exact"/>
        <w:rPr>
          <w:sz w:val="20"/>
          <w:szCs w:val="20"/>
          <w:color w:val="auto"/>
        </w:rPr>
      </w:pPr>
    </w:p>
    <w:p>
      <w:pPr>
        <w:ind w:left="840" w:right="919"/>
        <w:spacing w:after="0" w:line="263" w:lineRule="auto"/>
        <w:rPr>
          <w:sz w:val="20"/>
          <w:szCs w:val="20"/>
          <w:color w:val="auto"/>
        </w:rPr>
      </w:pPr>
      <w:r>
        <w:rPr>
          <w:rFonts w:ascii="Arial" w:cs="Arial" w:eastAsia="Arial" w:hAnsi="Arial"/>
          <w:sz w:val="12"/>
          <w:szCs w:val="12"/>
          <w:color w:val="auto"/>
        </w:rPr>
        <w:t xml:space="preserve">Flywire supports over 2,700 clients with diverse payment methods in more than 140 currencies across 240 countries and territories around the world. Flywire is headquartered in Boston, MA, USA with additional offices around the globe. For more information, visit </w:t>
      </w:r>
      <w:r>
        <w:rPr>
          <w:rFonts w:ascii="Arial" w:cs="Arial" w:eastAsia="Arial" w:hAnsi="Arial"/>
          <w:sz w:val="12"/>
          <w:szCs w:val="12"/>
          <w:b w:val="1"/>
          <w:bCs w:val="1"/>
          <w:u w:val="single" w:color="auto"/>
          <w:color w:val="auto"/>
        </w:rPr>
        <w:t>www.flywire.com</w:t>
      </w:r>
      <w:r>
        <w:rPr>
          <w:rFonts w:ascii="Arial" w:cs="Arial" w:eastAsia="Arial" w:hAnsi="Arial"/>
          <w:sz w:val="12"/>
          <w:szCs w:val="12"/>
          <w:color w:val="auto"/>
        </w:rPr>
        <w:t xml:space="preserve">. Follow Flywire on </w:t>
      </w:r>
      <w:r>
        <w:rPr>
          <w:rFonts w:ascii="Arial" w:cs="Arial" w:eastAsia="Arial" w:hAnsi="Arial"/>
          <w:sz w:val="12"/>
          <w:szCs w:val="12"/>
          <w:b w:val="1"/>
          <w:bCs w:val="1"/>
          <w:u w:val="single" w:color="auto"/>
          <w:color w:val="auto"/>
        </w:rPr>
        <w:t>Twitter</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LinkedIn</w:t>
      </w:r>
      <w:r>
        <w:rPr>
          <w:rFonts w:ascii="Arial" w:cs="Arial" w:eastAsia="Arial" w:hAnsi="Arial"/>
          <w:sz w:val="12"/>
          <w:szCs w:val="12"/>
          <w:color w:val="auto"/>
        </w:rPr>
        <w:t xml:space="preserve"> and </w:t>
      </w:r>
      <w:r>
        <w:rPr>
          <w:rFonts w:ascii="Arial" w:cs="Arial" w:eastAsia="Arial" w:hAnsi="Arial"/>
          <w:sz w:val="12"/>
          <w:szCs w:val="12"/>
          <w:b w:val="1"/>
          <w:bCs w:val="1"/>
          <w:u w:val="single" w:color="auto"/>
          <w:color w:val="auto"/>
        </w:rPr>
        <w:t>Facebook</w:t>
      </w:r>
      <w:r>
        <w:rPr>
          <w:rFonts w:ascii="Arial" w:cs="Arial" w:eastAsia="Arial" w:hAnsi="Arial"/>
          <w:sz w:val="12"/>
          <w:szCs w:val="12"/>
          <w:color w:val="auto"/>
        </w:rPr>
        <w:t>.</w:t>
      </w:r>
    </w:p>
    <w:p>
      <w:pPr>
        <w:spacing w:after="0" w:line="194" w:lineRule="exact"/>
        <w:rPr>
          <w:sz w:val="20"/>
          <w:szCs w:val="20"/>
          <w:color w:val="auto"/>
        </w:rPr>
      </w:pPr>
    </w:p>
    <w:p>
      <w:pPr>
        <w:ind w:left="840"/>
        <w:spacing w:after="0"/>
        <w:rPr>
          <w:sz w:val="20"/>
          <w:szCs w:val="20"/>
          <w:color w:val="auto"/>
        </w:rPr>
      </w:pPr>
      <w:r>
        <w:rPr>
          <w:rFonts w:ascii="Arial" w:cs="Arial" w:eastAsia="Arial" w:hAnsi="Arial"/>
          <w:sz w:val="12"/>
          <w:szCs w:val="12"/>
          <w:b w:val="1"/>
          <w:bCs w:val="1"/>
          <w:i w:val="1"/>
          <w:iCs w:val="1"/>
          <w:color w:val="auto"/>
        </w:rPr>
        <w:t>Safe Harbor Statement</w:t>
      </w:r>
    </w:p>
    <w:p>
      <w:pPr>
        <w:spacing w:after="0" w:line="78" w:lineRule="exact"/>
        <w:rPr>
          <w:sz w:val="20"/>
          <w:szCs w:val="20"/>
          <w:color w:val="auto"/>
        </w:rPr>
      </w:pPr>
    </w:p>
    <w:p>
      <w:pPr>
        <w:ind w:left="840" w:right="899"/>
        <w:spacing w:after="0" w:line="277" w:lineRule="auto"/>
        <w:rPr>
          <w:sz w:val="20"/>
          <w:szCs w:val="20"/>
          <w:color w:val="auto"/>
        </w:rPr>
      </w:pPr>
      <w:r>
        <w:rPr>
          <w:rFonts w:ascii="Arial" w:cs="Arial" w:eastAsia="Arial" w:hAnsi="Arial"/>
          <w:sz w:val="11"/>
          <w:szCs w:val="11"/>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develop and protect its brand; Flywire’s ability to</w:t>
      </w:r>
    </w:p>
    <w:p>
      <w:pPr>
        <w:sectPr>
          <w:pgSz w:w="11900" w:h="16838" w:orient="portrait"/>
          <w:cols w:equalWidth="0" w:num="1">
            <w:col w:w="9019"/>
          </w:cols>
          <w:pgMar w:left="1440" w:top="226" w:right="1440" w:bottom="1440" w:gutter="0" w:footer="0" w:header="0"/>
        </w:sectPr>
      </w:pPr>
    </w:p>
    <w:bookmarkStart w:id="9" w:name="page10"/>
    <w:bookmarkEnd w:id="9"/>
    <w:p>
      <w:pPr>
        <w:ind w:left="840" w:right="859"/>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Annual Report on Form 10-K for the year ended December 31, 2021, which is on file with the Securities and Exchange Commission (SEC) and available on the SEC’s website at </w:t>
      </w:r>
      <w:r>
        <w:rPr>
          <w:rFonts w:ascii="Arial" w:cs="Arial" w:eastAsia="Arial" w:hAnsi="Arial"/>
          <w:sz w:val="11"/>
          <w:szCs w:val="11"/>
          <w:u w:val="single" w:color="auto"/>
          <w:color w:val="auto"/>
        </w:rPr>
        <w:t>https://www.sec.gov/</w:t>
      </w:r>
      <w:r>
        <w:rPr>
          <w:rFonts w:ascii="Arial" w:cs="Arial" w:eastAsia="Arial" w:hAnsi="Arial"/>
          <w:sz w:val="11"/>
          <w:szCs w:val="11"/>
          <w:color w:val="auto"/>
        </w:rPr>
        <w:t>. Additional factors may be described in those sections of Flywire’s Quarterly Report on Form 10-Q for the quarter ended March 31, 2022, expected to be filed with the SEC in the second quarter of 2022.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Contacts</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w:t>
      </w:r>
      <w:r>
        <w:rPr>
          <w:rFonts w:ascii="Arial" w:cs="Arial" w:eastAsia="Arial" w:hAnsi="Arial"/>
          <w:sz w:val="12"/>
          <w:szCs w:val="12"/>
          <w:color w:val="auto"/>
        </w:rPr>
        <w:t>:</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Sarah King</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Sarah.King@Flywire.com</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Prosek Partners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pro-flywire@prosek.com</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Relations</w:t>
      </w:r>
      <w:r>
        <w:rPr>
          <w:rFonts w:ascii="Arial" w:cs="Arial" w:eastAsia="Arial" w:hAnsi="Arial"/>
          <w:sz w:val="12"/>
          <w:szCs w:val="12"/>
          <w:color w:val="auto"/>
        </w:rPr>
        <w: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ICR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flywireir@icrinc.com</w:t>
      </w:r>
    </w:p>
    <w:p>
      <w:pPr>
        <w:sectPr>
          <w:pgSz w:w="11900" w:h="16838" w:orient="portrait"/>
          <w:cols w:equalWidth="0" w:num="1">
            <w:col w:w="9019"/>
          </w:cols>
          <w:pgMar w:left="1440" w:top="230"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Statements of Operations and Comprehensive Loss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 except share and per share amounts)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74"/>
        </w:trPr>
        <w:tc>
          <w:tcPr>
            <w:tcW w:w="56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gridSpan w:val="3"/>
          </w:tcPr>
          <w:p>
            <w:pPr>
              <w:jc w:val="right"/>
              <w:ind w:right="12"/>
              <w:spacing w:after="0" w:line="74" w:lineRule="exact"/>
              <w:rPr>
                <w:sz w:val="20"/>
                <w:szCs w:val="20"/>
                <w:color w:val="auto"/>
              </w:rPr>
            </w:pPr>
            <w:r>
              <w:rPr>
                <w:rFonts w:ascii="Arial" w:cs="Arial" w:eastAsia="Arial" w:hAnsi="Arial"/>
                <w:sz w:val="8"/>
                <w:szCs w:val="8"/>
                <w:b w:val="1"/>
                <w:bCs w:val="1"/>
                <w:color w:val="auto"/>
              </w:rPr>
              <w:t>March 31,</w:t>
            </w: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6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82"/>
              <w:spacing w:after="0" w:line="114" w:lineRule="exact"/>
              <w:rPr>
                <w:sz w:val="20"/>
                <w:szCs w:val="20"/>
                <w:color w:val="auto"/>
              </w:rPr>
            </w:pPr>
            <w:r>
              <w:rPr>
                <w:rFonts w:ascii="Arial" w:cs="Arial" w:eastAsia="Arial" w:hAnsi="Arial"/>
                <w:sz w:val="10"/>
                <w:szCs w:val="10"/>
                <w:b w:val="1"/>
                <w:bCs w:val="1"/>
                <w:color w:val="auto"/>
              </w:rPr>
              <w:t>2022</w:t>
            </w:r>
          </w:p>
        </w:tc>
        <w:tc>
          <w:tcPr>
            <w:tcW w:w="3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56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64,553</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44,991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Arial" w:cs="Arial" w:eastAsia="Arial" w:hAnsi="Arial"/>
                <w:sz w:val="12"/>
                <w:szCs w:val="12"/>
                <w:color w:val="auto"/>
              </w:rPr>
              <w:t>Costs and operating expenses: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Payment processing and services costs</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24,253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16,091</w:t>
            </w:r>
          </w:p>
        </w:tc>
        <w:tc>
          <w:tcPr>
            <w:tcW w:w="0" w:type="dxa"/>
            <w:vAlign w:val="bottom"/>
          </w:tcPr>
          <w:p>
            <w:pPr>
              <w:spacing w:after="0"/>
              <w:rPr>
                <w:sz w:val="1"/>
                <w:szCs w:val="1"/>
                <w:color w:val="auto"/>
              </w:rPr>
            </w:pPr>
          </w:p>
        </w:tc>
      </w:tr>
      <w:tr>
        <w:trPr>
          <w:trHeight w:val="144"/>
        </w:trPr>
        <w:tc>
          <w:tcPr>
            <w:tcW w:w="5660" w:type="dxa"/>
            <w:vAlign w:val="bottom"/>
          </w:tcPr>
          <w:p>
            <w:pPr>
              <w:ind w:left="240"/>
              <w:spacing w:after="0"/>
              <w:rPr>
                <w:sz w:val="20"/>
                <w:szCs w:val="20"/>
                <w:color w:val="auto"/>
              </w:rPr>
            </w:pPr>
            <w:r>
              <w:rPr>
                <w:rFonts w:ascii="Arial" w:cs="Arial" w:eastAsia="Arial" w:hAnsi="Arial"/>
                <w:sz w:val="12"/>
                <w:szCs w:val="12"/>
                <w:color w:val="auto"/>
              </w:rPr>
              <w:t>Technology and development</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10,976</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7,522</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Selling and marketing</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17,608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11,931</w:t>
            </w:r>
          </w:p>
        </w:tc>
        <w:tc>
          <w:tcPr>
            <w:tcW w:w="0" w:type="dxa"/>
            <w:vAlign w:val="bottom"/>
          </w:tcPr>
          <w:p>
            <w:pPr>
              <w:spacing w:after="0"/>
              <w:rPr>
                <w:sz w:val="1"/>
                <w:szCs w:val="1"/>
                <w:color w:val="auto"/>
              </w:rPr>
            </w:pPr>
          </w:p>
        </w:tc>
      </w:tr>
      <w:tr>
        <w:trPr>
          <w:trHeight w:val="144"/>
        </w:trPr>
        <w:tc>
          <w:tcPr>
            <w:tcW w:w="5660" w:type="dxa"/>
            <w:vAlign w:val="bottom"/>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18,820</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15,914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costs and operating expenses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71,657</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51,458</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2"/>
                <w:szCs w:val="12"/>
                <w:color w:val="auto"/>
              </w:rPr>
              <w:t>Loss from operations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(7,104)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(6,467)</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Other expense: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tcPr>
          <w:p>
            <w:pPr>
              <w:ind w:left="24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(218)</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(621)</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preferred stock warrant liability</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(954)</w:t>
            </w:r>
          </w:p>
        </w:tc>
        <w:tc>
          <w:tcPr>
            <w:tcW w:w="0" w:type="dxa"/>
            <w:vAlign w:val="bottom"/>
          </w:tcPr>
          <w:p>
            <w:pPr>
              <w:spacing w:after="0"/>
              <w:rPr>
                <w:sz w:val="1"/>
                <w:szCs w:val="1"/>
                <w:color w:val="auto"/>
              </w:rPr>
            </w:pPr>
          </w:p>
        </w:tc>
      </w:tr>
      <w:tr>
        <w:trPr>
          <w:trHeight w:val="144"/>
        </w:trPr>
        <w:tc>
          <w:tcPr>
            <w:tcW w:w="5660" w:type="dxa"/>
            <w:vAlign w:val="bottom"/>
          </w:tcPr>
          <w:p>
            <w:pPr>
              <w:ind w:left="240"/>
              <w:spacing w:after="0"/>
              <w:rPr>
                <w:sz w:val="20"/>
                <w:szCs w:val="20"/>
                <w:color w:val="auto"/>
              </w:rPr>
            </w:pPr>
            <w:r>
              <w:rPr>
                <w:rFonts w:ascii="Arial" w:cs="Arial" w:eastAsia="Arial" w:hAnsi="Arial"/>
                <w:sz w:val="12"/>
                <w:szCs w:val="12"/>
                <w:color w:val="auto"/>
              </w:rPr>
              <w:t>Other expense, net</w:t>
            </w:r>
          </w:p>
        </w:tc>
        <w:tc>
          <w:tcPr>
            <w:tcW w:w="6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(2,327)</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(411)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other expenses, net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(2,545)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(1,986)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2"/>
                <w:szCs w:val="12"/>
                <w:color w:val="auto"/>
              </w:rPr>
              <w:t>Loss before provision for income taxes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(9,649)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(8,453)</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Provision for income taxes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199</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(10,149)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(8,652)</w:t>
            </w:r>
          </w:p>
        </w:tc>
        <w:tc>
          <w:tcPr>
            <w:tcW w:w="0" w:type="dxa"/>
            <w:vAlign w:val="bottom"/>
          </w:tcPr>
          <w:p>
            <w:pPr>
              <w:spacing w:after="0"/>
              <w:rPr>
                <w:sz w:val="1"/>
                <w:szCs w:val="1"/>
                <w:color w:val="auto"/>
              </w:rPr>
            </w:pPr>
          </w:p>
        </w:tc>
      </w:tr>
      <w:tr>
        <w:trPr>
          <w:trHeight w:val="144"/>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(10,239)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(8,313)</w:t>
            </w:r>
          </w:p>
        </w:tc>
        <w:tc>
          <w:tcPr>
            <w:tcW w:w="0" w:type="dxa"/>
            <w:vAlign w:val="bottom"/>
          </w:tcPr>
          <w:p>
            <w:pPr>
              <w:spacing w:after="0"/>
              <w:rPr>
                <w:sz w:val="1"/>
                <w:szCs w:val="1"/>
                <w:color w:val="auto"/>
              </w:rPr>
            </w:pPr>
          </w:p>
        </w:tc>
      </w:tr>
      <w:tr>
        <w:trPr>
          <w:trHeight w:val="32"/>
        </w:trPr>
        <w:tc>
          <w:tcPr>
            <w:tcW w:w="5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 - basic and 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(10,239)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(8,657)</w:t>
            </w:r>
          </w:p>
        </w:tc>
        <w:tc>
          <w:tcPr>
            <w:tcW w:w="0" w:type="dxa"/>
            <w:vAlign w:val="bottom"/>
          </w:tcPr>
          <w:p>
            <w:pPr>
              <w:spacing w:after="0"/>
              <w:rPr>
                <w:sz w:val="1"/>
                <w:szCs w:val="1"/>
                <w:color w:val="auto"/>
              </w:rPr>
            </w:pPr>
          </w:p>
        </w:tc>
      </w:tr>
      <w:tr>
        <w:trPr>
          <w:trHeight w:val="27"/>
        </w:trPr>
        <w:tc>
          <w:tcPr>
            <w:tcW w:w="5660" w:type="dxa"/>
            <w:vAlign w:val="bottom"/>
            <w:vMerge w:val="restart"/>
          </w:tcPr>
          <w:p>
            <w:pPr>
              <w:spacing w:after="0"/>
              <w:rPr>
                <w:sz w:val="20"/>
                <w:szCs w:val="20"/>
                <w:color w:val="auto"/>
              </w:rPr>
            </w:pPr>
            <w:r>
              <w:rPr>
                <w:rFonts w:ascii="Arial" w:cs="Arial" w:eastAsia="Arial" w:hAnsi="Arial"/>
                <w:sz w:val="12"/>
                <w:szCs w:val="12"/>
                <w:color w:val="auto"/>
              </w:rPr>
              <w:t>Net loss per share attributable to common stockholders - basic and diluted</w:t>
            </w: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6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(0.10)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(0.41)</w:t>
            </w:r>
          </w:p>
        </w:tc>
        <w:tc>
          <w:tcPr>
            <w:tcW w:w="0" w:type="dxa"/>
            <w:vAlign w:val="bottom"/>
          </w:tcPr>
          <w:p>
            <w:pPr>
              <w:spacing w:after="0"/>
              <w:rPr>
                <w:sz w:val="1"/>
                <w:szCs w:val="1"/>
                <w:color w:val="auto"/>
              </w:rPr>
            </w:pPr>
          </w:p>
        </w:tc>
      </w:tr>
      <w:tr>
        <w:trPr>
          <w:trHeight w:val="32"/>
        </w:trPr>
        <w:tc>
          <w:tcPr>
            <w:tcW w:w="5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 - basic and diluted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106,739,771</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21,100,077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 except share amounts)</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95"/>
              </w:rPr>
              <w:t>March 31,</w:t>
            </w: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60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80"/>
              <w:spacing w:after="0" w:line="114" w:lineRule="exact"/>
              <w:rPr>
                <w:sz w:val="20"/>
                <w:szCs w:val="20"/>
                <w:color w:val="auto"/>
              </w:rPr>
            </w:pPr>
            <w:r>
              <w:rPr>
                <w:rFonts w:ascii="Arial" w:cs="Arial" w:eastAsia="Arial" w:hAnsi="Arial"/>
                <w:sz w:val="10"/>
                <w:szCs w:val="10"/>
                <w:b w:val="1"/>
                <w:bCs w:val="1"/>
                <w:color w:val="auto"/>
              </w:rPr>
              <w:t>2022</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jc w:val="right"/>
              <w:ind w:right="21"/>
              <w:spacing w:after="0" w:line="88" w:lineRule="exact"/>
              <w:rPr>
                <w:sz w:val="20"/>
                <w:szCs w:val="20"/>
                <w:color w:val="auto"/>
              </w:rPr>
            </w:pPr>
            <w:r>
              <w:rPr>
                <w:rFonts w:ascii="Arial" w:cs="Arial" w:eastAsia="Arial" w:hAnsi="Arial"/>
                <w:sz w:val="10"/>
                <w:szCs w:val="10"/>
                <w:b w:val="1"/>
                <w:bCs w:val="1"/>
                <w:color w:val="auto"/>
                <w:w w:val="86"/>
              </w:rPr>
              <w:t>(Audited)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365,745</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385,360</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4,000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 of allowance for doubtful accounts of $101 and $106, respectively</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13,787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12,968</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Unbilled receivables</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2,211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3,340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Funds receivable from payment partners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19,153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28,286</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8,725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9,834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413,621</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443,788</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10,080</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9,442</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90,542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93,598</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Goodwill</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84,666</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85,841</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10,638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7,176</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72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6"/>
              </w:rPr>
              <w:t>609,547</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639,845</w:t>
            </w:r>
          </w:p>
        </w:tc>
        <w:tc>
          <w:tcPr>
            <w:tcW w:w="0" w:type="dxa"/>
            <w:vAlign w:val="bottom"/>
          </w:tcPr>
          <w:p>
            <w:pPr>
              <w:spacing w:after="0"/>
              <w:rPr>
                <w:sz w:val="1"/>
                <w:szCs w:val="1"/>
                <w:color w:val="auto"/>
              </w:rPr>
            </w:pPr>
          </w:p>
        </w:tc>
      </w:tr>
      <w:tr>
        <w:trPr>
          <w:trHeight w:val="148"/>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8,764</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10,242</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Funds payable to clients</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54,928</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71,302</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21,588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22,726</w:t>
            </w:r>
          </w:p>
        </w:tc>
        <w:tc>
          <w:tcPr>
            <w:tcW w:w="0" w:type="dxa"/>
            <w:vAlign w:val="bottom"/>
          </w:tcPr>
          <w:p>
            <w:pPr>
              <w:spacing w:after="0"/>
              <w:rPr>
                <w:sz w:val="1"/>
                <w:szCs w:val="1"/>
                <w:color w:val="auto"/>
              </w:rPr>
            </w:pPr>
          </w:p>
        </w:tc>
      </w:tr>
      <w:tr>
        <w:trPr>
          <w:trHeight w:val="144"/>
        </w:trPr>
        <w:tc>
          <w:tcPr>
            <w:tcW w:w="600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5,312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5,488</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Contingent consideration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7,719</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72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91,248</w:t>
            </w: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117,477</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8,147</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8,401</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Contingent consideration, net of current portion</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2,644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3,590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Long-term debt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25,939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25,939</w:t>
            </w: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Other liabilities</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3,452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2,237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131,430</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157,644</w:t>
            </w:r>
          </w:p>
        </w:tc>
        <w:tc>
          <w:tcPr>
            <w:tcW w:w="0" w:type="dxa"/>
            <w:vAlign w:val="bottom"/>
          </w:tcPr>
          <w:p>
            <w:pPr>
              <w:spacing w:after="0"/>
              <w:rPr>
                <w:sz w:val="1"/>
                <w:szCs w:val="1"/>
                <w:color w:val="auto"/>
              </w:rPr>
            </w:pPr>
          </w:p>
        </w:tc>
      </w:tr>
      <w:tr>
        <w:trPr>
          <w:trHeight w:val="153"/>
        </w:trPr>
        <w:tc>
          <w:tcPr>
            <w:tcW w:w="6000" w:type="dxa"/>
            <w:vAlign w:val="bottom"/>
          </w:tcPr>
          <w:p>
            <w:pPr>
              <w:spacing w:after="0"/>
              <w:rPr>
                <w:sz w:val="20"/>
                <w:szCs w:val="20"/>
                <w:color w:val="auto"/>
              </w:rPr>
            </w:pPr>
            <w:r>
              <w:rPr>
                <w:rFonts w:ascii="Arial" w:cs="Arial" w:eastAsia="Arial" w:hAnsi="Arial"/>
                <w:sz w:val="12"/>
                <w:szCs w:val="12"/>
                <w:color w:val="auto"/>
              </w:rPr>
              <w:t>Commitments and contingencies (Note 14)</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6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0" w:type="dxa"/>
            <w:vAlign w:val="bottom"/>
          </w:tcPr>
          <w:p>
            <w:pPr>
              <w:ind w:left="240"/>
              <w:spacing w:after="0" w:line="135" w:lineRule="exact"/>
              <w:rPr>
                <w:sz w:val="20"/>
                <w:szCs w:val="20"/>
                <w:color w:val="auto"/>
              </w:rPr>
            </w:pPr>
            <w:r>
              <w:rPr>
                <w:rFonts w:ascii="Arial" w:cs="Arial" w:eastAsia="Arial" w:hAnsi="Arial"/>
                <w:sz w:val="12"/>
                <w:szCs w:val="12"/>
                <w:color w:val="auto"/>
                <w:w w:val="99"/>
              </w:rPr>
              <w:t>Preferred stock, $0.0001 par value; 10,000,000 and 10,000,000 shares authorized as of March 31, 2022 and</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360"/>
              <w:spacing w:after="0"/>
              <w:rPr>
                <w:sz w:val="20"/>
                <w:szCs w:val="20"/>
                <w:color w:val="auto"/>
              </w:rPr>
            </w:pPr>
            <w:r>
              <w:rPr>
                <w:rFonts w:ascii="Arial" w:cs="Arial" w:eastAsia="Arial" w:hAnsi="Arial"/>
                <w:sz w:val="12"/>
                <w:szCs w:val="12"/>
                <w:color w:val="auto"/>
                <w:w w:val="92"/>
              </w:rPr>
              <w:t>December 31, 2021, respectively; and none issued and outstanding as of March 31, 2022 and December 31, 2021,</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0" w:type="dxa"/>
            <w:vAlign w:val="bottom"/>
          </w:tcPr>
          <w:p>
            <w:pPr>
              <w:ind w:left="360"/>
              <w:spacing w:after="0"/>
              <w:rPr>
                <w:sz w:val="20"/>
                <w:szCs w:val="20"/>
                <w:color w:val="auto"/>
              </w:rPr>
            </w:pPr>
            <w:r>
              <w:rPr>
                <w:rFonts w:ascii="Arial" w:cs="Arial" w:eastAsia="Arial" w:hAnsi="Arial"/>
                <w:sz w:val="12"/>
                <w:szCs w:val="12"/>
                <w:color w:val="auto"/>
              </w:rPr>
              <w:t>respectively</w:t>
            </w:r>
          </w:p>
        </w:tc>
        <w:tc>
          <w:tcPr>
            <w:tcW w:w="6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00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2"/>
              </w:rPr>
              <w:t>Voting common stock, $0.0001 par value; 2,000,000,000 shares authorized as of March 31, 2022 and December 31,</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9"/>
              </w:rPr>
              <w:t>2021, respectively, 103,409,781 shares issued and 101,092,059 shares outstanding as of March 31, 2022;</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102,771,899 shares issued and 100,454,177 shares outstanding as of December 31, 2021</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35"/>
        </w:trPr>
        <w:tc>
          <w:tcPr>
            <w:tcW w:w="6000" w:type="dxa"/>
            <w:vAlign w:val="bottom"/>
          </w:tcPr>
          <w:p>
            <w:pPr>
              <w:ind w:left="240"/>
              <w:spacing w:after="0" w:line="135" w:lineRule="exact"/>
              <w:rPr>
                <w:sz w:val="20"/>
                <w:szCs w:val="20"/>
                <w:color w:val="auto"/>
              </w:rPr>
            </w:pPr>
            <w:r>
              <w:rPr>
                <w:rFonts w:ascii="Arial" w:cs="Arial" w:eastAsia="Arial" w:hAnsi="Arial"/>
                <w:sz w:val="12"/>
                <w:szCs w:val="12"/>
                <w:color w:val="auto"/>
                <w:w w:val="94"/>
              </w:rPr>
              <w:t>Non-voting common stock, $0.0001 par value; 10,000,000 and 10,000,000 shares authorized as of March 31, 2022</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360"/>
              <w:spacing w:after="0"/>
              <w:rPr>
                <w:sz w:val="20"/>
                <w:szCs w:val="20"/>
                <w:color w:val="auto"/>
              </w:rPr>
            </w:pPr>
            <w:r>
              <w:rPr>
                <w:rFonts w:ascii="Arial" w:cs="Arial" w:eastAsia="Arial" w:hAnsi="Arial"/>
                <w:sz w:val="12"/>
                <w:szCs w:val="12"/>
                <w:color w:val="auto"/>
                <w:w w:val="92"/>
              </w:rPr>
              <w:t>and December 31, 2021, respectively; 5,988,378 and 5,988,378 issued and outstanding as of March 31, 2022 and</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00" w:type="dxa"/>
            <w:vAlign w:val="bottom"/>
          </w:tcPr>
          <w:p>
            <w:pPr>
              <w:ind w:left="360"/>
              <w:spacing w:after="0"/>
              <w:rPr>
                <w:sz w:val="20"/>
                <w:szCs w:val="20"/>
                <w:color w:val="auto"/>
              </w:rPr>
            </w:pPr>
            <w:r>
              <w:rPr>
                <w:rFonts w:ascii="Arial" w:cs="Arial" w:eastAsia="Arial" w:hAnsi="Arial"/>
                <w:sz w:val="12"/>
                <w:szCs w:val="12"/>
                <w:color w:val="auto"/>
              </w:rPr>
              <w:t>December 31, 2021, respectively</w:t>
            </w: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Treasury Stock, 2,317,722 shares as of March 31, 2022 and December 31, 2021, held at cost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(748)</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44"/>
        </w:trPr>
        <w:tc>
          <w:tcPr>
            <w:tcW w:w="6000" w:type="dxa"/>
            <w:vAlign w:val="bottom"/>
          </w:tcPr>
          <w:p>
            <w:pPr>
              <w:ind w:left="480"/>
              <w:spacing w:after="0"/>
              <w:rPr>
                <w:sz w:val="20"/>
                <w:szCs w:val="20"/>
                <w:color w:val="auto"/>
              </w:rPr>
            </w:pPr>
            <w:r>
              <w:rPr>
                <w:rFonts w:ascii="Arial" w:cs="Arial" w:eastAsia="Arial" w:hAnsi="Arial"/>
                <w:sz w:val="12"/>
                <w:szCs w:val="12"/>
                <w:color w:val="auto"/>
              </w:rPr>
              <w:t>Additional paid-in capital</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6"/>
              </w:rPr>
              <w:t>615,349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609,194</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Accumulated other comprehensive loss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(489)</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144"/>
        </w:trPr>
        <w:tc>
          <w:tcPr>
            <w:tcW w:w="6000" w:type="dxa"/>
            <w:vAlign w:val="bottom"/>
          </w:tcPr>
          <w:p>
            <w:pPr>
              <w:ind w:left="480"/>
              <w:spacing w:after="0"/>
              <w:rPr>
                <w:sz w:val="20"/>
                <w:szCs w:val="20"/>
                <w:color w:val="auto"/>
              </w:rPr>
            </w:pPr>
            <w:r>
              <w:rPr>
                <w:rFonts w:ascii="Arial" w:cs="Arial" w:eastAsia="Arial" w:hAnsi="Arial"/>
                <w:sz w:val="12"/>
                <w:szCs w:val="12"/>
                <w:color w:val="auto"/>
              </w:rPr>
              <w:t>Accumulated deficit</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(136,006)</w:t>
            </w: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(125,857)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stockholders’ equity</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478,117</w:t>
            </w: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482,201</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720"/>
              <w:spacing w:after="0"/>
              <w:rPr>
                <w:sz w:val="20"/>
                <w:szCs w:val="20"/>
                <w:color w:val="auto"/>
              </w:rPr>
            </w:pPr>
            <w:r>
              <w:rPr>
                <w:rFonts w:ascii="Arial" w:cs="Arial" w:eastAsia="Arial" w:hAnsi="Arial"/>
                <w:sz w:val="12"/>
                <w:szCs w:val="12"/>
                <w:color w:val="auto"/>
              </w:rPr>
              <w:t>Total liabilities and stockholders’ equity</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6"/>
              </w:rPr>
              <w:t>609,547</w:t>
            </w:r>
          </w:p>
        </w:tc>
        <w:tc>
          <w:tcPr>
            <w:tcW w:w="22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639,845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Unaudited Condensed Consolidated Statement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millions)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1480" w:type="dxa"/>
            <w:vAlign w:val="bottom"/>
            <w:gridSpan w:val="6"/>
          </w:tcPr>
          <w:p>
            <w:pPr>
              <w:jc w:val="right"/>
              <w:ind w:right="120"/>
              <w:spacing w:after="0"/>
              <w:rPr>
                <w:sz w:val="20"/>
                <w:szCs w:val="20"/>
                <w:color w:val="auto"/>
              </w:rPr>
            </w:pPr>
            <w:r>
              <w:rPr>
                <w:rFonts w:ascii="Arial" w:cs="Arial" w:eastAsia="Arial" w:hAnsi="Arial"/>
                <w:sz w:val="10"/>
                <w:szCs w:val="10"/>
                <w:b w:val="1"/>
                <w:bCs w:val="1"/>
                <w:color w:val="auto"/>
                <w:w w:val="90"/>
              </w:rPr>
              <w:t>Three Months Ended March 31,</w:t>
            </w:r>
          </w:p>
        </w:tc>
        <w:tc>
          <w:tcPr>
            <w:tcW w:w="0" w:type="dxa"/>
            <w:vAlign w:val="bottom"/>
          </w:tcPr>
          <w:p>
            <w:pPr>
              <w:spacing w:after="0"/>
              <w:rPr>
                <w:sz w:val="1"/>
                <w:szCs w:val="1"/>
                <w:color w:val="auto"/>
              </w:rPr>
            </w:pPr>
          </w:p>
        </w:tc>
      </w:tr>
      <w:tr>
        <w:trPr>
          <w:trHeight w:val="88"/>
        </w:trPr>
        <w:tc>
          <w:tcPr>
            <w:tcW w:w="5860" w:type="dxa"/>
            <w:vAlign w:val="bottom"/>
            <w:tcBorders>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140"/>
              <w:spacing w:after="0" w:line="88" w:lineRule="exact"/>
              <w:rPr>
                <w:sz w:val="20"/>
                <w:szCs w:val="20"/>
                <w:color w:val="auto"/>
              </w:rPr>
            </w:pPr>
            <w:r>
              <w:rPr>
                <w:rFonts w:ascii="Arial" w:cs="Arial" w:eastAsia="Arial" w:hAnsi="Arial"/>
                <w:sz w:val="10"/>
                <w:szCs w:val="10"/>
                <w:b w:val="1"/>
                <w:bCs w:val="1"/>
                <w:color w:val="auto"/>
              </w:rPr>
              <w:t>2022</w:t>
            </w:r>
          </w:p>
        </w:tc>
        <w:tc>
          <w:tcPr>
            <w:tcW w:w="22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140"/>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86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operating activities:</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(10,149)</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(8,652)</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2,817</w:t>
            </w: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2,131</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 expense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5,495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10,364</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Amortization of deferred contract costs</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72</w:t>
            </w: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preferred stock warrant liability</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954</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Change in fair value of contingent consideration</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(70)</w:t>
            </w: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tax provision</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Bad debt expense</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20</w:t>
            </w: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interest expense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81</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operating assets and liabilities, net of acquisition:</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480"/>
              <w:spacing w:after="0"/>
              <w:rPr>
                <w:sz w:val="20"/>
                <w:szCs w:val="20"/>
                <w:color w:val="auto"/>
              </w:rPr>
            </w:pPr>
            <w:r>
              <w:rPr>
                <w:rFonts w:ascii="Arial" w:cs="Arial" w:eastAsia="Arial" w:hAnsi="Arial"/>
                <w:sz w:val="12"/>
                <w:szCs w:val="12"/>
                <w:color w:val="auto"/>
              </w:rPr>
              <w:t>Accounts receivable</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(839)</w:t>
            </w: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Unbilled receivables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1,129</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1,080</w:t>
            </w:r>
          </w:p>
        </w:tc>
        <w:tc>
          <w:tcPr>
            <w:tcW w:w="0" w:type="dxa"/>
            <w:vAlign w:val="bottom"/>
          </w:tcPr>
          <w:p>
            <w:pPr>
              <w:spacing w:after="0"/>
              <w:rPr>
                <w:sz w:val="1"/>
                <w:szCs w:val="1"/>
                <w:color w:val="auto"/>
              </w:rPr>
            </w:pPr>
          </w:p>
        </w:tc>
      </w:tr>
      <w:tr>
        <w:trPr>
          <w:trHeight w:val="144"/>
        </w:trPr>
        <w:tc>
          <w:tcPr>
            <w:tcW w:w="5860" w:type="dxa"/>
            <w:vAlign w:val="bottom"/>
          </w:tcPr>
          <w:p>
            <w:pPr>
              <w:ind w:left="480"/>
              <w:spacing w:after="0"/>
              <w:rPr>
                <w:sz w:val="20"/>
                <w:szCs w:val="20"/>
                <w:color w:val="auto"/>
              </w:rPr>
            </w:pPr>
            <w:r>
              <w:rPr>
                <w:rFonts w:ascii="Arial" w:cs="Arial" w:eastAsia="Arial" w:hAnsi="Arial"/>
                <w:sz w:val="12"/>
                <w:szCs w:val="12"/>
                <w:color w:val="auto"/>
              </w:rPr>
              <w:t>Funds receivable from payment partners</w:t>
            </w: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9,133</w:t>
            </w: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13,342</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(1,680)</w:t>
            </w:r>
          </w:p>
        </w:tc>
        <w:tc>
          <w:tcPr>
            <w:tcW w:w="0" w:type="dxa"/>
            <w:vAlign w:val="bottom"/>
          </w:tcPr>
          <w:p>
            <w:pPr>
              <w:spacing w:after="0"/>
              <w:rPr>
                <w:sz w:val="1"/>
                <w:szCs w:val="1"/>
                <w:color w:val="auto"/>
              </w:rPr>
            </w:pPr>
          </w:p>
        </w:tc>
      </w:tr>
      <w:tr>
        <w:trPr>
          <w:trHeight w:val="144"/>
        </w:trPr>
        <w:tc>
          <w:tcPr>
            <w:tcW w:w="5860" w:type="dxa"/>
            <w:vAlign w:val="bottom"/>
          </w:tcPr>
          <w:p>
            <w:pPr>
              <w:ind w:left="480"/>
              <w:spacing w:after="0"/>
              <w:rPr>
                <w:sz w:val="20"/>
                <w:szCs w:val="20"/>
                <w:color w:val="auto"/>
              </w:rPr>
            </w:pPr>
            <w:r>
              <w:rPr>
                <w:rFonts w:ascii="Arial" w:cs="Arial" w:eastAsia="Arial" w:hAnsi="Arial"/>
                <w:sz w:val="12"/>
                <w:szCs w:val="12"/>
                <w:color w:val="auto"/>
              </w:rPr>
              <w:t>Funds payable to clients</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(16,374)</w:t>
            </w: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(28,123)</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Accounts payable, accrued expenses and other current liabilities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(3,615)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(922)</w:t>
            </w:r>
          </w:p>
        </w:tc>
        <w:tc>
          <w:tcPr>
            <w:tcW w:w="0" w:type="dxa"/>
            <w:vAlign w:val="bottom"/>
          </w:tcPr>
          <w:p>
            <w:pPr>
              <w:spacing w:after="0"/>
              <w:rPr>
                <w:sz w:val="1"/>
                <w:szCs w:val="1"/>
                <w:color w:val="auto"/>
              </w:rPr>
            </w:pPr>
          </w:p>
        </w:tc>
      </w:tr>
      <w:tr>
        <w:trPr>
          <w:trHeight w:val="144"/>
        </w:trPr>
        <w:tc>
          <w:tcPr>
            <w:tcW w:w="5860" w:type="dxa"/>
            <w:vAlign w:val="bottom"/>
          </w:tcPr>
          <w:p>
            <w:pPr>
              <w:ind w:left="480"/>
              <w:spacing w:after="0"/>
              <w:rPr>
                <w:sz w:val="20"/>
                <w:szCs w:val="20"/>
                <w:color w:val="auto"/>
              </w:rPr>
            </w:pPr>
            <w:r>
              <w:rPr>
                <w:rFonts w:ascii="Arial" w:cs="Arial" w:eastAsia="Arial" w:hAnsi="Arial"/>
                <w:sz w:val="12"/>
                <w:szCs w:val="12"/>
                <w:color w:val="auto"/>
              </w:rPr>
              <w:t>Contingent consideration</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(4,524)</w:t>
            </w: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(3,212)</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Other liabilities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5860" w:type="dxa"/>
            <w:vAlign w:val="bottom"/>
          </w:tcPr>
          <w:p>
            <w:pPr>
              <w:ind w:left="480"/>
              <w:spacing w:after="0"/>
              <w:rPr>
                <w:sz w:val="20"/>
                <w:szCs w:val="20"/>
                <w:color w:val="auto"/>
              </w:rPr>
            </w:pPr>
            <w:r>
              <w:rPr>
                <w:rFonts w:ascii="Arial" w:cs="Arial" w:eastAsia="Arial" w:hAnsi="Arial"/>
                <w:sz w:val="12"/>
                <w:szCs w:val="12"/>
                <w:color w:val="auto"/>
              </w:rPr>
              <w:t>Deferred revenue</w:t>
            </w:r>
          </w:p>
        </w:tc>
        <w:tc>
          <w:tcPr>
            <w:tcW w:w="1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(257)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Net cash used in operating activities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(17,005)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(14,792)</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(1,307)</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(1,473)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720"/>
              <w:spacing w:after="0"/>
              <w:rPr>
                <w:sz w:val="20"/>
                <w:szCs w:val="20"/>
                <w:color w:val="auto"/>
              </w:rPr>
            </w:pPr>
            <w:r>
              <w:rPr>
                <w:rFonts w:ascii="Arial" w:cs="Arial" w:eastAsia="Arial" w:hAnsi="Arial"/>
                <w:sz w:val="12"/>
                <w:szCs w:val="12"/>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(1,307)</w:t>
            </w:r>
          </w:p>
        </w:tc>
        <w:tc>
          <w:tcPr>
            <w:tcW w:w="1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(1,473)</w:t>
            </w:r>
          </w:p>
        </w:tc>
        <w:tc>
          <w:tcPr>
            <w:tcW w:w="0" w:type="dxa"/>
            <w:vAlign w:val="bottom"/>
          </w:tcPr>
          <w:p>
            <w:pPr>
              <w:spacing w:after="0"/>
              <w:rPr>
                <w:sz w:val="1"/>
                <w:szCs w:val="1"/>
                <w:color w:val="auto"/>
              </w:rPr>
            </w:pPr>
          </w:p>
        </w:tc>
      </w:tr>
      <w:tr>
        <w:trPr>
          <w:trHeight w:val="142"/>
        </w:trPr>
        <w:tc>
          <w:tcPr>
            <w:tcW w:w="5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spacing w:after="0"/>
              <w:rPr>
                <w:sz w:val="20"/>
                <w:szCs w:val="20"/>
                <w:color w:val="auto"/>
              </w:rPr>
            </w:pPr>
            <w:r>
              <w:rPr>
                <w:rFonts w:ascii="Arial" w:cs="Arial" w:eastAsia="Arial" w:hAnsi="Arial"/>
                <w:sz w:val="12"/>
                <w:szCs w:val="12"/>
                <w:color w:val="auto"/>
              </w:rPr>
              <w:t>Payment of costs related to initial public offering</w:t>
            </w:r>
          </w:p>
        </w:tc>
        <w:tc>
          <w:tcPr>
            <w:tcW w:w="12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63"/>
        </w:trPr>
        <w:tc>
          <w:tcPr>
            <w:tcW w:w="5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redeemable convertible preferred stock, net of issuance costs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59,735</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2"/>
                <w:szCs w:val="12"/>
                <w:color w:val="auto"/>
              </w:rPr>
              <w:t>Contingent consideration paid for acquisitions</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(3,320)</w:t>
            </w: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(3,800)</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Payments of tax withholdings for net settled option exercises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(756)</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1,071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2,406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Net cash (used in) provided by financing activities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(3,005)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58,178</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2"/>
                <w:szCs w:val="12"/>
                <w:color w:val="auto"/>
              </w:rPr>
              <w:t>Effect of exchange rates changes on cash and cash equivalents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1,702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increase in cash, cash equivalents and restricted cash</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(19,615)</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42,261</w:t>
            </w: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b w:val="1"/>
                <w:bCs w:val="1"/>
                <w:color w:val="auto"/>
              </w:rPr>
              <w:t>Cash, cash equivalents and restricted cash, beginning of period</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389,360</w:t>
            </w:r>
          </w:p>
        </w:tc>
        <w:tc>
          <w:tcPr>
            <w:tcW w:w="2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109,052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cash equivalents and restricted cash, end of period</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369,745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151,313</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Reconciliation of Non-GAAP Financial Measures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millions)</w:t>
      </w:r>
    </w:p>
    <w:p>
      <w:pPr>
        <w:spacing w:after="0" w:line="148" w:lineRule="exact"/>
        <w:rPr>
          <w:sz w:val="20"/>
          <w:szCs w:val="20"/>
          <w:color w:val="auto"/>
        </w:rPr>
      </w:pPr>
    </w:p>
    <w:p>
      <w:pPr>
        <w:jc w:val="center"/>
        <w:ind w:left="6020"/>
        <w:spacing w:after="0"/>
        <w:rPr>
          <w:sz w:val="20"/>
          <w:szCs w:val="20"/>
          <w:color w:val="auto"/>
        </w:rPr>
      </w:pPr>
      <w:r>
        <w:rPr>
          <w:rFonts w:ascii="Arial" w:cs="Arial" w:eastAsia="Arial" w:hAnsi="Arial"/>
          <w:sz w:val="10"/>
          <w:szCs w:val="10"/>
          <w:b w:val="1"/>
          <w:bCs w:val="1"/>
          <w:color w:val="auto"/>
        </w:rPr>
        <w:t>Three Months Ended</w:t>
      </w:r>
    </w:p>
    <w:p>
      <w:pPr>
        <w:jc w:val="center"/>
        <w:ind w:left="6020"/>
        <w:spacing w:after="0" w:line="215" w:lineRule="auto"/>
        <w:rPr>
          <w:sz w:val="20"/>
          <w:szCs w:val="20"/>
          <w:color w:val="auto"/>
        </w:rPr>
      </w:pPr>
      <w:r>
        <w:rPr>
          <w:rFonts w:ascii="Arial" w:cs="Arial" w:eastAsia="Arial" w:hAnsi="Arial"/>
          <w:sz w:val="10"/>
          <w:szCs w:val="10"/>
          <w:b w:val="1"/>
          <w:bCs w:val="1"/>
          <w:color w:val="auto"/>
        </w:rPr>
        <w:t>March 31,</w:t>
      </w:r>
    </w:p>
    <w:tbl>
      <w:tblPr>
        <w:tblLayout w:type="fixed"/>
        <w:tblInd w:w="840" w:type="dxa"/>
        <w:tblCellMar>
          <w:top w:w="0" w:type="dxa"/>
          <w:left w:w="0" w:type="dxa"/>
          <w:bottom w:w="0" w:type="dxa"/>
          <w:right w:w="0" w:type="dxa"/>
        </w:tblCellMar>
      </w:tblPr>
      <w:tr>
        <w:trPr>
          <w:trHeight w:val="88"/>
        </w:trPr>
        <w:tc>
          <w:tcPr>
            <w:tcW w:w="61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w w:val="80"/>
              </w:rPr>
              <w:t>2022</w:t>
            </w:r>
          </w:p>
        </w:tc>
        <w:tc>
          <w:tcPr>
            <w:tcW w:w="36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jc w:val="right"/>
              <w:ind w:right="1"/>
              <w:spacing w:after="0" w:line="88" w:lineRule="exact"/>
              <w:rPr>
                <w:sz w:val="20"/>
                <w:szCs w:val="20"/>
                <w:color w:val="auto"/>
              </w:rPr>
            </w:pPr>
            <w:r>
              <w:rPr>
                <w:rFonts w:ascii="Arial" w:cs="Arial" w:eastAsia="Arial" w:hAnsi="Arial"/>
                <w:sz w:val="10"/>
                <w:szCs w:val="10"/>
                <w:b w:val="1"/>
                <w:bCs w:val="1"/>
                <w:color w:val="auto"/>
                <w:w w:val="80"/>
              </w:rPr>
              <w:t>2021</w:t>
            </w: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64.6</w:t>
            </w:r>
          </w:p>
        </w:tc>
        <w:tc>
          <w:tcPr>
            <w:tcW w:w="3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mailing and devices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4"/>
        </w:trPr>
        <w:tc>
          <w:tcPr>
            <w:tcW w:w="61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6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2"/>
                <w:szCs w:val="12"/>
                <w:color w:val="auto"/>
              </w:rPr>
              <w:t>Payment processing services Costs</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1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rPr>
              <w:t>24.3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16.1</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Hosting and amortization costs within technology and development expenses</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3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Adjusted to:</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Exclude printing and mailing costs</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4"/>
        </w:trPr>
        <w:tc>
          <w:tcPr>
            <w:tcW w:w="6160" w:type="dxa"/>
            <w:vAlign w:val="bottom"/>
          </w:tcPr>
          <w:p>
            <w:pPr>
              <w:ind w:left="240"/>
              <w:spacing w:after="0"/>
              <w:rPr>
                <w:sz w:val="20"/>
                <w:szCs w:val="20"/>
                <w:color w:val="auto"/>
              </w:rPr>
            </w:pPr>
            <w:r>
              <w:rPr>
                <w:rFonts w:ascii="Arial" w:cs="Arial" w:eastAsia="Arial" w:hAnsi="Arial"/>
                <w:sz w:val="12"/>
                <w:szCs w:val="12"/>
                <w:color w:val="auto"/>
              </w:rPr>
              <w:t>Offset marketing fees against related costs</w:t>
            </w:r>
          </w:p>
        </w:tc>
        <w:tc>
          <w:tcPr>
            <w:tcW w:w="6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color w:val="auto"/>
              </w:rPr>
              <w:t>(0.4)</w:t>
            </w:r>
          </w:p>
        </w:tc>
        <w:tc>
          <w:tcPr>
            <w:tcW w:w="8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Costs of revenue less ancillary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2"/>
                <w:szCs w:val="12"/>
                <w:color w:val="auto"/>
              </w:rPr>
              <w:t>Gross Profit</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1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rPr>
              <w:t>38.8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60.1%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61.3%</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Arial" w:cs="Arial" w:eastAsia="Arial" w:hAnsi="Arial"/>
                <w:sz w:val="12"/>
                <w:szCs w:val="12"/>
                <w:color w:val="auto"/>
              </w:rPr>
              <w:t>Adjusted Gross Profit</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16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rPr>
              <w:t>38.8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Adjusted Gross Margin</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65.5%</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68.7%</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w w:val="88"/>
              </w:rPr>
              <w:t>Three Months Ended</w:t>
            </w:r>
          </w:p>
        </w:tc>
        <w:tc>
          <w:tcPr>
            <w:tcW w:w="0" w:type="dxa"/>
            <w:vAlign w:val="bottom"/>
          </w:tcPr>
          <w:p>
            <w:pPr>
              <w:spacing w:after="0"/>
              <w:rPr>
                <w:sz w:val="1"/>
                <w:szCs w:val="1"/>
                <w:color w:val="auto"/>
              </w:rPr>
            </w:pPr>
          </w:p>
        </w:tc>
      </w:tr>
      <w:tr>
        <w:trPr>
          <w:trHeight w:val="113"/>
        </w:trPr>
        <w:tc>
          <w:tcPr>
            <w:tcW w:w="6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tcPr>
          <w:p>
            <w:pPr>
              <w:jc w:val="right"/>
              <w:ind w:right="12"/>
              <w:spacing w:after="0" w:line="114" w:lineRule="exact"/>
              <w:rPr>
                <w:sz w:val="20"/>
                <w:szCs w:val="20"/>
                <w:color w:val="auto"/>
              </w:rPr>
            </w:pPr>
            <w:r>
              <w:rPr>
                <w:rFonts w:ascii="Arial" w:cs="Arial" w:eastAsia="Arial" w:hAnsi="Arial"/>
                <w:sz w:val="10"/>
                <w:szCs w:val="10"/>
                <w:b w:val="1"/>
                <w:bCs w:val="1"/>
                <w:color w:val="auto"/>
              </w:rPr>
              <w:t>March 31,</w:t>
            </w: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16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w w:val="80"/>
              </w:rPr>
              <w:t>2022</w:t>
            </w:r>
          </w:p>
        </w:tc>
        <w:tc>
          <w:tcPr>
            <w:tcW w:w="36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jc w:val="right"/>
              <w:ind w:right="1"/>
              <w:spacing w:after="0" w:line="88" w:lineRule="exact"/>
              <w:rPr>
                <w:sz w:val="20"/>
                <w:szCs w:val="20"/>
                <w:color w:val="auto"/>
              </w:rPr>
            </w:pPr>
            <w:r>
              <w:rPr>
                <w:rFonts w:ascii="Arial" w:cs="Arial" w:eastAsia="Arial" w:hAnsi="Arial"/>
                <w:sz w:val="10"/>
                <w:szCs w:val="10"/>
                <w:b w:val="1"/>
                <w:bCs w:val="1"/>
                <w:color w:val="auto"/>
                <w:w w:val="80"/>
              </w:rPr>
              <w:t>2021</w:t>
            </w: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2"/>
              </w:rPr>
              <w:t>(10.1)</w:t>
            </w:r>
          </w:p>
        </w:tc>
        <w:tc>
          <w:tcPr>
            <w:tcW w:w="3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(8.7)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0.2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3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2.8</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EBITDA</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5.5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contingent consideration</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Change in fair value of preferred stock warrant liability</w:t>
            </w:r>
          </w:p>
        </w:tc>
        <w:tc>
          <w:tcPr>
            <w:tcW w:w="60" w:type="dxa"/>
            <w:vAlign w:val="bottom"/>
          </w:tcPr>
          <w:p>
            <w:pPr>
              <w:spacing w:after="0"/>
              <w:rPr>
                <w:sz w:val="12"/>
                <w:szCs w:val="12"/>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Other expense, net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3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Indirect taxes related to intercompany activity</w:t>
            </w:r>
          </w:p>
        </w:tc>
        <w:tc>
          <w:tcPr>
            <w:tcW w:w="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0.1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Acquisition related employee retention costs</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3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2"/>
                <w:szCs w:val="12"/>
                <w:color w:val="auto"/>
              </w:rPr>
              <w:t>Adjusted EBITDA</w:t>
            </w: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1.8</w:t>
            </w:r>
          </w:p>
        </w:tc>
        <w:tc>
          <w:tcPr>
            <w:tcW w:w="3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4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5"/>
          </w:tcPr>
          <w:p>
            <w:pPr>
              <w:jc w:val="right"/>
              <w:ind w:right="12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4"/>
          </w:tcPr>
          <w:p>
            <w:pPr>
              <w:jc w:val="right"/>
              <w:ind w:right="220"/>
              <w:spacing w:after="0" w:line="114" w:lineRule="exact"/>
              <w:rPr>
                <w:sz w:val="20"/>
                <w:szCs w:val="20"/>
                <w:color w:val="auto"/>
              </w:rPr>
            </w:pPr>
            <w:r>
              <w:rPr>
                <w:rFonts w:ascii="Arial" w:cs="Arial" w:eastAsia="Arial" w:hAnsi="Arial"/>
                <w:sz w:val="10"/>
                <w:szCs w:val="10"/>
                <w:b w:val="1"/>
                <w:bCs w:val="1"/>
                <w:color w:val="auto"/>
              </w:rPr>
              <w:t>March 31, 2022</w:t>
            </w: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4"/>
          </w:tcPr>
          <w:p>
            <w:pPr>
              <w:jc w:val="right"/>
              <w:ind w:right="240"/>
              <w:spacing w:after="0" w:line="114" w:lineRule="exact"/>
              <w:rPr>
                <w:sz w:val="20"/>
                <w:szCs w:val="20"/>
                <w:color w:val="auto"/>
              </w:rPr>
            </w:pPr>
            <w:r>
              <w:rPr>
                <w:rFonts w:ascii="Arial" w:cs="Arial" w:eastAsia="Arial" w:hAnsi="Arial"/>
                <w:sz w:val="10"/>
                <w:szCs w:val="10"/>
                <w:b w:val="1"/>
                <w:bCs w:val="1"/>
                <w:color w:val="auto"/>
                <w:w w:val="98"/>
              </w:rPr>
              <w:t>March 31, 2021</w:t>
            </w: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gridSpan w:val="3"/>
          </w:tcPr>
          <w:p>
            <w:pPr>
              <w:jc w:val="center"/>
              <w:ind w:right="300"/>
              <w:spacing w:after="0" w:line="74" w:lineRule="exact"/>
              <w:rPr>
                <w:sz w:val="20"/>
                <w:szCs w:val="20"/>
                <w:color w:val="auto"/>
              </w:rPr>
            </w:pPr>
            <w:r>
              <w:rPr>
                <w:rFonts w:ascii="Arial" w:cs="Arial" w:eastAsia="Arial" w:hAnsi="Arial"/>
                <w:sz w:val="8"/>
                <w:szCs w:val="8"/>
                <w:b w:val="1"/>
                <w:bCs w:val="1"/>
                <w:color w:val="auto"/>
              </w:rPr>
              <w:t>Platform</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gridSpan w:val="3"/>
          </w:tcPr>
          <w:p>
            <w:pPr>
              <w:jc w:val="center"/>
              <w:ind w:right="300"/>
              <w:spacing w:after="0" w:line="74" w:lineRule="exact"/>
              <w:rPr>
                <w:sz w:val="20"/>
                <w:szCs w:val="20"/>
                <w:color w:val="auto"/>
              </w:rPr>
            </w:pPr>
            <w:r>
              <w:rPr>
                <w:rFonts w:ascii="Arial" w:cs="Arial" w:eastAsia="Arial" w:hAnsi="Arial"/>
                <w:sz w:val="8"/>
                <w:szCs w:val="8"/>
                <w:b w:val="1"/>
                <w:bCs w:val="1"/>
                <w:color w:val="auto"/>
              </w:rPr>
              <w:t>Platform</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9"/>
              </w:rPr>
              <w:t>and</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9"/>
              </w:rPr>
              <w:t>and</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gridSpan w:val="3"/>
          </w:tcPr>
          <w:p>
            <w:pPr>
              <w:jc w:val="center"/>
              <w:ind w:right="300"/>
              <w:spacing w:after="0" w:line="99" w:lineRule="exact"/>
              <w:rPr>
                <w:sz w:val="20"/>
                <w:szCs w:val="20"/>
                <w:color w:val="auto"/>
              </w:rPr>
            </w:pPr>
            <w:r>
              <w:rPr>
                <w:rFonts w:ascii="Arial" w:cs="Arial" w:eastAsia="Arial" w:hAnsi="Arial"/>
                <w:sz w:val="10"/>
                <w:szCs w:val="10"/>
                <w:b w:val="1"/>
                <w:bCs w:val="1"/>
                <w:color w:val="auto"/>
                <w:w w:val="83"/>
              </w:rPr>
              <w:t>Usage-</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gridSpan w:val="3"/>
          </w:tcPr>
          <w:p>
            <w:pPr>
              <w:jc w:val="center"/>
              <w:ind w:right="300"/>
              <w:spacing w:after="0" w:line="99" w:lineRule="exact"/>
              <w:rPr>
                <w:sz w:val="20"/>
                <w:szCs w:val="20"/>
                <w:color w:val="auto"/>
              </w:rPr>
            </w:pPr>
            <w:r>
              <w:rPr>
                <w:rFonts w:ascii="Arial" w:cs="Arial" w:eastAsia="Arial" w:hAnsi="Arial"/>
                <w:sz w:val="10"/>
                <w:szCs w:val="10"/>
                <w:b w:val="1"/>
                <w:bCs w:val="1"/>
                <w:color w:val="auto"/>
                <w:w w:val="83"/>
              </w:rPr>
              <w:t>Usage-</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79"/>
              </w:rPr>
              <w:t>Based</w:t>
            </w: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79"/>
              </w:rPr>
              <w:t>Based</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80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Transaction</w:t>
            </w:r>
          </w:p>
        </w:tc>
        <w:tc>
          <w:tcPr>
            <w:tcW w:w="60" w:type="dxa"/>
            <w:vAlign w:val="bottom"/>
          </w:tcPr>
          <w:p>
            <w:pPr>
              <w:spacing w:after="0"/>
              <w:rPr>
                <w:sz w:val="9"/>
                <w:szCs w:val="9"/>
                <w:color w:val="auto"/>
              </w:rPr>
            </w:pPr>
          </w:p>
        </w:tc>
        <w:tc>
          <w:tcPr>
            <w:tcW w:w="60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78"/>
              </w:rPr>
              <w:t>Fees</w:t>
            </w:r>
          </w:p>
        </w:tc>
        <w:tc>
          <w:tcPr>
            <w:tcW w:w="66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Revenue</w:t>
            </w:r>
          </w:p>
        </w:tc>
        <w:tc>
          <w:tcPr>
            <w:tcW w:w="8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Transaction</w:t>
            </w:r>
          </w:p>
        </w:tc>
        <w:tc>
          <w:tcPr>
            <w:tcW w:w="60" w:type="dxa"/>
            <w:vAlign w:val="bottom"/>
          </w:tcPr>
          <w:p>
            <w:pPr>
              <w:spacing w:after="0"/>
              <w:rPr>
                <w:sz w:val="9"/>
                <w:szCs w:val="9"/>
                <w:color w:val="auto"/>
              </w:rPr>
            </w:pPr>
          </w:p>
        </w:tc>
        <w:tc>
          <w:tcPr>
            <w:tcW w:w="60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7"/>
              </w:rPr>
              <w:t>Fees</w:t>
            </w:r>
          </w:p>
        </w:tc>
        <w:tc>
          <w:tcPr>
            <w:tcW w:w="5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Revenue</w:t>
            </w:r>
          </w:p>
        </w:tc>
        <w:tc>
          <w:tcPr>
            <w:tcW w:w="0" w:type="dxa"/>
            <w:vAlign w:val="bottom"/>
          </w:tcPr>
          <w:p>
            <w:pPr>
              <w:spacing w:after="0"/>
              <w:rPr>
                <w:sz w:val="1"/>
                <w:szCs w:val="1"/>
                <w:color w:val="auto"/>
              </w:rPr>
            </w:pPr>
          </w:p>
        </w:tc>
      </w:tr>
      <w:tr>
        <w:trPr>
          <w:trHeight w:val="133"/>
        </w:trPr>
        <w:tc>
          <w:tcPr>
            <w:tcW w:w="3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48.7</w:t>
            </w: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15.9</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64.6</w:t>
            </w:r>
          </w:p>
        </w:tc>
        <w:tc>
          <w:tcPr>
            <w:tcW w:w="3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32.4</w:t>
            </w: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12.6</w:t>
            </w: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45.0</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and mailing</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(4.9)</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(4.5)</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4"/>
        </w:trPr>
        <w:tc>
          <w:tcPr>
            <w:tcW w:w="32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180" w:type="dxa"/>
            <w:vAlign w:val="bottom"/>
          </w:tcPr>
          <w:p>
            <w:pPr>
              <w:spacing w:after="0"/>
              <w:rPr>
                <w:sz w:val="12"/>
                <w:szCs w:val="12"/>
                <w:color w:val="auto"/>
              </w:rPr>
            </w:pPr>
          </w:p>
        </w:tc>
        <w:tc>
          <w:tcPr>
            <w:tcW w:w="620" w:type="dxa"/>
            <w:vAlign w:val="bottom"/>
            <w:gridSpan w:val="2"/>
          </w:tcPr>
          <w:p>
            <w:pPr>
              <w:jc w:val="right"/>
              <w:ind w:right="212"/>
              <w:spacing w:after="0"/>
              <w:rPr>
                <w:sz w:val="20"/>
                <w:szCs w:val="20"/>
                <w:color w:val="auto"/>
              </w:rPr>
            </w:pPr>
            <w:r>
              <w:rPr>
                <w:rFonts w:ascii="Arial" w:cs="Arial" w:eastAsia="Arial" w:hAnsi="Arial"/>
                <w:sz w:val="12"/>
                <w:szCs w:val="12"/>
                <w:color w:val="auto"/>
              </w:rPr>
              <w:t>(0.4)</w:t>
            </w:r>
          </w:p>
        </w:tc>
        <w:tc>
          <w:tcPr>
            <w:tcW w:w="60" w:type="dxa"/>
            <w:vAlign w:val="bottom"/>
          </w:tcPr>
          <w:p>
            <w:pPr>
              <w:spacing w:after="0"/>
              <w:rPr>
                <w:sz w:val="12"/>
                <w:szCs w:val="12"/>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(0.4)</w:t>
            </w:r>
          </w:p>
        </w:tc>
        <w:tc>
          <w:tcPr>
            <w:tcW w:w="180" w:type="dxa"/>
            <w:vAlign w:val="bottom"/>
          </w:tcPr>
          <w:p>
            <w:pPr>
              <w:spacing w:after="0"/>
              <w:rPr>
                <w:sz w:val="12"/>
                <w:szCs w:val="12"/>
                <w:color w:val="auto"/>
              </w:rPr>
            </w:pPr>
          </w:p>
        </w:tc>
        <w:tc>
          <w:tcPr>
            <w:tcW w:w="620" w:type="dxa"/>
            <w:vAlign w:val="bottom"/>
            <w:gridSpan w:val="2"/>
          </w:tcPr>
          <w:p>
            <w:pPr>
              <w:jc w:val="right"/>
              <w:ind w:right="212"/>
              <w:spacing w:after="0"/>
              <w:rPr>
                <w:sz w:val="20"/>
                <w:szCs w:val="20"/>
                <w:color w:val="auto"/>
              </w:rPr>
            </w:pPr>
            <w:r>
              <w:rPr>
                <w:rFonts w:ascii="Arial" w:cs="Arial" w:eastAsia="Arial" w:hAnsi="Arial"/>
                <w:sz w:val="12"/>
                <w:szCs w:val="12"/>
                <w:color w:val="auto"/>
              </w:rPr>
              <w:t>(0.3)</w:t>
            </w:r>
          </w:p>
        </w:tc>
        <w:tc>
          <w:tcPr>
            <w:tcW w:w="60" w:type="dxa"/>
            <w:vAlign w:val="bottom"/>
          </w:tcPr>
          <w:p>
            <w:pPr>
              <w:spacing w:after="0"/>
              <w:rPr>
                <w:sz w:val="12"/>
                <w:szCs w:val="12"/>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52"/>
              <w:spacing w:after="0"/>
              <w:rPr>
                <w:sz w:val="20"/>
                <w:szCs w:val="20"/>
                <w:color w:val="auto"/>
              </w:rPr>
            </w:pPr>
            <w:r>
              <w:rPr>
                <w:rFonts w:ascii="Arial" w:cs="Arial" w:eastAsia="Arial" w:hAnsi="Arial"/>
                <w:sz w:val="12"/>
                <w:szCs w:val="12"/>
                <w:color w:val="auto"/>
              </w:rPr>
              <w:t>48.3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11.0</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93"/>
              </w:rPr>
              <w:t>59.3</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52"/>
              <w:spacing w:after="0"/>
              <w:rPr>
                <w:sz w:val="20"/>
                <w:szCs w:val="20"/>
                <w:color w:val="auto"/>
              </w:rPr>
            </w:pPr>
            <w:r>
              <w:rPr>
                <w:rFonts w:ascii="Arial" w:cs="Arial" w:eastAsia="Arial" w:hAnsi="Arial"/>
                <w:sz w:val="12"/>
                <w:szCs w:val="12"/>
                <w:color w:val="auto"/>
              </w:rPr>
              <w:t>32.1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27"/>
        </w:trPr>
        <w:tc>
          <w:tcPr>
            <w:tcW w:w="3260" w:type="dxa"/>
            <w:vAlign w:val="bottom"/>
            <w:vMerge w:val="restart"/>
          </w:tcPr>
          <w:p>
            <w:pPr>
              <w:spacing w:after="0"/>
              <w:rPr>
                <w:sz w:val="20"/>
                <w:szCs w:val="20"/>
                <w:color w:val="auto"/>
              </w:rPr>
            </w:pPr>
            <w:r>
              <w:rPr>
                <w:rFonts w:ascii="Arial" w:cs="Arial" w:eastAsia="Arial" w:hAnsi="Arial"/>
                <w:sz w:val="12"/>
                <w:szCs w:val="12"/>
                <w:color w:val="auto"/>
              </w:rPr>
              <w:t>Percentage of Revenue</w:t>
            </w: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ind w:right="152"/>
              <w:spacing w:after="0"/>
              <w:rPr>
                <w:sz w:val="20"/>
                <w:szCs w:val="20"/>
                <w:color w:val="auto"/>
              </w:rPr>
            </w:pPr>
            <w:r>
              <w:rPr>
                <w:rFonts w:ascii="Arial" w:cs="Arial" w:eastAsia="Arial" w:hAnsi="Arial"/>
                <w:sz w:val="12"/>
                <w:szCs w:val="12"/>
                <w:color w:val="auto"/>
              </w:rPr>
              <w:t>75.4%</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24.6%</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100%</w:t>
            </w:r>
          </w:p>
        </w:tc>
        <w:tc>
          <w:tcPr>
            <w:tcW w:w="180" w:type="dxa"/>
            <w:vAlign w:val="bottom"/>
          </w:tcPr>
          <w:p>
            <w:pPr>
              <w:spacing w:after="0"/>
              <w:rPr>
                <w:sz w:val="13"/>
                <w:szCs w:val="13"/>
                <w:color w:val="auto"/>
              </w:rPr>
            </w:pPr>
          </w:p>
        </w:tc>
        <w:tc>
          <w:tcPr>
            <w:tcW w:w="620" w:type="dxa"/>
            <w:vAlign w:val="bottom"/>
            <w:gridSpan w:val="2"/>
          </w:tcPr>
          <w:p>
            <w:pPr>
              <w:jc w:val="right"/>
              <w:ind w:right="152"/>
              <w:spacing w:after="0"/>
              <w:rPr>
                <w:sz w:val="20"/>
                <w:szCs w:val="20"/>
                <w:color w:val="auto"/>
              </w:rPr>
            </w:pPr>
            <w:r>
              <w:rPr>
                <w:rFonts w:ascii="Arial" w:cs="Arial" w:eastAsia="Arial" w:hAnsi="Arial"/>
                <w:sz w:val="12"/>
                <w:szCs w:val="12"/>
                <w:color w:val="auto"/>
              </w:rPr>
              <w:t>72.0%</w:t>
            </w:r>
          </w:p>
        </w:tc>
        <w:tc>
          <w:tcPr>
            <w:tcW w:w="6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28.0%</w:t>
            </w:r>
          </w:p>
        </w:tc>
        <w:tc>
          <w:tcPr>
            <w:tcW w:w="10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Percentage of Revenue less Ancillary Services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52"/>
              <w:spacing w:after="0"/>
              <w:rPr>
                <w:sz w:val="20"/>
                <w:szCs w:val="20"/>
                <w:color w:val="auto"/>
              </w:rPr>
            </w:pPr>
            <w:r>
              <w:rPr>
                <w:rFonts w:ascii="Arial" w:cs="Arial" w:eastAsia="Arial" w:hAnsi="Arial"/>
                <w:sz w:val="12"/>
                <w:szCs w:val="12"/>
                <w:color w:val="auto"/>
              </w:rPr>
              <w:t>81.5%</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18.5%</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52"/>
              <w:spacing w:after="0"/>
              <w:rPr>
                <w:sz w:val="20"/>
                <w:szCs w:val="20"/>
                <w:color w:val="auto"/>
              </w:rPr>
            </w:pPr>
            <w:r>
              <w:rPr>
                <w:rFonts w:ascii="Arial" w:cs="Arial" w:eastAsia="Arial" w:hAnsi="Arial"/>
                <w:sz w:val="12"/>
                <w:szCs w:val="12"/>
                <w:color w:val="auto"/>
              </w:rPr>
              <w:t>79.9%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20.1%</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26"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Reconciliation of Preliminary Non-GAAP</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Financial Measures (Guidance)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millions)</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Guidance</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3"/>
        </w:trPr>
        <w:tc>
          <w:tcPr>
            <w:tcW w:w="3900" w:type="dxa"/>
            <w:vAlign w:val="bottom"/>
          </w:tcPr>
          <w:p>
            <w:pPr>
              <w:spacing w:after="0"/>
              <w:rPr>
                <w:sz w:val="9"/>
                <w:szCs w:val="9"/>
                <w:color w:val="auto"/>
              </w:rPr>
            </w:pPr>
          </w:p>
        </w:tc>
        <w:tc>
          <w:tcPr>
            <w:tcW w:w="1920" w:type="dxa"/>
            <w:vAlign w:val="bottom"/>
            <w:gridSpan w:val="6"/>
          </w:tcPr>
          <w:p>
            <w:pPr>
              <w:jc w:val="right"/>
              <w:ind w:right="380"/>
              <w:spacing w:after="0" w:line="114" w:lineRule="exact"/>
              <w:rPr>
                <w:sz w:val="20"/>
                <w:szCs w:val="20"/>
                <w:color w:val="auto"/>
              </w:rPr>
            </w:pPr>
            <w:r>
              <w:rPr>
                <w:rFonts w:ascii="Arial" w:cs="Arial" w:eastAsia="Arial" w:hAnsi="Arial"/>
                <w:sz w:val="10"/>
                <w:szCs w:val="10"/>
                <w:b w:val="1"/>
                <w:bCs w:val="1"/>
                <w:color w:val="auto"/>
                <w:w w:val="91"/>
              </w:rPr>
              <w:t>Three Months Ended June 30, 2022</w:t>
            </w:r>
          </w:p>
        </w:tc>
        <w:tc>
          <w:tcPr>
            <w:tcW w:w="60" w:type="dxa"/>
            <w:vAlign w:val="bottom"/>
          </w:tcPr>
          <w:p>
            <w:pPr>
              <w:spacing w:after="0"/>
              <w:rPr>
                <w:sz w:val="9"/>
                <w:szCs w:val="9"/>
                <w:color w:val="auto"/>
              </w:rPr>
            </w:pPr>
          </w:p>
        </w:tc>
        <w:tc>
          <w:tcPr>
            <w:tcW w:w="1460" w:type="dxa"/>
            <w:vAlign w:val="bottom"/>
            <w:gridSpan w:val="5"/>
          </w:tcPr>
          <w:p>
            <w:pPr>
              <w:jc w:val="right"/>
              <w:ind w:right="160"/>
              <w:spacing w:after="0" w:line="114" w:lineRule="exact"/>
              <w:rPr>
                <w:sz w:val="20"/>
                <w:szCs w:val="20"/>
                <w:color w:val="auto"/>
              </w:rPr>
            </w:pPr>
            <w:r>
              <w:rPr>
                <w:rFonts w:ascii="Arial" w:cs="Arial" w:eastAsia="Arial" w:hAnsi="Arial"/>
                <w:sz w:val="10"/>
                <w:szCs w:val="10"/>
                <w:b w:val="1"/>
                <w:bCs w:val="1"/>
                <w:color w:val="auto"/>
                <w:w w:val="86"/>
              </w:rPr>
              <w:t>Year Ended December 31, 2022</w:t>
            </w:r>
          </w:p>
        </w:tc>
      </w:tr>
      <w:tr>
        <w:trPr>
          <w:trHeight w:val="88"/>
        </w:trPr>
        <w:tc>
          <w:tcPr>
            <w:tcW w:w="3900" w:type="dxa"/>
            <w:vAlign w:val="bottom"/>
          </w:tcPr>
          <w:p>
            <w:pPr>
              <w:spacing w:after="0"/>
              <w:rPr>
                <w:sz w:val="7"/>
                <w:szCs w:val="7"/>
                <w:color w:val="auto"/>
              </w:rPr>
            </w:pPr>
          </w:p>
        </w:tc>
        <w:tc>
          <w:tcPr>
            <w:tcW w:w="4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Low</w:t>
            </w:r>
          </w:p>
        </w:tc>
        <w:tc>
          <w:tcPr>
            <w:tcW w:w="2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ind w:right="144"/>
              <w:spacing w:after="0" w:line="88" w:lineRule="exact"/>
              <w:rPr>
                <w:sz w:val="20"/>
                <w:szCs w:val="20"/>
                <w:color w:val="auto"/>
              </w:rPr>
            </w:pPr>
            <w:r>
              <w:rPr>
                <w:rFonts w:ascii="Arial" w:cs="Arial" w:eastAsia="Arial" w:hAnsi="Arial"/>
                <w:sz w:val="10"/>
                <w:szCs w:val="10"/>
                <w:b w:val="1"/>
                <w:bCs w:val="1"/>
                <w:color w:val="auto"/>
              </w:rPr>
              <w:t>High</w:t>
            </w:r>
          </w:p>
        </w:tc>
        <w:tc>
          <w:tcPr>
            <w:tcW w:w="3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right"/>
              <w:ind w:right="520"/>
              <w:spacing w:after="0" w:line="88" w:lineRule="exact"/>
              <w:rPr>
                <w:sz w:val="20"/>
                <w:szCs w:val="20"/>
                <w:color w:val="auto"/>
              </w:rPr>
            </w:pPr>
            <w:r>
              <w:rPr>
                <w:rFonts w:ascii="Arial" w:cs="Arial" w:eastAsia="Arial" w:hAnsi="Arial"/>
                <w:sz w:val="10"/>
                <w:szCs w:val="10"/>
                <w:b w:val="1"/>
                <w:bCs w:val="1"/>
                <w:color w:val="auto"/>
              </w:rPr>
              <w:t>Low</w:t>
            </w: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rPr>
              <w:t>High</w:t>
            </w:r>
          </w:p>
        </w:tc>
        <w:tc>
          <w:tcPr>
            <w:tcW w:w="80" w:type="dxa"/>
            <w:vAlign w:val="bottom"/>
          </w:tcPr>
          <w:p>
            <w:pPr>
              <w:spacing w:after="0"/>
              <w:rPr>
                <w:sz w:val="7"/>
                <w:szCs w:val="7"/>
                <w:color w:val="auto"/>
              </w:rPr>
            </w:pPr>
          </w:p>
        </w:tc>
      </w:tr>
      <w:tr>
        <w:trPr>
          <w:trHeight w:val="133"/>
        </w:trPr>
        <w:tc>
          <w:tcPr>
            <w:tcW w:w="39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76"/>
              </w:rPr>
              <w:t>50.0</w:t>
            </w: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53.0</w:t>
            </w: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269.0</w:t>
            </w: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279.0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mailing &amp; devices</w:t>
            </w:r>
          </w:p>
        </w:tc>
        <w:tc>
          <w:tcPr>
            <w:tcW w:w="4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7"/>
              </w:rPr>
              <w:t>(4.6)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(18.4)</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(20.4)</w:t>
            </w:r>
          </w:p>
        </w:tc>
      </w:tr>
      <w:tr>
        <w:trPr>
          <w:trHeight w:val="144"/>
        </w:trPr>
        <w:tc>
          <w:tcPr>
            <w:tcW w:w="390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400" w:type="dxa"/>
            <w:vAlign w:val="bottom"/>
          </w:tcPr>
          <w:p>
            <w:pPr>
              <w:spacing w:after="0"/>
              <w:rPr>
                <w:sz w:val="12"/>
                <w:szCs w:val="12"/>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2"/>
                <w:szCs w:val="12"/>
                <w:color w:val="auto"/>
                <w:w w:val="97"/>
              </w:rPr>
              <w:t>(0.4)</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color w:val="auto"/>
              </w:rPr>
              <w:t>(0.4)</w:t>
            </w:r>
          </w:p>
        </w:tc>
        <w:tc>
          <w:tcPr>
            <w:tcW w:w="6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(1.6)</w:t>
            </w:r>
          </w:p>
        </w:tc>
      </w:tr>
      <w:tr>
        <w:trPr>
          <w:trHeight w:val="20"/>
        </w:trPr>
        <w:tc>
          <w:tcPr>
            <w:tcW w:w="3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85"/>
              </w:rPr>
              <w:t>45.0</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48.0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249.0</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257.0</w:t>
            </w:r>
          </w:p>
        </w:tc>
      </w:tr>
      <w:tr>
        <w:trPr>
          <w:trHeight w:val="27"/>
        </w:trPr>
        <w:tc>
          <w:tcPr>
            <w:tcW w:w="3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6" w:right="1440"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2022-05-10T15:45:19Z</dcterms:created>
  <dcterms:modified xsi:type="dcterms:W3CDTF">2022-05-10T15:45:19Z</dcterms:modified>
</cp:coreProperties>
</file>