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color w:val="auto"/>
        </w:rPr>
        <w:t>May 21, 2021</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20549-3720</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Attention: Charlie Guidry</w:t>
      </w:r>
    </w:p>
    <w:p>
      <w:pPr>
        <w:spacing w:after="0" w:line="23" w:lineRule="exact"/>
        <w:rPr>
          <w:sz w:val="24"/>
          <w:szCs w:val="24"/>
          <w:color w:val="auto"/>
        </w:rPr>
      </w:pPr>
    </w:p>
    <w:p>
      <w:pPr>
        <w:ind w:left="760"/>
        <w:spacing w:after="0"/>
        <w:rPr>
          <w:sz w:val="20"/>
          <w:szCs w:val="20"/>
          <w:color w:val="auto"/>
        </w:rPr>
      </w:pPr>
      <w:r>
        <w:rPr>
          <w:rFonts w:ascii="Arial" w:cs="Arial" w:eastAsia="Arial" w:hAnsi="Arial"/>
          <w:sz w:val="18"/>
          <w:szCs w:val="18"/>
          <w:color w:val="auto"/>
        </w:rPr>
        <w:t>Mara Ransom</w:t>
      </w:r>
    </w:p>
    <w:p>
      <w:pPr>
        <w:sectPr>
          <w:pgSz w:w="11900" w:h="16838" w:orient="portrait"/>
          <w:cols w:equalWidth="0" w:num="1">
            <w:col w:w="11000"/>
          </w:cols>
          <w:pgMar w:left="440" w:top="233" w:right="459" w:bottom="1440" w:gutter="0" w:footer="0" w:header="0"/>
        </w:sectPr>
      </w:pPr>
    </w:p>
    <w:p>
      <w:pPr>
        <w:spacing w:after="0" w:line="3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Flywire Corporation</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333-255706</w:t>
      </w:r>
    </w:p>
    <w:p>
      <w:pPr>
        <w:spacing w:after="0" w:line="200" w:lineRule="exact"/>
        <w:rPr>
          <w:sz w:val="24"/>
          <w:szCs w:val="24"/>
          <w:color w:val="auto"/>
        </w:rPr>
      </w:pPr>
    </w:p>
    <w:p>
      <w:pPr>
        <w:sectPr>
          <w:pgSz w:w="11900" w:h="16838" w:orient="portrait"/>
          <w:cols w:equalWidth="0" w:num="2">
            <w:col w:w="260" w:space="280"/>
            <w:col w:w="10460"/>
          </w:cols>
          <w:pgMar w:left="440" w:top="233" w:right="459" w:bottom="1440" w:gutter="0" w:footer="0" w:header="0"/>
          <w:type w:val="continuous"/>
        </w:sectPr>
      </w:pPr>
    </w:p>
    <w:p>
      <w:pPr>
        <w:spacing w:after="0" w:line="7" w:lineRule="exact"/>
        <w:rPr>
          <w:sz w:val="24"/>
          <w:szCs w:val="24"/>
          <w:color w:val="auto"/>
        </w:rPr>
      </w:pPr>
    </w:p>
    <w:p>
      <w:pPr>
        <w:ind w:left="440"/>
        <w:spacing w:after="0"/>
        <w:rPr>
          <w:sz w:val="20"/>
          <w:szCs w:val="20"/>
          <w:color w:val="auto"/>
        </w:rPr>
      </w:pPr>
      <w:r>
        <w:rPr>
          <w:rFonts w:ascii="Arial" w:cs="Arial" w:eastAsia="Arial" w:hAnsi="Arial"/>
          <w:sz w:val="16"/>
          <w:szCs w:val="16"/>
          <w:b w:val="1"/>
          <w:bCs w:val="1"/>
          <w:color w:val="auto"/>
        </w:rPr>
        <w:t>Request for Acceleration of Effective Date</w:t>
      </w:r>
    </w:p>
    <w:p>
      <w:pPr>
        <w:spacing w:after="0" w:line="50" w:lineRule="exact"/>
        <w:rPr>
          <w:sz w:val="24"/>
          <w:szCs w:val="24"/>
          <w:color w:val="auto"/>
        </w:rPr>
      </w:pPr>
    </w:p>
    <w:p>
      <w:pPr>
        <w:ind w:left="2120"/>
        <w:spacing w:after="0"/>
        <w:rPr>
          <w:sz w:val="20"/>
          <w:szCs w:val="20"/>
          <w:color w:val="auto"/>
        </w:rPr>
      </w:pPr>
      <w:r>
        <w:rPr>
          <w:rFonts w:ascii="Arial" w:cs="Arial" w:eastAsia="Arial" w:hAnsi="Arial"/>
          <w:sz w:val="18"/>
          <w:szCs w:val="18"/>
          <w:b w:val="1"/>
          <w:bCs w:val="1"/>
          <w:color w:val="auto"/>
        </w:rPr>
        <w:t>Requested Date:</w:t>
      </w:r>
    </w:p>
    <w:p>
      <w:pPr>
        <w:spacing w:after="0" w:line="9"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Requested Time:</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Tuesday, May 25, 2021</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4:00 P.M. Eastern Time</w:t>
      </w:r>
    </w:p>
    <w:p>
      <w:pPr>
        <w:spacing w:after="0" w:line="222" w:lineRule="exact"/>
        <w:rPr>
          <w:sz w:val="24"/>
          <w:szCs w:val="24"/>
          <w:color w:val="auto"/>
        </w:rPr>
      </w:pPr>
    </w:p>
    <w:p>
      <w:pPr>
        <w:sectPr>
          <w:pgSz w:w="11900" w:h="16838" w:orient="portrait"/>
          <w:cols w:equalWidth="0" w:num="2">
            <w:col w:w="4900" w:space="720"/>
            <w:col w:w="5380"/>
          </w:cols>
          <w:pgMar w:left="440" w:top="233" w:right="459"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Ladies and Gentlemen:</w:t>
      </w:r>
    </w:p>
    <w:p>
      <w:pPr>
        <w:sectPr>
          <w:pgSz w:w="11900" w:h="16838" w:orient="portrait"/>
          <w:cols w:equalWidth="0" w:num="1">
            <w:col w:w="11000"/>
          </w:cols>
          <w:pgMar w:left="440" w:top="233" w:right="459" w:bottom="1440" w:gutter="0" w:footer="0" w:header="0"/>
          <w:type w:val="continuous"/>
        </w:sectPr>
      </w:pPr>
    </w:p>
    <w:p>
      <w:pPr>
        <w:spacing w:after="0" w:line="244" w:lineRule="exact"/>
        <w:rPr>
          <w:sz w:val="24"/>
          <w:szCs w:val="24"/>
          <w:color w:val="auto"/>
        </w:rPr>
      </w:pPr>
    </w:p>
    <w:p>
      <w:pPr>
        <w:ind w:firstLine="440"/>
        <w:spacing w:after="0" w:line="298" w:lineRule="auto"/>
        <w:rPr>
          <w:sz w:val="20"/>
          <w:szCs w:val="20"/>
          <w:color w:val="auto"/>
        </w:rPr>
      </w:pPr>
      <w:r>
        <w:rPr>
          <w:rFonts w:ascii="Arial" w:cs="Arial" w:eastAsia="Arial" w:hAnsi="Arial"/>
          <w:sz w:val="16"/>
          <w:szCs w:val="16"/>
          <w:color w:val="auto"/>
        </w:rPr>
        <w:t>Pursuant to Rule 461 under the Securities Act of 1933, as amended, Flywire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requests that the above-referenced Registration Statement on Form S-1 (File No. 333-255706)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be declared effective at the “Requested Date” and “Requested Time” set forth above or at such later time as the Company or its counsel may orally request via telephone call to the staff of the Division of Corporation Finance of the Securities and Exchange Commission. Once the Registration Statement has been declared effective, please orally confirm that event with our counsel, Gunderson Dettmer Stough Villeneuve Franklin &amp; Hachigian, LLP, by calling Keith Scherer at 617-648-9231.</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000"/>
          </w:cols>
          <w:pgMar w:left="440" w:top="233" w:right="45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21,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Flywire Corporation</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jc w:val="right"/>
        <w:ind w:right="1059"/>
        <w:spacing w:after="0"/>
        <w:rPr>
          <w:sz w:val="20"/>
          <w:szCs w:val="20"/>
          <w:color w:val="auto"/>
        </w:rPr>
      </w:pPr>
      <w:r>
        <w:rPr>
          <w:rFonts w:ascii="Arial" w:cs="Arial" w:eastAsia="Arial" w:hAnsi="Arial"/>
          <w:sz w:val="18"/>
          <w:szCs w:val="18"/>
          <w:i w:val="1"/>
          <w:iCs w:val="1"/>
          <w:color w:val="auto"/>
        </w:rPr>
        <w:t>Principal Executive Officer</w:t>
      </w:r>
    </w:p>
    <w:p>
      <w:pPr>
        <w:spacing w:after="0" w:line="251" w:lineRule="exact"/>
        <w:rPr>
          <w:sz w:val="20"/>
          <w:szCs w:val="20"/>
          <w:color w:val="auto"/>
        </w:rPr>
      </w:pPr>
    </w:p>
    <w:p>
      <w:pPr>
        <w:ind w:left="544" w:right="3379" w:hanging="544"/>
        <w:spacing w:after="0" w:line="254" w:lineRule="auto"/>
        <w:tabs>
          <w:tab w:leader="none" w:pos="533" w:val="left"/>
        </w:tabs>
        <w:numPr>
          <w:ilvl w:val="0"/>
          <w:numId w:val="1"/>
        </w:numPr>
        <w:rPr>
          <w:rFonts w:ascii="Arial" w:cs="Arial" w:eastAsia="Arial" w:hAnsi="Arial"/>
          <w:sz w:val="18"/>
          <w:szCs w:val="18"/>
          <w:color w:val="auto"/>
        </w:rPr>
      </w:pPr>
      <w:r>
        <w:rPr>
          <w:rFonts w:ascii="Arial" w:cs="Arial" w:eastAsia="Arial" w:hAnsi="Arial"/>
          <w:sz w:val="18"/>
          <w:szCs w:val="18"/>
          <w:color w:val="auto"/>
        </w:rPr>
        <w:t>David Gammell, Gunderson Dettmer Stough Villeneuve Franklin &amp; Hachigian, LLP Jeffrey R. Vetter, Gunderson Dettmer Stough Villeneuve Franklin &amp; Hachigian, LLP Keith Scherer, Gunderson Dettmer Stough Villeneuve Franklin &amp; Hachigian, LLP John J. Egan III, Goodwin Procter LLP</w:t>
      </w:r>
    </w:p>
    <w:p>
      <w:pPr>
        <w:spacing w:after="0" w:line="2" w:lineRule="exact"/>
        <w:rPr>
          <w:rFonts w:ascii="Arial" w:cs="Arial" w:eastAsia="Arial" w:hAnsi="Arial"/>
          <w:sz w:val="18"/>
          <w:szCs w:val="18"/>
          <w:color w:val="auto"/>
        </w:rPr>
      </w:pPr>
    </w:p>
    <w:p>
      <w:pPr>
        <w:ind w:left="544" w:right="6379"/>
        <w:spacing w:after="0" w:line="290" w:lineRule="auto"/>
        <w:rPr>
          <w:rFonts w:ascii="Arial" w:cs="Arial" w:eastAsia="Arial" w:hAnsi="Arial"/>
          <w:sz w:val="18"/>
          <w:szCs w:val="18"/>
          <w:color w:val="auto"/>
        </w:rPr>
      </w:pPr>
      <w:r>
        <w:rPr>
          <w:rFonts w:ascii="Arial" w:cs="Arial" w:eastAsia="Arial" w:hAnsi="Arial"/>
          <w:sz w:val="17"/>
          <w:szCs w:val="17"/>
          <w:color w:val="auto"/>
        </w:rPr>
        <w:t>Joseph C. Theis, Jr., Goodwin Procter LLP Jared J. Fine, Goodwin Procter LLP</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2021-06-23T23:07:14Z</dcterms:created>
  <dcterms:modified xsi:type="dcterms:W3CDTF">2021-06-23T23:07:14Z</dcterms:modified>
</cp:coreProperties>
</file>