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85"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0" w:type="dxa"/>
            <w:vAlign w:val="bottom"/>
            <w:gridSpan w:val="7"/>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BAIN CAPITAL VENTURE</w:t>
              </w:r>
            </w:hyperlink>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16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top w:val="single" w:sz="8" w:color="0000EE"/>
            </w:tcBorders>
            <w:gridSpan w:val="4"/>
            <w:vMerge w:val="restart"/>
          </w:tcPr>
          <w:p>
            <w:pPr>
              <w:spacing w:after="0" w:line="207" w:lineRule="exact"/>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INVESTORS, LLC</w:t>
              </w:r>
            </w:hyperlink>
          </w:p>
        </w:tc>
        <w:tc>
          <w:tcPr>
            <w:tcW w:w="6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6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tcBorders>
              <w:bottom w:val="single" w:sz="8" w:color="0000EE"/>
            </w:tcBorders>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4"/>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2C2C2C"/>
              <w:bottom w:val="single" w:sz="8" w:color="2C2C2C"/>
            </w:tcBorders>
          </w:tcPr>
          <w:p>
            <w:pPr>
              <w:spacing w:after="0"/>
              <w:rPr>
                <w:sz w:val="10"/>
                <w:szCs w:val="10"/>
                <w:color w:val="auto"/>
              </w:rPr>
            </w:pPr>
          </w:p>
        </w:tc>
        <w:tc>
          <w:tcPr>
            <w:tcW w:w="2900" w:type="dxa"/>
            <w:vAlign w:val="bottom"/>
            <w:tcBorders>
              <w:top w:val="single" w:sz="8" w:color="2C2C2C"/>
              <w:bottom w:val="single" w:sz="8" w:color="2C2C2C"/>
            </w:tcBorders>
            <w:gridSpan w:val="8"/>
          </w:tcPr>
          <w:p>
            <w:pPr>
              <w:spacing w:after="0" w:line="126" w:lineRule="exact"/>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10"/>
                <w:szCs w:val="10"/>
                <w:color w:val="auto"/>
              </w:rPr>
            </w:pPr>
          </w:p>
        </w:tc>
        <w:tc>
          <w:tcPr>
            <w:tcW w:w="100" w:type="dxa"/>
            <w:vAlign w:val="bottom"/>
            <w:tcBorders>
              <w:top w:val="single" w:sz="8" w:color="2C2C2C"/>
            </w:tcBorders>
          </w:tcPr>
          <w:p>
            <w:pPr>
              <w:spacing w:after="0"/>
              <w:rPr>
                <w:sz w:val="10"/>
                <w:szCs w:val="10"/>
                <w:color w:val="auto"/>
              </w:rPr>
            </w:pPr>
          </w:p>
        </w:tc>
        <w:tc>
          <w:tcPr>
            <w:tcW w:w="160" w:type="dxa"/>
            <w:vAlign w:val="bottom"/>
            <w:tcBorders>
              <w:top w:val="single" w:sz="8" w:color="2C2C2C"/>
            </w:tcBorders>
          </w:tcPr>
          <w:p>
            <w:pPr>
              <w:spacing w:after="0"/>
              <w:rPr>
                <w:sz w:val="10"/>
                <w:szCs w:val="10"/>
                <w:color w:val="auto"/>
              </w:rPr>
            </w:pPr>
          </w:p>
        </w:tc>
        <w:tc>
          <w:tcPr>
            <w:tcW w:w="80" w:type="dxa"/>
            <w:vAlign w:val="bottom"/>
            <w:tcBorders>
              <w:top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below)</w:t>
            </w:r>
          </w:p>
        </w:tc>
        <w:tc>
          <w:tcPr>
            <w:tcW w:w="880" w:type="dxa"/>
            <w:vAlign w:val="bottom"/>
          </w:tcPr>
          <w:p>
            <w:pPr>
              <w:ind w:left="400"/>
              <w:spacing w:after="0" w:line="126"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0"/>
                <w:szCs w:val="20"/>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14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0"/>
                <w:szCs w:val="20"/>
                <w:color w:val="auto"/>
              </w:rPr>
            </w:pPr>
          </w:p>
        </w:tc>
        <w:tc>
          <w:tcPr>
            <w:tcW w:w="1280" w:type="dxa"/>
            <w:vAlign w:val="bottom"/>
            <w:gridSpan w:val="7"/>
          </w:tcPr>
          <w:p>
            <w:pPr>
              <w:ind w:left="160"/>
              <w:spacing w:after="0"/>
              <w:rPr>
                <w:sz w:val="20"/>
                <w:szCs w:val="20"/>
                <w:color w:val="auto"/>
              </w:rPr>
            </w:pPr>
            <w:r>
              <w:rPr>
                <w:rFonts w:ascii="Times New Roman" w:cs="Times New Roman" w:eastAsia="Times New Roman" w:hAnsi="Times New Roman"/>
                <w:sz w:val="17"/>
                <w:szCs w:val="17"/>
                <w:color w:val="0000FF"/>
              </w:rPr>
              <w:t>08/15/2022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9"/>
          </w:tcPr>
          <w:p>
            <w:pPr>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2840" w:type="dxa"/>
            <w:vAlign w:val="bottom"/>
            <w:gridSpan w:val="6"/>
            <w:vMerge w:val="restart"/>
          </w:tcPr>
          <w:p>
            <w:pPr>
              <w:ind w:left="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MA</w:t>
            </w:r>
          </w:p>
        </w:tc>
        <w:tc>
          <w:tcPr>
            <w:tcW w:w="112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02116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2840" w:type="dxa"/>
            <w:vAlign w:val="bottom"/>
            <w:gridSpan w:val="6"/>
          </w:tcPr>
          <w:p>
            <w:pPr>
              <w:ind w:left="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Person</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11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3"/>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3"/>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7"/>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20" w:type="dxa"/>
            <w:vAlign w:val="bottom"/>
            <w:gridSpan w:val="3"/>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2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16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64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6"/>
                <w:szCs w:val="6"/>
                <w:color w:val="auto"/>
              </w:rPr>
            </w:pPr>
          </w:p>
        </w:tc>
        <w:tc>
          <w:tcPr>
            <w:tcW w:w="8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20" w:type="dxa"/>
            <w:vAlign w:val="bottom"/>
          </w:tcPr>
          <w:p>
            <w:pPr>
              <w:spacing w:after="0"/>
              <w:rPr>
                <w:sz w:val="11"/>
                <w:szCs w:val="11"/>
                <w:color w:val="auto"/>
              </w:rPr>
            </w:pPr>
          </w:p>
        </w:tc>
        <w:tc>
          <w:tcPr>
            <w:tcW w:w="3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2"/>
                <w:szCs w:val="12"/>
                <w:b w:val="1"/>
                <w:bCs w:val="1"/>
                <w:color w:val="auto"/>
              </w:rPr>
              <w:t>(D)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(Instr. 3 and 4)</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08/15/2022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3"/>
          </w:tcPr>
          <w:p>
            <w:pPr>
              <w:ind w:left="60"/>
              <w:spacing w:after="0" w:line="280" w:lineRule="exact"/>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1,653,986   D</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25.35</w:t>
            </w:r>
          </w:p>
        </w:tc>
        <w:tc>
          <w:tcPr>
            <w:tcW w:w="160" w:type="dxa"/>
            <w:vAlign w:val="bottom"/>
          </w:tcPr>
          <w:p>
            <w:pPr>
              <w:spacing w:after="0"/>
              <w:rPr>
                <w:sz w:val="24"/>
                <w:szCs w:val="24"/>
                <w:color w:val="auto"/>
              </w:rPr>
            </w:pPr>
          </w:p>
        </w:tc>
        <w:tc>
          <w:tcPr>
            <w:tcW w:w="960" w:type="dxa"/>
            <w:vAlign w:val="bottom"/>
            <w:gridSpan w:val="4"/>
          </w:tcPr>
          <w:p>
            <w:pPr>
              <w:jc w:val="right"/>
              <w:ind w:right="113"/>
              <w:spacing w:after="0"/>
              <w:rPr>
                <w:sz w:val="20"/>
                <w:szCs w:val="20"/>
                <w:color w:val="auto"/>
              </w:rPr>
            </w:pPr>
            <w:r>
              <w:rPr>
                <w:rFonts w:ascii="Times New Roman" w:cs="Times New Roman" w:eastAsia="Times New Roman" w:hAnsi="Times New Roman"/>
                <w:sz w:val="17"/>
                <w:szCs w:val="17"/>
                <w:color w:val="0000FF"/>
                <w:w w:val="99"/>
              </w:rPr>
              <w:t>13,645,388</w:t>
            </w:r>
          </w:p>
        </w:tc>
        <w:tc>
          <w:tcPr>
            <w:tcW w:w="88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6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See footnotes</w:t>
            </w:r>
            <w:r>
              <w:rPr>
                <w:rFonts w:ascii="Times New Roman" w:cs="Times New Roman" w:eastAsia="Times New Roman" w:hAnsi="Times New Roman"/>
                <w:sz w:val="22"/>
                <w:szCs w:val="22"/>
                <w:color w:val="008000"/>
                <w:vertAlign w:val="superscript"/>
              </w:rPr>
              <w:t>(3)(4)(5)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1"/>
                <w:szCs w:val="11"/>
                <w:color w:val="008000"/>
              </w:rPr>
              <w:t>(6)(7)(8)</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gridSpan w:val="3"/>
          </w:tcPr>
          <w:p>
            <w:pPr>
              <w:spacing w:after="0"/>
              <w:rPr>
                <w:sz w:val="7"/>
                <w:szCs w:val="7"/>
                <w:color w:val="auto"/>
              </w:rPr>
            </w:pPr>
          </w:p>
        </w:tc>
        <w:tc>
          <w:tcPr>
            <w:tcW w:w="2360" w:type="dxa"/>
            <w:vAlign w:val="bottom"/>
            <w:tcBorders>
              <w:bottom w:val="single" w:sz="8" w:color="2C2C2C"/>
            </w:tcBorders>
            <w:gridSpan w:val="5"/>
          </w:tcPr>
          <w:p>
            <w:pPr>
              <w:spacing w:after="0"/>
              <w:rPr>
                <w:sz w:val="7"/>
                <w:szCs w:val="7"/>
                <w:color w:val="auto"/>
              </w:rPr>
            </w:pPr>
          </w:p>
        </w:tc>
        <w:tc>
          <w:tcPr>
            <w:tcW w:w="440" w:type="dxa"/>
            <w:vAlign w:val="bottom"/>
            <w:tcBorders>
              <w:bottom w:val="single" w:sz="8" w:color="2C2C2C"/>
            </w:tcBorders>
            <w:gridSpan w:val="3"/>
          </w:tcPr>
          <w:p>
            <w:pPr>
              <w:spacing w:after="0"/>
              <w:rPr>
                <w:sz w:val="7"/>
                <w:szCs w:val="7"/>
                <w:color w:val="auto"/>
              </w:rPr>
            </w:pPr>
          </w:p>
        </w:tc>
        <w:tc>
          <w:tcPr>
            <w:tcW w:w="156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22"/>
          </w:tcPr>
          <w:p>
            <w:pPr>
              <w:jc w:val="center"/>
              <w:ind w:right="6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19"/>
          </w:tcPr>
          <w:p>
            <w:pPr>
              <w:jc w:val="center"/>
              <w:ind w:left="1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spacing w:after="0"/>
              <w:rPr>
                <w:sz w:val="15"/>
                <w:szCs w:val="15"/>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1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8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4"/>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6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9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BAIN CAPITAL VENTURE INVESTORS,</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Bain Capital Venture Coinvestment Fund II,</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BCV 2019-MD Coinvestment II, L.P.</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85" w:orient="portrait"/>
          <w:cols w:equalWidth="0" w:num="1">
            <w:col w:w="11080"/>
          </w:cols>
          <w:pgMar w:left="460" w:top="219" w:right="359" w:bottom="0" w:gutter="0" w:footer="0" w:header="0"/>
          <w:type w:val="continuous"/>
        </w:sectPr>
      </w:pP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ectPr>
          <w:pgSz w:w="11900" w:h="16885" w:orient="portrait"/>
          <w:cols w:equalWidth="0" w:num="1">
            <w:col w:w="11080"/>
          </w:cols>
          <w:pgMar w:left="460" w:top="219" w:right="359" w:bottom="0" w:gutter="0" w:footer="0" w:header="0"/>
          <w:type w:val="continuous"/>
        </w:sectPr>
      </w:pPr>
    </w:p>
    <w:bookmarkStart w:id="1" w:name="page2"/>
    <w:bookmarkEnd w:id="1"/>
    <w:p>
      <w:pPr>
        <w:spacing w:after="0" w:line="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Bain Capital Venture Coinvestment II Investors,</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BAIN CAPITAL VENTURE FUND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Bain Capital Venture Partners 2014,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Bain Capital Venture Fund 2016,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Bain Capital Venture Partners 2016,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02116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BCIP Venture Associates</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3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71" w:orient="portrait"/>
          <w:cols w:equalWidth="0" w:num="1">
            <w:col w:w="9979"/>
          </w:cols>
          <w:pgMar w:left="480" w:top="460" w:right="1440" w:bottom="0"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BOSTON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7"/>
          <w:szCs w:val="17"/>
          <w:color w:val="0000FF"/>
        </w:rPr>
        <w:t>02116</w:t>
      </w:r>
    </w:p>
    <w:p>
      <w:pPr>
        <w:sectPr>
          <w:pgSz w:w="11900" w:h="16871" w:orient="portrait"/>
          <w:cols w:equalWidth="0" w:num="1">
            <w:col w:w="9979"/>
          </w:cols>
          <w:pgMar w:left="480" w:top="460" w:right="1440" w:bottom="0" w:gutter="0" w:footer="0" w:header="0"/>
          <w:type w:val="continuous"/>
        </w:sectPr>
      </w:pPr>
    </w:p>
    <w:bookmarkStart w:id="2" w:name="page3"/>
    <w:bookmarkEnd w:id="2"/>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026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2026285"/>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BCIP VENTURE ASSOCIATES-B</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340"/>
              <w:spacing w:after="0"/>
              <w:rPr>
                <w:sz w:val="20"/>
                <w:szCs w:val="20"/>
                <w:color w:val="auto"/>
              </w:rPr>
            </w:pPr>
            <w:r>
              <w:rPr>
                <w:rFonts w:ascii="Arial" w:cs="Arial" w:eastAsia="Arial" w:hAnsi="Arial"/>
                <w:sz w:val="13"/>
                <w:szCs w:val="13"/>
                <w:color w:val="auto"/>
              </w:rPr>
              <w:t>(First)</w:t>
            </w:r>
          </w:p>
        </w:tc>
        <w:tc>
          <w:tcPr>
            <w:tcW w:w="172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CLARENDON STREET</w:t>
            </w:r>
          </w:p>
        </w:tc>
        <w:tc>
          <w:tcPr>
            <w:tcW w:w="17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72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38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7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340"/>
              <w:spacing w:after="0"/>
              <w:rPr>
                <w:sz w:val="20"/>
                <w:szCs w:val="20"/>
                <w:color w:val="auto"/>
              </w:rPr>
            </w:pPr>
            <w:r>
              <w:rPr>
                <w:rFonts w:ascii="Arial" w:cs="Arial" w:eastAsia="Arial" w:hAnsi="Arial"/>
                <w:sz w:val="13"/>
                <w:szCs w:val="13"/>
                <w:color w:val="auto"/>
              </w:rPr>
              <w:t>(State)</w:t>
            </w:r>
          </w:p>
        </w:tc>
        <w:tc>
          <w:tcPr>
            <w:tcW w:w="172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40"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15, 2022 Bain Capital Venture Fund 2014, L.P. ("Venture Fund 2014") sold 1,357,304 shares of the Issuer's Voting Common Stock, Bain Capital Venture Fund 2016, L.P. ("Venture Fund 2016") sold 90,482 shares of the Issuer's Voting Common Stock, Bain Capital Venture Coinvestment Fund II, L.P. ("Venture Coinvestment Fund II") sold 42,360 shares of the Issuer's Voting Common Stock, BCV 2019-MD Coinvestment II, L.P. ("2019-MD Coinvestment II") sold 1,694 shares of the Issuer's Voting Common Stock, BCIP Venture Associates ("BCIP Venture") sold 138,375 shares of the Issuer's Voting Common Stock,</w:t>
      </w:r>
    </w:p>
    <w:p>
      <w:pPr>
        <w:spacing w:after="0" w:line="24" w:lineRule="exact"/>
        <w:rPr>
          <w:rFonts w:ascii="Times New Roman" w:cs="Times New Roman" w:eastAsia="Times New Roman" w:hAnsi="Times New Roman"/>
          <w:sz w:val="13"/>
          <w:szCs w:val="13"/>
          <w:color w:val="008000"/>
        </w:rPr>
      </w:pPr>
    </w:p>
    <w:p>
      <w:pPr>
        <w:ind w:right="80" w:firstLine="7"/>
        <w:spacing w:after="0" w:line="246"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BCIP Venture Associates B ("BCIP Venture-B") sold 9,310 shares of the Issuer's Voting Common Stock, BCIP Venture Associates II, LP ("BCIP Venture II") sold 13,447 shares of the Issuer's Voting Common Stock , and BCIP Venture Associates II-B, LP ("BCIP Venture II-B" and, together with Venture Fund 2014, Venture Fund 2016, Venture Coinvestment Fund II,</w:t>
      </w:r>
    </w:p>
    <w:p>
      <w:pPr>
        <w:ind w:right="24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2019-MD Coinvestment II, BCIP Venture, BCIP Venture-B and BCIP Venture II, the "Bain Capital Venture Entities"), sold 1,014 shares of the Issuer's Voting Common Stock, in each case pursuant to Rule 144 under the Securities Act of 1933, as amended.</w:t>
      </w:r>
    </w:p>
    <w:p>
      <w:pPr>
        <w:spacing w:after="0" w:line="21"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11,197,754 shares of the Issuer's Voting Common Stock held directly by Venture Fund 2014, 746,477 shares of the Issuer's Voting Common Stock held directly by Venture Fund 2016, 1,141,597 shares of the Issuer's Voting Common Stock held directly by BCIP Venture, 76,804 shares of the Issuer's Voting Common Stock held directly by BCIP Venture-B, 110,942 shares of the Issuer's Voting Common Stock held directly by BCIP Venture II, 8,365 shares of the Issuer's Voting Common Stock held directly by BCIP Venture II-B, 349,470 shares of the Issuer's Voting Common Stock held directly by Venture Coinvestment Fund II and 13,979 shares of the Issuer's Voting Common Stock held directly by 2019-MD Coinvestment II, in each case, after giving effect to the sales referenced in footnote 1 above.</w:t>
      </w:r>
    </w:p>
    <w:p>
      <w:pPr>
        <w:spacing w:after="0" w:line="26" w:lineRule="exact"/>
        <w:rPr>
          <w:rFonts w:ascii="Times New Roman" w:cs="Times New Roman" w:eastAsia="Times New Roman" w:hAnsi="Times New Roman"/>
          <w:sz w:val="13"/>
          <w:szCs w:val="13"/>
          <w:color w:val="008000"/>
        </w:rPr>
      </w:pPr>
    </w:p>
    <w:p>
      <w:pPr>
        <w:ind w:right="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Bain Capital Venture Investors, LLC ("BCVI") is (i) the general partner of Bain Capital Venture Partners 2014, L.P. ("Venture Partners 2014"), which is the general partner of Venture Fund 2014. As a result, Venture Partners 2014 may be deemed to share voting and dispositive power with respect to the securities held by Venture Fund 2014. Venture Partners 2014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general partner of Bain Capital Venture Partners 2016, L.P. ("Venture Partners 2016"), which is the general partner of Venture Fund 2016. As a result, Venture Partners 2016 may be deemed to share voting and dispositive power with respect to the securities held by Venture Fund 2016. Venture Partners 2016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right="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BCVI is the manager of Bain Capital Venture Coinvestment II Investors, LLC ("Venture Coinvestment II Investors"), which is the general partner of each of Venture Coinvestment Fund II and 2019-MD Coinvestment II. As a result, Venture Coinvestment II Investors may be deemed to share voting and dispositive power with respect to the securities held by each of Venture Coinvestment Fund II and 2019-MD Coinvestment II. Venture Coinvestment II Investors disclaims beneficial ownership of such securities except to the extent of its pecuniary interest therein.</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Boylston Coinvestors, LLC is (i) the managing partner of each of BCIP Venture and BCIP Venture-B and (ii) the general partner of each of BCIP Venture II and BCIP Venture II-B.</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governance, investment strategy and decision-making process with respect to the investments held by the Bain Capital Venture Entities is directed by the Executive Committee of BCVI, which consists of Enrique Salem and Ajay Agarwal. As a result, BCVI and Messrs. Salem and Agarwal may be deemed to share voting and dispositive power with respect to all of the securities held by the Bain Capital Venture Entities. BCVI and Messrs. Salem and Agarwal disclaim beneficial ownership of such securities except to the extent of its or his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1 of 2</w:t>
      </w:r>
    </w:p>
    <w:p>
      <w:pPr>
        <w:sectPr>
          <w:pgSz w:w="11900" w:h="16838" w:orient="portrait"/>
          <w:cols w:equalWidth="0" w:num="1">
            <w:col w:w="10860"/>
          </w:cols>
          <w:pgMar w:left="500" w:top="433" w:right="539" w:bottom="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Investors,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11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2014,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2014,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Partners 2016,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12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26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426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2016,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40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9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2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20" w:space="120"/>
            <w:col w:w="2120"/>
          </w:cols>
          <w:pgMar w:left="500" w:top="433" w:right="53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41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017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BCV 2019-MD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II,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1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10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226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03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1703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manager,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Harris,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75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0375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58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Boylston Coinvestors,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managing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12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1112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BCIP Venture Associates-B,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9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Boylston Coinvestors,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39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71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2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0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5" Type="http://schemas.openxmlformats.org/officeDocument/2006/relationships/hyperlink" Target="http://www.sec.gov/cgi-bin/browse-edgar?action=getcompany&amp;CIK=0001756820" TargetMode="External"/><Relationship Id="rId16"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5"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2022-08-17T18:28:35Z</dcterms:created>
  <dcterms:modified xsi:type="dcterms:W3CDTF">2022-08-17T18:28:35Z</dcterms:modified>
</cp:coreProperties>
</file>