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spacing w:after="0" w:line="1"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20"/>
          </w:cols>
          <w:pgMar w:left="440" w:top="293" w:right="439" w:bottom="1440" w:gutter="0" w:footer="0" w:header="0"/>
        </w:sect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13, 2026, Flywire Corporation (the “Company”) announced that it is evolving its leadership structure to reflect the increasing importance of product differentiation, software innovation, and AI-enabled workflows across its verticals with David King, who has served as the Company’s Chief Technology Officer (“CTO”) since June 2019, shifting into a new role as the Company’s Chief Product Officer &amp; Co-President of Global Education. Mr. King’s extensive history in Education software and credibility with global clients has been instrumental in developing the Company’s suite of software products. In his new role, Mr. King will have responsibility for software product strategy across all of the Company’s verticals, combined with business and client focus in the Education vertical.</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planning to conduct a search process to identify a new CTO with experience operating global, large-scale payments and software platforms. The CTO role is expected to continue to report into the CEO and be dedicated to delivering against the Company’s software product roadmap, platform reliability, scalability, and security. Mr. King will continue to serve as the Company’s CTO until a successor is named in order to facilitate a smooth transition.</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these events, on January 13, 2026, the Company and Mr. King entered into Amendment No. 1 to the Employment Agreement dated August 1, 2025 by and between the Company and Mr. King (the “Amendment”) to update his employment agreement to reflect the new role. No other changes were made to Mr. King’s employment agreement or compensation arrangements in connection with such appointment. A copy of the Amendment will be filed as an exhibit to the Company’s Quarterly Report on Form 10-Q for the fiscal quarter ended March 31, 2026, which is expected to be filed with the SEC in the second quarter of 2026. The foregoing description of the Amendment is qualified in its entirety by reference to the full text of such exhibit.</w:t>
      </w:r>
    </w:p>
    <w:p>
      <w:pPr>
        <w:sectPr>
          <w:pgSz w:w="11900" w:h="16838" w:orient="portrait"/>
          <w:cols w:equalWidth="0" w:num="1">
            <w:col w:w="11020"/>
          </w:cols>
          <w:pgMar w:left="440" w:top="293" w:right="439" w:bottom="1440" w:gutter="0" w:footer="0" w:header="0"/>
          <w:type w:val="continuous"/>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2026</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2026-01-14T16:28:57Z</dcterms:created>
  <dcterms:modified xsi:type="dcterms:W3CDTF">2026-01-14T16:28:57Z</dcterms:modified>
</cp:coreProperties>
</file>